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3"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(Mark One)</w:t>
      </w:r>
    </w:p>
    <w:p>
      <w:pPr>
        <w:spacing w:after="0" w:line="4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131E29"/>
        </w:rPr>
      </w:pPr>
      <w:r>
        <w:rPr>
          <w:rFonts w:ascii="Arial" w:cs="Arial" w:eastAsia="Arial" w:hAnsi="Arial"/>
          <w:sz w:val="18"/>
          <w:szCs w:val="18"/>
          <w:b w:val="1"/>
          <w:bCs w:val="1"/>
          <w:color w:val="131E29"/>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For the Quarterly Period ended June 30, 2022</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OR</w:t>
      </w:r>
    </w:p>
    <w:p>
      <w:pPr>
        <w:spacing w:after="0" w:line="2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131E29"/>
        </w:rPr>
      </w:pPr>
      <w:r>
        <w:rPr>
          <w:rFonts w:ascii="Arial" w:cs="Arial" w:eastAsia="Arial" w:hAnsi="Arial"/>
          <w:sz w:val="18"/>
          <w:szCs w:val="18"/>
          <w:b w:val="1"/>
          <w:bCs w:val="1"/>
          <w:color w:val="131E29"/>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131E29"/>
        </w:rPr>
        <w:t>For the transition period from ________ to 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Commission file number 001-40798</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131E29"/>
        </w:rPr>
        <w:t>DUTCH BROS INC.</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4800" w:type="dxa"/>
            <w:vAlign w:val="bottom"/>
            <w:gridSpan w:val="2"/>
          </w:tcPr>
          <w:p>
            <w:pPr>
              <w:jc w:val="center"/>
              <w:ind w:left="2535"/>
              <w:spacing w:after="0"/>
              <w:rPr>
                <w:sz w:val="20"/>
                <w:szCs w:val="20"/>
                <w:color w:val="auto"/>
              </w:rPr>
            </w:pPr>
            <w:r>
              <w:rPr>
                <w:rFonts w:ascii="Arial" w:cs="Arial" w:eastAsia="Arial" w:hAnsi="Arial"/>
                <w:sz w:val="18"/>
                <w:szCs w:val="18"/>
                <w:b w:val="1"/>
                <w:bCs w:val="1"/>
                <w:color w:val="131E29"/>
                <w:w w:val="98"/>
              </w:rPr>
              <w:t>Delaware</w:t>
            </w:r>
          </w:p>
        </w:tc>
        <w:tc>
          <w:tcPr>
            <w:tcW w:w="1840" w:type="dxa"/>
            <w:vAlign w:val="bottom"/>
          </w:tcPr>
          <w:p>
            <w:pPr>
              <w:spacing w:after="0"/>
              <w:rPr>
                <w:sz w:val="20"/>
                <w:szCs w:val="20"/>
                <w:color w:val="auto"/>
              </w:rPr>
            </w:pPr>
          </w:p>
        </w:tc>
        <w:tc>
          <w:tcPr>
            <w:tcW w:w="4620" w:type="dxa"/>
            <w:vAlign w:val="bottom"/>
            <w:gridSpan w:val="2"/>
            <w:vMerge w:val="restart"/>
          </w:tcPr>
          <w:p>
            <w:pPr>
              <w:jc w:val="right"/>
              <w:ind w:right="2596"/>
              <w:spacing w:after="0"/>
              <w:rPr>
                <w:sz w:val="20"/>
                <w:szCs w:val="20"/>
                <w:color w:val="auto"/>
              </w:rPr>
            </w:pPr>
            <w:r>
              <w:rPr>
                <w:rFonts w:ascii="Arial" w:cs="Arial" w:eastAsia="Arial" w:hAnsi="Arial"/>
                <w:sz w:val="18"/>
                <w:szCs w:val="18"/>
                <w:b w:val="1"/>
                <w:bCs w:val="1"/>
                <w:color w:val="131E29"/>
              </w:rPr>
              <w:t>87-1041305</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800" w:type="dxa"/>
            <w:vAlign w:val="bottom"/>
            <w:gridSpan w:val="2"/>
          </w:tcPr>
          <w:p>
            <w:pPr>
              <w:jc w:val="center"/>
              <w:ind w:left="2555"/>
              <w:spacing w:after="0"/>
              <w:rPr>
                <w:sz w:val="20"/>
                <w:szCs w:val="20"/>
                <w:color w:val="auto"/>
              </w:rPr>
            </w:pPr>
            <w:r>
              <w:rPr>
                <w:rFonts w:ascii="Arial" w:cs="Arial" w:eastAsia="Arial" w:hAnsi="Arial"/>
                <w:sz w:val="14"/>
                <w:szCs w:val="14"/>
                <w:color w:val="131E29"/>
              </w:rPr>
              <w:t>(State or other jurisdiction of</w:t>
            </w:r>
          </w:p>
        </w:tc>
        <w:tc>
          <w:tcPr>
            <w:tcW w:w="1840" w:type="dxa"/>
            <w:vAlign w:val="bottom"/>
          </w:tcPr>
          <w:p>
            <w:pPr>
              <w:spacing w:after="0"/>
              <w:rPr>
                <w:sz w:val="20"/>
                <w:szCs w:val="20"/>
                <w:color w:val="auto"/>
              </w:rPr>
            </w:pPr>
          </w:p>
        </w:tc>
        <w:tc>
          <w:tcPr>
            <w:tcW w:w="4620" w:type="dxa"/>
            <w:vAlign w:val="bottom"/>
            <w:gridSpan w:val="2"/>
          </w:tcPr>
          <w:p>
            <w:pPr>
              <w:jc w:val="center"/>
              <w:ind w:right="1636"/>
              <w:spacing w:after="0"/>
              <w:rPr>
                <w:sz w:val="20"/>
                <w:szCs w:val="20"/>
                <w:color w:val="auto"/>
              </w:rPr>
            </w:pPr>
            <w:r>
              <w:rPr>
                <w:rFonts w:ascii="Arial" w:cs="Arial" w:eastAsia="Arial" w:hAnsi="Arial"/>
                <w:sz w:val="14"/>
                <w:szCs w:val="14"/>
                <w:color w:val="131E29"/>
              </w:rPr>
              <w:t>(I.R.S. Employer Identification No.)</w:t>
            </w:r>
          </w:p>
        </w:tc>
        <w:tc>
          <w:tcPr>
            <w:tcW w:w="0" w:type="dxa"/>
            <w:vAlign w:val="bottom"/>
          </w:tcPr>
          <w:p>
            <w:pPr>
              <w:spacing w:after="0"/>
              <w:rPr>
                <w:sz w:val="1"/>
                <w:szCs w:val="1"/>
                <w:color w:val="auto"/>
              </w:rPr>
            </w:pPr>
          </w:p>
        </w:tc>
      </w:tr>
      <w:tr>
        <w:trPr>
          <w:trHeight w:val="175"/>
        </w:trPr>
        <w:tc>
          <w:tcPr>
            <w:tcW w:w="4800" w:type="dxa"/>
            <w:vAlign w:val="bottom"/>
            <w:gridSpan w:val="2"/>
          </w:tcPr>
          <w:p>
            <w:pPr>
              <w:jc w:val="center"/>
              <w:ind w:left="2535"/>
              <w:spacing w:after="0"/>
              <w:rPr>
                <w:sz w:val="20"/>
                <w:szCs w:val="20"/>
                <w:color w:val="auto"/>
              </w:rPr>
            </w:pPr>
            <w:r>
              <w:rPr>
                <w:rFonts w:ascii="Arial" w:cs="Arial" w:eastAsia="Arial" w:hAnsi="Arial"/>
                <w:sz w:val="14"/>
                <w:szCs w:val="14"/>
                <w:color w:val="131E29"/>
              </w:rPr>
              <w:t>incorporation or organization)</w:t>
            </w:r>
          </w:p>
        </w:tc>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jc w:val="center"/>
              <w:ind w:left="2555"/>
              <w:spacing w:after="0"/>
              <w:rPr>
                <w:sz w:val="20"/>
                <w:szCs w:val="20"/>
                <w:color w:val="auto"/>
              </w:rPr>
            </w:pPr>
            <w:r>
              <w:rPr>
                <w:rFonts w:ascii="Arial" w:cs="Arial" w:eastAsia="Arial" w:hAnsi="Arial"/>
                <w:sz w:val="18"/>
                <w:szCs w:val="18"/>
                <w:b w:val="1"/>
                <w:bCs w:val="1"/>
                <w:color w:val="131E29"/>
                <w:w w:val="99"/>
              </w:rPr>
              <w:t>110 SW 4th Street</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0" w:type="dxa"/>
            <w:vAlign w:val="bottom"/>
            <w:gridSpan w:val="2"/>
          </w:tcPr>
          <w:p>
            <w:pPr>
              <w:ind w:left="2720"/>
              <w:spacing w:after="0"/>
              <w:rPr>
                <w:sz w:val="20"/>
                <w:szCs w:val="20"/>
                <w:color w:val="auto"/>
              </w:rPr>
            </w:pPr>
            <w:r>
              <w:rPr>
                <w:rFonts w:ascii="Arial" w:cs="Arial" w:eastAsia="Arial" w:hAnsi="Arial"/>
                <w:sz w:val="18"/>
                <w:szCs w:val="18"/>
                <w:b w:val="1"/>
                <w:bCs w:val="1"/>
                <w:color w:val="131E29"/>
              </w:rPr>
              <w:t>Grants Pass, Oregon</w:t>
            </w:r>
          </w:p>
        </w:tc>
        <w:tc>
          <w:tcPr>
            <w:tcW w:w="1840" w:type="dxa"/>
            <w:vAlign w:val="bottom"/>
          </w:tcPr>
          <w:p>
            <w:pPr>
              <w:spacing w:after="0"/>
              <w:rPr>
                <w:sz w:val="24"/>
                <w:szCs w:val="24"/>
                <w:color w:val="auto"/>
              </w:rPr>
            </w:pPr>
          </w:p>
        </w:tc>
        <w:tc>
          <w:tcPr>
            <w:tcW w:w="4620" w:type="dxa"/>
            <w:vAlign w:val="bottom"/>
            <w:gridSpan w:val="2"/>
          </w:tcPr>
          <w:p>
            <w:pPr>
              <w:jc w:val="right"/>
              <w:ind w:right="2836"/>
              <w:spacing w:after="0"/>
              <w:rPr>
                <w:sz w:val="20"/>
                <w:szCs w:val="20"/>
                <w:color w:val="auto"/>
              </w:rPr>
            </w:pPr>
            <w:r>
              <w:rPr>
                <w:rFonts w:ascii="Arial" w:cs="Arial" w:eastAsia="Arial" w:hAnsi="Arial"/>
                <w:sz w:val="18"/>
                <w:szCs w:val="18"/>
                <w:b w:val="1"/>
                <w:bCs w:val="1"/>
                <w:color w:val="131E29"/>
              </w:rPr>
              <w:t>97526</w:t>
            </w:r>
          </w:p>
        </w:tc>
        <w:tc>
          <w:tcPr>
            <w:tcW w:w="0" w:type="dxa"/>
            <w:vAlign w:val="bottom"/>
          </w:tcPr>
          <w:p>
            <w:pPr>
              <w:spacing w:after="0"/>
              <w:rPr>
                <w:sz w:val="1"/>
                <w:szCs w:val="1"/>
                <w:color w:val="auto"/>
              </w:rPr>
            </w:pPr>
          </w:p>
        </w:tc>
      </w:tr>
      <w:tr>
        <w:trPr>
          <w:trHeight w:val="231"/>
        </w:trPr>
        <w:tc>
          <w:tcPr>
            <w:tcW w:w="6640" w:type="dxa"/>
            <w:vAlign w:val="bottom"/>
            <w:gridSpan w:val="3"/>
          </w:tcPr>
          <w:p>
            <w:pPr>
              <w:jc w:val="center"/>
              <w:ind w:left="715"/>
              <w:spacing w:after="0"/>
              <w:rPr>
                <w:sz w:val="20"/>
                <w:szCs w:val="20"/>
                <w:color w:val="auto"/>
              </w:rPr>
            </w:pPr>
            <w:r>
              <w:rPr>
                <w:rFonts w:ascii="Arial" w:cs="Arial" w:eastAsia="Arial" w:hAnsi="Arial"/>
                <w:sz w:val="14"/>
                <w:szCs w:val="14"/>
                <w:color w:val="131E29"/>
              </w:rPr>
              <w:t>(Address of Principal Executive Offices)</w:t>
            </w:r>
          </w:p>
        </w:tc>
        <w:tc>
          <w:tcPr>
            <w:tcW w:w="860" w:type="dxa"/>
            <w:vAlign w:val="bottom"/>
          </w:tcPr>
          <w:p>
            <w:pPr>
              <w:spacing w:after="0"/>
              <w:rPr>
                <w:sz w:val="20"/>
                <w:szCs w:val="20"/>
                <w:color w:val="auto"/>
              </w:rPr>
            </w:pPr>
          </w:p>
        </w:tc>
        <w:tc>
          <w:tcPr>
            <w:tcW w:w="3760" w:type="dxa"/>
            <w:vAlign w:val="bottom"/>
          </w:tcPr>
          <w:p>
            <w:pPr>
              <w:jc w:val="center"/>
              <w:ind w:right="2476"/>
              <w:spacing w:after="0"/>
              <w:rPr>
                <w:sz w:val="20"/>
                <w:szCs w:val="20"/>
                <w:color w:val="auto"/>
              </w:rPr>
            </w:pPr>
            <w:r>
              <w:rPr>
                <w:rFonts w:ascii="Arial" w:cs="Arial" w:eastAsia="Arial" w:hAnsi="Arial"/>
                <w:sz w:val="14"/>
                <w:szCs w:val="14"/>
                <w:color w:val="131E29"/>
              </w:rPr>
              <w:t>(Zip Code)</w:t>
            </w:r>
          </w:p>
        </w:tc>
        <w:tc>
          <w:tcPr>
            <w:tcW w:w="0" w:type="dxa"/>
            <w:vAlign w:val="bottom"/>
          </w:tcPr>
          <w:p>
            <w:pPr>
              <w:spacing w:after="0"/>
              <w:rPr>
                <w:sz w:val="1"/>
                <w:szCs w:val="1"/>
                <w:color w:val="auto"/>
              </w:rPr>
            </w:pPr>
          </w:p>
        </w:tc>
      </w:tr>
      <w:tr>
        <w:trPr>
          <w:trHeight w:val="498"/>
        </w:trPr>
        <w:tc>
          <w:tcPr>
            <w:tcW w:w="3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131E29"/>
              </w:rPr>
              <w:t>(541) 955-4700</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760" w:type="dxa"/>
            <w:vAlign w:val="bottom"/>
          </w:tcPr>
          <w:p>
            <w:pPr>
              <w:spacing w:after="0"/>
              <w:rPr>
                <w:sz w:val="13"/>
                <w:szCs w:val="13"/>
                <w:color w:val="auto"/>
              </w:rPr>
            </w:pPr>
          </w:p>
        </w:tc>
        <w:tc>
          <w:tcPr>
            <w:tcW w:w="7500" w:type="dxa"/>
            <w:vAlign w:val="bottom"/>
            <w:gridSpan w:val="4"/>
          </w:tcPr>
          <w:p>
            <w:pPr>
              <w:jc w:val="center"/>
              <w:ind w:right="3696"/>
              <w:spacing w:after="0" w:line="153" w:lineRule="exact"/>
              <w:rPr>
                <w:sz w:val="20"/>
                <w:szCs w:val="20"/>
                <w:color w:val="auto"/>
              </w:rPr>
            </w:pPr>
            <w:r>
              <w:rPr>
                <w:rFonts w:ascii="Arial" w:cs="Arial" w:eastAsia="Arial" w:hAnsi="Arial"/>
                <w:sz w:val="14"/>
                <w:szCs w:val="14"/>
                <w:color w:val="131E29"/>
              </w:rPr>
              <w:t>(Registrant's telephone number, including area code)</w:t>
            </w:r>
          </w:p>
        </w:tc>
        <w:tc>
          <w:tcPr>
            <w:tcW w:w="0" w:type="dxa"/>
            <w:vAlign w:val="bottom"/>
          </w:tcPr>
          <w:p>
            <w:pPr>
              <w:spacing w:after="0"/>
              <w:rPr>
                <w:sz w:val="1"/>
                <w:szCs w:val="1"/>
                <w:color w:val="auto"/>
              </w:rPr>
            </w:pPr>
          </w:p>
        </w:tc>
      </w:tr>
      <w:tr>
        <w:trPr>
          <w:trHeight w:val="239"/>
        </w:trPr>
        <w:tc>
          <w:tcPr>
            <w:tcW w:w="7500" w:type="dxa"/>
            <w:vAlign w:val="bottom"/>
            <w:gridSpan w:val="4"/>
          </w:tcPr>
          <w:p>
            <w:pPr>
              <w:jc w:val="right"/>
              <w:ind w:right="296"/>
              <w:spacing w:after="0"/>
              <w:rPr>
                <w:sz w:val="20"/>
                <w:szCs w:val="20"/>
                <w:color w:val="auto"/>
              </w:rPr>
            </w:pPr>
            <w:r>
              <w:rPr>
                <w:rFonts w:ascii="Arial" w:cs="Arial" w:eastAsia="Arial" w:hAnsi="Arial"/>
                <w:sz w:val="18"/>
                <w:szCs w:val="18"/>
                <w:b w:val="1"/>
                <w:bCs w:val="1"/>
                <w:color w:val="auto"/>
              </w:rPr>
              <w:t>______________________________</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40" w:type="dxa"/>
            <w:vAlign w:val="bottom"/>
            <w:gridSpan w:val="3"/>
          </w:tcPr>
          <w:p>
            <w:pPr>
              <w:spacing w:after="0"/>
              <w:rPr>
                <w:sz w:val="20"/>
                <w:szCs w:val="20"/>
                <w:color w:val="auto"/>
              </w:rPr>
            </w:pPr>
            <w:r>
              <w:rPr>
                <w:rFonts w:ascii="Arial" w:cs="Arial" w:eastAsia="Arial" w:hAnsi="Arial"/>
                <w:sz w:val="18"/>
                <w:szCs w:val="18"/>
                <w:b w:val="1"/>
                <w:bCs w:val="1"/>
                <w:color w:val="131E29"/>
              </w:rPr>
              <w:t>Securities registered pursuant to Section 12(b) of the Act:</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Title of Each Class</w:t>
            </w:r>
          </w:p>
        </w:tc>
        <w:tc>
          <w:tcPr>
            <w:tcW w:w="1040" w:type="dxa"/>
            <w:vAlign w:val="bottom"/>
          </w:tcPr>
          <w:p>
            <w:pPr>
              <w:spacing w:after="0"/>
              <w:rPr>
                <w:sz w:val="20"/>
                <w:szCs w:val="20"/>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131E29"/>
                <w:w w:val="99"/>
              </w:rPr>
              <w:t>Trading Symbol</w:t>
            </w:r>
          </w:p>
        </w:tc>
        <w:tc>
          <w:tcPr>
            <w:tcW w:w="86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Name of Exchange on which Registered</w:t>
            </w: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w:t>
            </w:r>
          </w:p>
        </w:tc>
        <w:tc>
          <w:tcPr>
            <w:tcW w:w="1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104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rPr>
              <w:t>BROS</w:t>
            </w:r>
          </w:p>
        </w:tc>
        <w:tc>
          <w:tcPr>
            <w:tcW w:w="86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31E29"/>
                <w:w w:val="98"/>
              </w:rPr>
              <w:t>The New York Stock Exchange</w:t>
            </w: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131E2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91"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131E2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8"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131E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440" w:right="319" w:bottom="96"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17"/>
        </w:trPr>
        <w:tc>
          <w:tcPr>
            <w:tcW w:w="2980" w:type="dxa"/>
            <w:vAlign w:val="bottom"/>
            <w:vMerge w:val="restart"/>
          </w:tcPr>
          <w:p>
            <w:pPr>
              <w:spacing w:after="0"/>
              <w:rPr>
                <w:sz w:val="20"/>
                <w:szCs w:val="20"/>
                <w:color w:val="auto"/>
              </w:rPr>
            </w:pPr>
            <w:r>
              <w:rPr>
                <w:rFonts w:ascii="Arial" w:cs="Arial" w:eastAsia="Arial" w:hAnsi="Arial"/>
                <w:sz w:val="18"/>
                <w:szCs w:val="18"/>
                <w:color w:val="131E29"/>
              </w:rPr>
              <w:t>Large accelerated filer</w:t>
            </w:r>
          </w:p>
        </w:tc>
        <w:tc>
          <w:tcPr>
            <w:tcW w:w="2420" w:type="dxa"/>
            <w:vAlign w:val="bottom"/>
          </w:tcPr>
          <w:p>
            <w:pPr>
              <w:ind w:left="1200"/>
              <w:spacing w:after="0"/>
              <w:rPr>
                <w:sz w:val="20"/>
                <w:szCs w:val="20"/>
                <w:color w:val="auto"/>
              </w:rPr>
            </w:pPr>
            <w:r>
              <w:rPr>
                <w:rFonts w:ascii="Arial" w:cs="Arial" w:eastAsia="Arial" w:hAnsi="Arial"/>
                <w:sz w:val="18"/>
                <w:szCs w:val="18"/>
                <w:color w:val="131E29"/>
              </w:rPr>
              <w:t>o</w:t>
            </w:r>
          </w:p>
        </w:tc>
        <w:tc>
          <w:tcPr>
            <w:tcW w:w="4300" w:type="dxa"/>
            <w:vAlign w:val="bottom"/>
          </w:tcPr>
          <w:p>
            <w:pPr>
              <w:ind w:left="1120"/>
              <w:spacing w:after="0"/>
              <w:rPr>
                <w:sz w:val="20"/>
                <w:szCs w:val="20"/>
                <w:color w:val="auto"/>
              </w:rPr>
            </w:pPr>
            <w:r>
              <w:rPr>
                <w:rFonts w:ascii="Arial" w:cs="Arial" w:eastAsia="Arial" w:hAnsi="Arial"/>
                <w:sz w:val="18"/>
                <w:szCs w:val="18"/>
                <w:color w:val="131E29"/>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131E29"/>
                <w:w w:val="79"/>
              </w:rPr>
              <w:t>o</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131E29"/>
              </w:rPr>
              <w:t>Non-accelerated filer</w:t>
            </w:r>
          </w:p>
        </w:tc>
        <w:tc>
          <w:tcPr>
            <w:tcW w:w="2420" w:type="dxa"/>
            <w:vAlign w:val="bottom"/>
          </w:tcPr>
          <w:p>
            <w:pPr>
              <w:ind w:left="1200"/>
              <w:spacing w:after="0"/>
              <w:rPr>
                <w:sz w:val="20"/>
                <w:szCs w:val="20"/>
                <w:color w:val="auto"/>
              </w:rPr>
            </w:pPr>
            <w:r>
              <w:rPr>
                <w:rFonts w:ascii="Arial" w:cs="Arial" w:eastAsia="Arial" w:hAnsi="Arial"/>
                <w:sz w:val="18"/>
                <w:szCs w:val="18"/>
                <w:color w:val="131E29"/>
              </w:rPr>
              <w:t>x</w:t>
            </w:r>
          </w:p>
        </w:tc>
        <w:tc>
          <w:tcPr>
            <w:tcW w:w="4300" w:type="dxa"/>
            <w:vAlign w:val="bottom"/>
          </w:tcPr>
          <w:p>
            <w:pPr>
              <w:ind w:left="1120"/>
              <w:spacing w:after="0"/>
              <w:rPr>
                <w:sz w:val="20"/>
                <w:szCs w:val="20"/>
                <w:color w:val="auto"/>
              </w:rPr>
            </w:pPr>
            <w:r>
              <w:rPr>
                <w:rFonts w:ascii="Arial" w:cs="Arial" w:eastAsia="Arial" w:hAnsi="Arial"/>
                <w:sz w:val="18"/>
                <w:szCs w:val="18"/>
                <w:color w:val="131E29"/>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131E29"/>
                <w:w w:val="79"/>
              </w:rPr>
              <w:t>o</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tcPr>
          <w:p>
            <w:pPr>
              <w:ind w:left="1120"/>
              <w:spacing w:after="0"/>
              <w:rPr>
                <w:sz w:val="20"/>
                <w:szCs w:val="20"/>
                <w:color w:val="auto"/>
              </w:rPr>
            </w:pPr>
            <w:r>
              <w:rPr>
                <w:rFonts w:ascii="Arial" w:cs="Arial" w:eastAsia="Arial" w:hAnsi="Arial"/>
                <w:sz w:val="18"/>
                <w:szCs w:val="18"/>
                <w:color w:val="131E29"/>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131E29"/>
                <w:w w:val="8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Indicate by check mark whether the registrant is a shell company (as defined in Rule 12b-2 of the Act). Yes o No 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As of August 8, 2022, the registrant’s outstanding shares of common stock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20" w:type="dxa"/>
            <w:vAlign w:val="bottom"/>
          </w:tcPr>
          <w:p>
            <w:pPr>
              <w:spacing w:after="0"/>
              <w:rPr>
                <w:sz w:val="21"/>
                <w:szCs w:val="21"/>
                <w:color w:val="auto"/>
              </w:rPr>
            </w:pPr>
          </w:p>
        </w:tc>
        <w:tc>
          <w:tcPr>
            <w:tcW w:w="324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A common stock</w:t>
            </w:r>
          </w:p>
        </w:tc>
        <w:tc>
          <w:tcPr>
            <w:tcW w:w="2780" w:type="dxa"/>
            <w:vAlign w:val="bottom"/>
            <w:tcBorders>
              <w:bottom w:val="single" w:sz="8" w:color="D2DCE5"/>
            </w:tcBorders>
            <w:shd w:val="clear" w:color="auto" w:fill="D2DCE5"/>
          </w:tcPr>
          <w:p>
            <w:pPr>
              <w:jc w:val="right"/>
              <w:ind w:right="970"/>
              <w:spacing w:after="0"/>
              <w:rPr>
                <w:sz w:val="20"/>
                <w:szCs w:val="20"/>
                <w:color w:val="auto"/>
              </w:rPr>
            </w:pPr>
            <w:r>
              <w:rPr>
                <w:rFonts w:ascii="Arial" w:cs="Arial" w:eastAsia="Arial" w:hAnsi="Arial"/>
                <w:sz w:val="18"/>
                <w:szCs w:val="18"/>
                <w:color w:val="auto"/>
              </w:rPr>
              <w:t>39,557,996</w:t>
            </w:r>
          </w:p>
        </w:tc>
        <w:tc>
          <w:tcPr>
            <w:tcW w:w="260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B common stock</w:t>
            </w:r>
          </w:p>
        </w:tc>
        <w:tc>
          <w:tcPr>
            <w:tcW w:w="2780" w:type="dxa"/>
            <w:vAlign w:val="bottom"/>
          </w:tcPr>
          <w:p>
            <w:pPr>
              <w:jc w:val="right"/>
              <w:ind w:right="970"/>
              <w:spacing w:after="0"/>
              <w:rPr>
                <w:sz w:val="20"/>
                <w:szCs w:val="20"/>
                <w:color w:val="auto"/>
              </w:rPr>
            </w:pPr>
            <w:r>
              <w:rPr>
                <w:rFonts w:ascii="Arial" w:cs="Arial" w:eastAsia="Arial" w:hAnsi="Arial"/>
                <w:sz w:val="18"/>
                <w:szCs w:val="18"/>
                <w:color w:val="auto"/>
              </w:rPr>
              <w:t>64,699,136</w:t>
            </w:r>
          </w:p>
        </w:tc>
        <w:tc>
          <w:tcPr>
            <w:tcW w:w="260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620" w:type="dxa"/>
            <w:vAlign w:val="bottom"/>
          </w:tcPr>
          <w:p>
            <w:pPr>
              <w:spacing w:after="0"/>
              <w:rPr>
                <w:sz w:val="21"/>
                <w:szCs w:val="21"/>
                <w:color w:val="auto"/>
              </w:rPr>
            </w:pPr>
          </w:p>
        </w:tc>
        <w:tc>
          <w:tcPr>
            <w:tcW w:w="324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C common stock</w:t>
            </w:r>
          </w:p>
        </w:tc>
        <w:tc>
          <w:tcPr>
            <w:tcW w:w="2780" w:type="dxa"/>
            <w:vAlign w:val="bottom"/>
            <w:tcBorders>
              <w:bottom w:val="single" w:sz="8" w:color="D2DCE5"/>
            </w:tcBorders>
            <w:shd w:val="clear" w:color="auto" w:fill="D2DCE5"/>
          </w:tcPr>
          <w:p>
            <w:pPr>
              <w:jc w:val="right"/>
              <w:ind w:right="970"/>
              <w:spacing w:after="0"/>
              <w:rPr>
                <w:sz w:val="20"/>
                <w:szCs w:val="20"/>
                <w:color w:val="auto"/>
              </w:rPr>
            </w:pPr>
            <w:r>
              <w:rPr>
                <w:rFonts w:ascii="Arial" w:cs="Arial" w:eastAsia="Arial" w:hAnsi="Arial"/>
                <w:sz w:val="18"/>
                <w:szCs w:val="18"/>
                <w:color w:val="auto"/>
              </w:rPr>
              <w:t>45,385,636</w:t>
            </w:r>
          </w:p>
        </w:tc>
        <w:tc>
          <w:tcPr>
            <w:tcW w:w="260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D common stock</w:t>
            </w:r>
          </w:p>
        </w:tc>
        <w:tc>
          <w:tcPr>
            <w:tcW w:w="2780" w:type="dxa"/>
            <w:vAlign w:val="bottom"/>
          </w:tcPr>
          <w:p>
            <w:pPr>
              <w:jc w:val="right"/>
              <w:ind w:right="970"/>
              <w:spacing w:after="0"/>
              <w:rPr>
                <w:sz w:val="20"/>
                <w:szCs w:val="20"/>
                <w:color w:val="auto"/>
              </w:rPr>
            </w:pPr>
            <w:r>
              <w:rPr>
                <w:rFonts w:ascii="Arial" w:cs="Arial" w:eastAsia="Arial" w:hAnsi="Arial"/>
                <w:sz w:val="18"/>
                <w:szCs w:val="18"/>
                <w:color w:val="auto"/>
              </w:rPr>
              <w:t>14,061,817</w:t>
            </w:r>
          </w:p>
        </w:tc>
        <w:tc>
          <w:tcPr>
            <w:tcW w:w="2600" w:type="dxa"/>
            <w:vAlign w:val="bottom"/>
          </w:tcPr>
          <w:p>
            <w:pPr>
              <w:spacing w:after="0"/>
              <w:rPr>
                <w:sz w:val="21"/>
                <w:szCs w:val="21"/>
                <w:color w:val="auto"/>
              </w:rPr>
            </w:pPr>
          </w:p>
        </w:tc>
      </w:tr>
      <w:tr>
        <w:trPr>
          <w:trHeight w:val="297"/>
        </w:trPr>
        <w:tc>
          <w:tcPr>
            <w:tcW w:w="26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661"/>
        </w:trPr>
        <w:tc>
          <w:tcPr>
            <w:tcW w:w="26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2" w:name="page3"/>
    <w:bookmarkEnd w:id="2"/>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320" w:type="dxa"/>
            <w:vAlign w:val="bottom"/>
          </w:tcPr>
          <w:p>
            <w:pPr>
              <w:spacing w:after="0"/>
              <w:rPr>
                <w:sz w:val="24"/>
                <w:szCs w:val="24"/>
                <w:color w:val="auto"/>
              </w:rPr>
            </w:pPr>
          </w:p>
        </w:tc>
        <w:tc>
          <w:tcPr>
            <w:tcW w:w="7620" w:type="dxa"/>
            <w:vAlign w:val="bottom"/>
          </w:tcPr>
          <w:p>
            <w:pPr>
              <w:jc w:val="center"/>
              <w:ind w:left="908"/>
              <w:spacing w:after="0"/>
              <w:rPr>
                <w:sz w:val="20"/>
                <w:szCs w:val="20"/>
                <w:color w:val="auto"/>
              </w:rPr>
            </w:pPr>
            <w:r>
              <w:rPr>
                <w:rFonts w:ascii="Arial" w:cs="Arial" w:eastAsia="Arial" w:hAnsi="Arial"/>
                <w:sz w:val="25"/>
                <w:szCs w:val="25"/>
                <w:b w:val="1"/>
                <w:bCs w:val="1"/>
                <w:color w:val="00416B"/>
              </w:rPr>
              <w:t>DUTCH BROS INC.</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320" w:type="dxa"/>
            <w:vAlign w:val="bottom"/>
          </w:tcPr>
          <w:p>
            <w:pPr>
              <w:spacing w:after="0"/>
              <w:rPr>
                <w:sz w:val="22"/>
                <w:szCs w:val="22"/>
                <w:color w:val="auto"/>
              </w:rPr>
            </w:pPr>
          </w:p>
        </w:tc>
        <w:tc>
          <w:tcPr>
            <w:tcW w:w="7620" w:type="dxa"/>
            <w:vAlign w:val="bottom"/>
          </w:tcPr>
          <w:p>
            <w:pPr>
              <w:jc w:val="center"/>
              <w:ind w:left="888"/>
              <w:spacing w:after="0"/>
              <w:rPr>
                <w:sz w:val="20"/>
                <w:szCs w:val="20"/>
                <w:color w:val="auto"/>
              </w:rPr>
            </w:pPr>
            <w:r>
              <w:rPr>
                <w:rFonts w:ascii="Arial" w:cs="Arial" w:eastAsia="Arial" w:hAnsi="Arial"/>
                <w:sz w:val="18"/>
                <w:szCs w:val="18"/>
                <w:color w:val="131E29"/>
                <w:w w:val="99"/>
              </w:rPr>
              <w:t>QUARTERLY REPORT ON FORM 10-Q</w:t>
            </w: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7620" w:type="dxa"/>
            <w:vAlign w:val="bottom"/>
          </w:tcPr>
          <w:p>
            <w:pPr>
              <w:jc w:val="center"/>
              <w:ind w:left="908"/>
              <w:spacing w:after="0"/>
              <w:rPr>
                <w:sz w:val="20"/>
                <w:szCs w:val="20"/>
                <w:color w:val="auto"/>
              </w:rPr>
            </w:pPr>
            <w:r>
              <w:rPr>
                <w:rFonts w:ascii="Arial" w:cs="Arial" w:eastAsia="Arial" w:hAnsi="Arial"/>
                <w:sz w:val="18"/>
                <w:szCs w:val="18"/>
                <w:color w:val="131E29"/>
                <w:w w:val="99"/>
              </w:rPr>
              <w:t>TABLE OF CONTENTS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b w:val="1"/>
                <w:bCs w:val="1"/>
                <w:color w:val="131E29"/>
              </w:rPr>
              <w:t>Page</w:t>
            </w:r>
          </w:p>
        </w:tc>
        <w:tc>
          <w:tcPr>
            <w:tcW w:w="0" w:type="dxa"/>
            <w:vAlign w:val="bottom"/>
          </w:tcPr>
          <w:p>
            <w:pPr>
              <w:spacing w:after="0"/>
              <w:rPr>
                <w:sz w:val="1"/>
                <w:szCs w:val="1"/>
                <w:color w:val="auto"/>
              </w:rPr>
            </w:pPr>
          </w:p>
        </w:tc>
      </w:tr>
      <w:tr>
        <w:trPr>
          <w:trHeight w:val="364"/>
        </w:trPr>
        <w:tc>
          <w:tcPr>
            <w:tcW w:w="1320" w:type="dxa"/>
            <w:vAlign w:val="bottom"/>
          </w:tcPr>
          <w:p>
            <w:pPr>
              <w:ind w:left="20"/>
              <w:spacing w:after="0"/>
              <w:rPr>
                <w:sz w:val="20"/>
                <w:szCs w:val="20"/>
                <w:color w:val="auto"/>
              </w:rPr>
            </w:pPr>
            <w:r>
              <w:rPr>
                <w:rFonts w:ascii="Arial" w:cs="Arial" w:eastAsia="Arial" w:hAnsi="Arial"/>
                <w:sz w:val="18"/>
                <w:szCs w:val="18"/>
                <w:color w:val="131E29"/>
              </w:rPr>
              <w:t>Glossary</w:t>
            </w:r>
          </w:p>
        </w:tc>
        <w:tc>
          <w:tcPr>
            <w:tcW w:w="7620" w:type="dxa"/>
            <w:vAlign w:val="bottom"/>
          </w:tcPr>
          <w:p>
            <w:pPr>
              <w:spacing w:after="0"/>
              <w:rPr>
                <w:sz w:val="24"/>
                <w:szCs w:val="24"/>
                <w:color w:val="auto"/>
              </w:rPr>
            </w:pP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w:t>
            </w:r>
          </w:p>
        </w:tc>
        <w:tc>
          <w:tcPr>
            <w:tcW w:w="0" w:type="dxa"/>
            <w:vAlign w:val="bottom"/>
          </w:tcPr>
          <w:p>
            <w:pPr>
              <w:spacing w:after="0"/>
              <w:rPr>
                <w:sz w:val="1"/>
                <w:szCs w:val="1"/>
                <w:color w:val="auto"/>
              </w:rPr>
            </w:pPr>
          </w:p>
        </w:tc>
      </w:tr>
      <w:tr>
        <w:trPr>
          <w:trHeight w:val="189"/>
        </w:trPr>
        <w:tc>
          <w:tcPr>
            <w:tcW w:w="8940" w:type="dxa"/>
            <w:vAlign w:val="bottom"/>
            <w:tcBorders>
              <w:bottom w:val="single" w:sz="8" w:color="D2DCE5"/>
            </w:tcBorders>
            <w:gridSpan w:val="2"/>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940" w:type="dxa"/>
            <w:vAlign w:val="bottom"/>
            <w:gridSpan w:val="2"/>
          </w:tcPr>
          <w:p>
            <w:pPr>
              <w:ind w:left="20"/>
              <w:spacing w:after="0"/>
              <w:rPr>
                <w:sz w:val="20"/>
                <w:szCs w:val="20"/>
                <w:color w:val="auto"/>
              </w:rPr>
            </w:pPr>
            <w:r>
              <w:rPr>
                <w:rFonts w:ascii="Arial" w:cs="Arial" w:eastAsia="Arial" w:hAnsi="Arial"/>
                <w:sz w:val="18"/>
                <w:szCs w:val="18"/>
                <w:color w:val="131E29"/>
              </w:rPr>
              <w:t>Forward-Looking Statements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2</w:t>
            </w:r>
          </w:p>
        </w:tc>
        <w:tc>
          <w:tcPr>
            <w:tcW w:w="0" w:type="dxa"/>
            <w:vAlign w:val="bottom"/>
          </w:tcPr>
          <w:p>
            <w:pPr>
              <w:spacing w:after="0"/>
              <w:rPr>
                <w:sz w:val="1"/>
                <w:szCs w:val="1"/>
                <w:color w:val="auto"/>
              </w:rPr>
            </w:pPr>
          </w:p>
        </w:tc>
      </w:tr>
      <w:tr>
        <w:trPr>
          <w:trHeight w:val="189"/>
        </w:trPr>
        <w:tc>
          <w:tcPr>
            <w:tcW w:w="1320" w:type="dxa"/>
            <w:vAlign w:val="bottom"/>
            <w:tcBorders>
              <w:bottom w:val="single" w:sz="8" w:color="D2DCE5"/>
            </w:tcBorders>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w:t>
            </w:r>
          </w:p>
        </w:tc>
        <w:tc>
          <w:tcPr>
            <w:tcW w:w="7620" w:type="dxa"/>
            <w:vAlign w:val="bottom"/>
          </w:tcPr>
          <w:p>
            <w:pPr>
              <w:ind w:left="20"/>
              <w:spacing w:after="0"/>
              <w:rPr>
                <w:sz w:val="20"/>
                <w:szCs w:val="20"/>
                <w:color w:val="auto"/>
              </w:rPr>
            </w:pPr>
            <w:r>
              <w:rPr>
                <w:rFonts w:ascii="Arial" w:cs="Arial" w:eastAsia="Arial" w:hAnsi="Arial"/>
                <w:sz w:val="18"/>
                <w:szCs w:val="18"/>
                <w:b w:val="1"/>
                <w:bCs w:val="1"/>
                <w:color w:val="006098"/>
              </w:rPr>
              <w:t>FINANCIAL INFORMATION</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20" w:type="dxa"/>
            <w:vAlign w:val="bottom"/>
            <w:tcBorders>
              <w:bottom w:val="single" w:sz="8" w:color="FDE021"/>
            </w:tcBorders>
          </w:tcPr>
          <w:p>
            <w:pPr>
              <w:spacing w:after="0"/>
              <w:rPr>
                <w:sz w:val="14"/>
                <w:szCs w:val="14"/>
                <w:color w:val="auto"/>
              </w:rPr>
            </w:pPr>
          </w:p>
        </w:tc>
        <w:tc>
          <w:tcPr>
            <w:tcW w:w="7620" w:type="dxa"/>
            <w:vAlign w:val="bottom"/>
            <w:tcBorders>
              <w:bottom w:val="single" w:sz="8" w:color="FDE021"/>
            </w:tcBorders>
          </w:tcPr>
          <w:p>
            <w:pPr>
              <w:spacing w:after="0"/>
              <w:rPr>
                <w:sz w:val="14"/>
                <w:szCs w:val="14"/>
                <w:color w:val="auto"/>
              </w:rPr>
            </w:pPr>
          </w:p>
        </w:tc>
        <w:tc>
          <w:tcPr>
            <w:tcW w:w="2300" w:type="dxa"/>
            <w:vAlign w:val="bottom"/>
            <w:tcBorders>
              <w:bottom w:val="single" w:sz="8" w:color="FDE021"/>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2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2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Financial Statements</w:t>
            </w:r>
          </w:p>
        </w:tc>
        <w:tc>
          <w:tcPr>
            <w:tcW w:w="2300" w:type="dxa"/>
            <w:vAlign w:val="bottom"/>
            <w:tcBorders>
              <w:top w:val="single" w:sz="8" w:color="00416B"/>
            </w:tcBorders>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Balance Sheets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Operations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5</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Comprehensive Income (Loss)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6</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Stockholders’/Members’ Equity</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7</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Cash Flows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10</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Notes to Condensed Consolidated Financial Statements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12</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20" w:type="dxa"/>
            <w:vAlign w:val="bottom"/>
          </w:tcPr>
          <w:p>
            <w:pPr>
              <w:ind w:left="20"/>
              <w:spacing w:after="0"/>
              <w:rPr>
                <w:sz w:val="20"/>
                <w:szCs w:val="20"/>
                <w:color w:val="auto"/>
              </w:rPr>
            </w:pPr>
            <w:r>
              <w:rPr>
                <w:rFonts w:ascii="Arial" w:cs="Arial" w:eastAsia="Arial" w:hAnsi="Arial"/>
                <w:sz w:val="18"/>
                <w:szCs w:val="18"/>
                <w:color w:val="131E29"/>
              </w:rPr>
              <w:t>Management’s Discussion and Analysis of Financial Condition and</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37</w:t>
            </w:r>
          </w:p>
        </w:tc>
        <w:tc>
          <w:tcPr>
            <w:tcW w:w="0" w:type="dxa"/>
            <w:vAlign w:val="bottom"/>
          </w:tcPr>
          <w:p>
            <w:pPr>
              <w:spacing w:after="0"/>
              <w:rPr>
                <w:sz w:val="1"/>
                <w:szCs w:val="1"/>
                <w:color w:val="auto"/>
              </w:rPr>
            </w:pPr>
          </w:p>
        </w:tc>
      </w:tr>
      <w:tr>
        <w:trPr>
          <w:trHeight w:val="217"/>
        </w:trPr>
        <w:tc>
          <w:tcPr>
            <w:tcW w:w="1320" w:type="dxa"/>
            <w:vAlign w:val="bottom"/>
            <w:vMerge w:val="continue"/>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Results of Operations</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20" w:type="dxa"/>
            <w:vAlign w:val="bottom"/>
          </w:tcPr>
          <w:p>
            <w:pPr>
              <w:ind w:left="20"/>
              <w:spacing w:after="0"/>
              <w:rPr>
                <w:sz w:val="20"/>
                <w:szCs w:val="20"/>
                <w:color w:val="auto"/>
              </w:rPr>
            </w:pPr>
            <w:r>
              <w:rPr>
                <w:rFonts w:ascii="Arial" w:cs="Arial" w:eastAsia="Arial" w:hAnsi="Arial"/>
                <w:sz w:val="18"/>
                <w:szCs w:val="18"/>
                <w:color w:val="131E29"/>
              </w:rPr>
              <w:t>Quantitative and Qualitative Disclosures About Market Risk</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56</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20" w:type="dxa"/>
            <w:vAlign w:val="bottom"/>
          </w:tcPr>
          <w:p>
            <w:pPr>
              <w:ind w:left="20"/>
              <w:spacing w:after="0"/>
              <w:rPr>
                <w:sz w:val="20"/>
                <w:szCs w:val="20"/>
                <w:color w:val="auto"/>
              </w:rPr>
            </w:pPr>
            <w:r>
              <w:rPr>
                <w:rFonts w:ascii="Arial" w:cs="Arial" w:eastAsia="Arial" w:hAnsi="Arial"/>
                <w:sz w:val="18"/>
                <w:szCs w:val="18"/>
                <w:color w:val="131E29"/>
              </w:rPr>
              <w:t>Controls and Procedures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57</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II</w:t>
            </w:r>
          </w:p>
        </w:tc>
        <w:tc>
          <w:tcPr>
            <w:tcW w:w="7620" w:type="dxa"/>
            <w:vAlign w:val="bottom"/>
          </w:tcPr>
          <w:p>
            <w:pPr>
              <w:ind w:left="20"/>
              <w:spacing w:after="0"/>
              <w:rPr>
                <w:sz w:val="20"/>
                <w:szCs w:val="20"/>
                <w:color w:val="auto"/>
              </w:rPr>
            </w:pPr>
            <w:r>
              <w:rPr>
                <w:rFonts w:ascii="Arial" w:cs="Arial" w:eastAsia="Arial" w:hAnsi="Arial"/>
                <w:sz w:val="18"/>
                <w:szCs w:val="18"/>
                <w:b w:val="1"/>
                <w:bCs w:val="1"/>
                <w:color w:val="006098"/>
              </w:rPr>
              <w:t>OTHER INFORMATION</w:t>
            </w:r>
          </w:p>
        </w:tc>
        <w:tc>
          <w:tcPr>
            <w:tcW w:w="2300" w:type="dxa"/>
            <w:vAlign w:val="bottom"/>
            <w:vMerge w:val="restart"/>
          </w:tcPr>
          <w:p>
            <w:pPr>
              <w:jc w:val="center"/>
              <w:ind w:left="149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20" w:type="dxa"/>
            <w:vAlign w:val="bottom"/>
            <w:tcBorders>
              <w:bottom w:val="single" w:sz="8" w:color="FDE021"/>
            </w:tcBorders>
          </w:tcPr>
          <w:p>
            <w:pPr>
              <w:spacing w:after="0"/>
              <w:rPr>
                <w:sz w:val="14"/>
                <w:szCs w:val="14"/>
                <w:color w:val="auto"/>
              </w:rPr>
            </w:pPr>
          </w:p>
        </w:tc>
        <w:tc>
          <w:tcPr>
            <w:tcW w:w="7620" w:type="dxa"/>
            <w:vAlign w:val="bottom"/>
            <w:tcBorders>
              <w:bottom w:val="single" w:sz="8" w:color="FDE021"/>
            </w:tcBorders>
          </w:tcPr>
          <w:p>
            <w:pPr>
              <w:spacing w:after="0"/>
              <w:rPr>
                <w:sz w:val="14"/>
                <w:szCs w:val="14"/>
                <w:color w:val="auto"/>
              </w:rPr>
            </w:pPr>
          </w:p>
        </w:tc>
        <w:tc>
          <w:tcPr>
            <w:tcW w:w="2300" w:type="dxa"/>
            <w:vAlign w:val="bottom"/>
            <w:tcBorders>
              <w:bottom w:val="single" w:sz="8" w:color="FDE021"/>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2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2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Legal Proceedings</w:t>
            </w:r>
          </w:p>
        </w:tc>
        <w:tc>
          <w:tcPr>
            <w:tcW w:w="2300" w:type="dxa"/>
            <w:vAlign w:val="bottom"/>
            <w:tcBorders>
              <w:top w:val="single" w:sz="8" w:color="00416B"/>
            </w:tcBorders>
          </w:tcPr>
          <w:p>
            <w:pPr>
              <w:jc w:val="center"/>
              <w:ind w:left="1490"/>
              <w:spacing w:after="0"/>
              <w:rPr>
                <w:sz w:val="20"/>
                <w:szCs w:val="20"/>
                <w:color w:val="auto"/>
              </w:rPr>
            </w:pPr>
            <w:r>
              <w:rPr>
                <w:rFonts w:ascii="Arial" w:cs="Arial" w:eastAsia="Arial" w:hAnsi="Arial"/>
                <w:sz w:val="18"/>
                <w:szCs w:val="18"/>
                <w:color w:val="131E29"/>
                <w:w w:val="99"/>
              </w:rPr>
              <w:t>58</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1A.</w:t>
            </w:r>
          </w:p>
        </w:tc>
        <w:tc>
          <w:tcPr>
            <w:tcW w:w="7620" w:type="dxa"/>
            <w:vAlign w:val="bottom"/>
          </w:tcPr>
          <w:p>
            <w:pPr>
              <w:ind w:left="20"/>
              <w:spacing w:after="0"/>
              <w:rPr>
                <w:sz w:val="20"/>
                <w:szCs w:val="20"/>
                <w:color w:val="auto"/>
              </w:rPr>
            </w:pPr>
            <w:r>
              <w:rPr>
                <w:rFonts w:ascii="Arial" w:cs="Arial" w:eastAsia="Arial" w:hAnsi="Arial"/>
                <w:sz w:val="18"/>
                <w:szCs w:val="18"/>
                <w:color w:val="131E29"/>
              </w:rPr>
              <w:t>Risk Factors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59</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20" w:type="dxa"/>
            <w:vAlign w:val="bottom"/>
          </w:tcPr>
          <w:p>
            <w:pPr>
              <w:ind w:left="20"/>
              <w:spacing w:after="0"/>
              <w:rPr>
                <w:sz w:val="20"/>
                <w:szCs w:val="20"/>
                <w:color w:val="auto"/>
              </w:rPr>
            </w:pPr>
            <w:r>
              <w:rPr>
                <w:rFonts w:ascii="Arial" w:cs="Arial" w:eastAsia="Arial" w:hAnsi="Arial"/>
                <w:sz w:val="18"/>
                <w:szCs w:val="18"/>
                <w:color w:val="131E29"/>
              </w:rPr>
              <w:t>Unregistered Sales of Equity Securities and Use of Proceeds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20" w:type="dxa"/>
            <w:vAlign w:val="bottom"/>
          </w:tcPr>
          <w:p>
            <w:pPr>
              <w:ind w:left="20"/>
              <w:spacing w:after="0"/>
              <w:rPr>
                <w:sz w:val="20"/>
                <w:szCs w:val="20"/>
                <w:color w:val="auto"/>
              </w:rPr>
            </w:pPr>
            <w:r>
              <w:rPr>
                <w:rFonts w:ascii="Arial" w:cs="Arial" w:eastAsia="Arial" w:hAnsi="Arial"/>
                <w:sz w:val="18"/>
                <w:szCs w:val="18"/>
                <w:color w:val="131E29"/>
              </w:rPr>
              <w:t>Defaults Upon Senior Securities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20" w:type="dxa"/>
            <w:vAlign w:val="bottom"/>
          </w:tcPr>
          <w:p>
            <w:pPr>
              <w:ind w:left="20"/>
              <w:spacing w:after="0"/>
              <w:rPr>
                <w:sz w:val="20"/>
                <w:szCs w:val="20"/>
                <w:color w:val="auto"/>
              </w:rPr>
            </w:pPr>
            <w:r>
              <w:rPr>
                <w:rFonts w:ascii="Arial" w:cs="Arial" w:eastAsia="Arial" w:hAnsi="Arial"/>
                <w:sz w:val="18"/>
                <w:szCs w:val="18"/>
                <w:color w:val="131E29"/>
              </w:rPr>
              <w:t>Mine Safety Disclosure</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5.</w:t>
            </w:r>
          </w:p>
        </w:tc>
        <w:tc>
          <w:tcPr>
            <w:tcW w:w="7620" w:type="dxa"/>
            <w:vAlign w:val="bottom"/>
          </w:tcPr>
          <w:p>
            <w:pPr>
              <w:ind w:left="20"/>
              <w:spacing w:after="0"/>
              <w:rPr>
                <w:sz w:val="20"/>
                <w:szCs w:val="20"/>
                <w:color w:val="auto"/>
              </w:rPr>
            </w:pPr>
            <w:r>
              <w:rPr>
                <w:rFonts w:ascii="Arial" w:cs="Arial" w:eastAsia="Arial" w:hAnsi="Arial"/>
                <w:sz w:val="18"/>
                <w:szCs w:val="18"/>
                <w:color w:val="131E29"/>
              </w:rPr>
              <w:t>Other Information</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6.</w:t>
            </w:r>
          </w:p>
        </w:tc>
        <w:tc>
          <w:tcPr>
            <w:tcW w:w="7620" w:type="dxa"/>
            <w:vAlign w:val="bottom"/>
          </w:tcPr>
          <w:p>
            <w:pPr>
              <w:ind w:left="20"/>
              <w:spacing w:after="0"/>
              <w:rPr>
                <w:sz w:val="20"/>
                <w:szCs w:val="20"/>
                <w:color w:val="auto"/>
              </w:rPr>
            </w:pPr>
            <w:r>
              <w:rPr>
                <w:rFonts w:ascii="Arial" w:cs="Arial" w:eastAsia="Arial" w:hAnsi="Arial"/>
                <w:sz w:val="18"/>
                <w:szCs w:val="18"/>
                <w:color w:val="131E29"/>
              </w:rPr>
              <w:t>Exhibits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104</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SIGNATURES</w:t>
            </w:r>
          </w:p>
        </w:tc>
        <w:tc>
          <w:tcPr>
            <w:tcW w:w="7620" w:type="dxa"/>
            <w:vAlign w:val="bottom"/>
          </w:tcPr>
          <w:p>
            <w:pPr>
              <w:spacing w:after="0"/>
              <w:rPr>
                <w:sz w:val="24"/>
                <w:szCs w:val="24"/>
                <w:color w:val="auto"/>
              </w:rPr>
            </w:pP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105</w:t>
            </w:r>
          </w:p>
        </w:tc>
        <w:tc>
          <w:tcPr>
            <w:tcW w:w="0" w:type="dxa"/>
            <w:vAlign w:val="bottom"/>
          </w:tcPr>
          <w:p>
            <w:pPr>
              <w:spacing w:after="0"/>
              <w:rPr>
                <w:sz w:val="1"/>
                <w:szCs w:val="1"/>
                <w:color w:val="auto"/>
              </w:rPr>
            </w:pPr>
          </w:p>
        </w:tc>
      </w:tr>
      <w:tr>
        <w:trPr>
          <w:trHeight w:val="336"/>
        </w:trPr>
        <w:tc>
          <w:tcPr>
            <w:tcW w:w="1320" w:type="dxa"/>
            <w:vAlign w:val="bottom"/>
            <w:tcBorders>
              <w:bottom w:val="single" w:sz="8" w:color="FDE021"/>
            </w:tcBorders>
          </w:tcPr>
          <w:p>
            <w:pPr>
              <w:spacing w:after="0"/>
              <w:rPr>
                <w:sz w:val="24"/>
                <w:szCs w:val="24"/>
                <w:color w:val="auto"/>
              </w:rPr>
            </w:pPr>
          </w:p>
        </w:tc>
        <w:tc>
          <w:tcPr>
            <w:tcW w:w="7620" w:type="dxa"/>
            <w:vAlign w:val="bottom"/>
            <w:tcBorders>
              <w:bottom w:val="single" w:sz="8" w:color="FDE021"/>
            </w:tcBorders>
          </w:tcPr>
          <w:p>
            <w:pPr>
              <w:spacing w:after="0"/>
              <w:rPr>
                <w:sz w:val="24"/>
                <w:szCs w:val="24"/>
                <w:color w:val="auto"/>
              </w:rPr>
            </w:pPr>
          </w:p>
        </w:tc>
        <w:tc>
          <w:tcPr>
            <w:tcW w:w="2300" w:type="dxa"/>
            <w:vAlign w:val="bottom"/>
            <w:tcBorders>
              <w:bottom w:val="single" w:sz="8" w:color="FDE021"/>
            </w:tcBorders>
          </w:tcPr>
          <w:p>
            <w:pPr>
              <w:spacing w:after="0"/>
              <w:rPr>
                <w:sz w:val="24"/>
                <w:szCs w:val="24"/>
                <w:color w:val="auto"/>
              </w:rPr>
            </w:pPr>
          </w:p>
        </w:tc>
        <w:tc>
          <w:tcPr>
            <w:tcW w:w="0" w:type="dxa"/>
            <w:vAlign w:val="bottom"/>
          </w:tcPr>
          <w:p>
            <w:pPr>
              <w:spacing w:after="0"/>
              <w:rPr>
                <w:sz w:val="1"/>
                <w:szCs w:val="1"/>
                <w:color w:val="auto"/>
              </w:rPr>
            </w:pPr>
          </w:p>
        </w:tc>
      </w:tr>
      <w:tr>
        <w:trPr>
          <w:trHeight w:val="1667"/>
        </w:trPr>
        <w:tc>
          <w:tcPr>
            <w:tcW w:w="1320" w:type="dxa"/>
            <w:vAlign w:val="bottom"/>
            <w:tcBorders>
              <w:top w:val="single" w:sz="8" w:color="00416B"/>
              <w:bottom w:val="single" w:sz="8" w:color="9A9A9A"/>
            </w:tcBorders>
          </w:tcPr>
          <w:p>
            <w:pPr>
              <w:spacing w:after="0"/>
              <w:rPr>
                <w:sz w:val="24"/>
                <w:szCs w:val="24"/>
                <w:color w:val="auto"/>
              </w:rPr>
            </w:pPr>
          </w:p>
        </w:tc>
        <w:tc>
          <w:tcPr>
            <w:tcW w:w="7620" w:type="dxa"/>
            <w:vAlign w:val="bottom"/>
            <w:tcBorders>
              <w:top w:val="single" w:sz="8" w:color="00416B"/>
              <w:bottom w:val="single" w:sz="8" w:color="9A9A9A"/>
            </w:tcBorders>
          </w:tcPr>
          <w:p>
            <w:pPr>
              <w:spacing w:after="0"/>
              <w:rPr>
                <w:sz w:val="24"/>
                <w:szCs w:val="24"/>
                <w:color w:val="auto"/>
              </w:rPr>
            </w:pPr>
          </w:p>
        </w:tc>
        <w:tc>
          <w:tcPr>
            <w:tcW w:w="2300" w:type="dxa"/>
            <w:vAlign w:val="bottom"/>
            <w:tcBorders>
              <w:top w:val="single" w:sz="8" w:color="00416B"/>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0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GLOSSARY</w:t>
      </w: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26" w:lineRule="exact"/>
        <w:rPr>
          <w:sz w:val="20"/>
          <w:szCs w:val="20"/>
          <w:color w:val="auto"/>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Blocker Companies </w:t>
      </w:r>
      <w:r>
        <w:rPr>
          <w:rFonts w:ascii="Arial" w:cs="Arial" w:eastAsia="Arial" w:hAnsi="Arial"/>
          <w:sz w:val="18"/>
          <w:szCs w:val="18"/>
          <w:color w:val="131E29"/>
        </w:rPr>
        <w:t>refers to certain Dutch Bros OpCo unitholders prior to the Reorganization Transactions that were taxable as</w:t>
      </w:r>
      <w:r>
        <w:rPr>
          <w:rFonts w:ascii="Arial" w:cs="Arial" w:eastAsia="Arial" w:hAnsi="Arial"/>
          <w:sz w:val="18"/>
          <w:szCs w:val="18"/>
          <w:b w:val="1"/>
          <w:bCs w:val="1"/>
          <w:color w:val="131E29"/>
        </w:rPr>
        <w:t xml:space="preserve"> </w:t>
      </w:r>
      <w:r>
        <w:rPr>
          <w:rFonts w:ascii="Arial" w:cs="Arial" w:eastAsia="Arial" w:hAnsi="Arial"/>
          <w:sz w:val="18"/>
          <w:szCs w:val="18"/>
          <w:color w:val="131E29"/>
        </w:rPr>
        <w:t>corporations for U.S. federal income tax purposes.</w:t>
      </w:r>
    </w:p>
    <w:p>
      <w:pPr>
        <w:spacing w:after="0" w:line="44"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BPS or bps </w:t>
      </w:r>
      <w:r>
        <w:rPr>
          <w:rFonts w:ascii="Arial" w:cs="Arial" w:eastAsia="Arial" w:hAnsi="Arial"/>
          <w:sz w:val="18"/>
          <w:szCs w:val="18"/>
          <w:color w:val="131E29"/>
        </w:rPr>
        <w:t>refers to basis points which is used to express differences in rates. One basis point is the equivalent of 1/100 of one</w:t>
      </w:r>
      <w:r>
        <w:rPr>
          <w:rFonts w:ascii="Arial" w:cs="Arial" w:eastAsia="Arial" w:hAnsi="Arial"/>
          <w:sz w:val="18"/>
          <w:szCs w:val="18"/>
          <w:b w:val="1"/>
          <w:bCs w:val="1"/>
          <w:color w:val="131E29"/>
        </w:rPr>
        <w:t xml:space="preserve"> </w:t>
      </w:r>
      <w:r>
        <w:rPr>
          <w:rFonts w:ascii="Arial" w:cs="Arial" w:eastAsia="Arial" w:hAnsi="Arial"/>
          <w:sz w:val="18"/>
          <w:szCs w:val="18"/>
          <w:color w:val="131E29"/>
        </w:rPr>
        <w:t>percent.</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Co-Founder </w:t>
      </w:r>
      <w:r>
        <w:rPr>
          <w:rFonts w:ascii="Arial" w:cs="Arial" w:eastAsia="Arial" w:hAnsi="Arial"/>
          <w:sz w:val="18"/>
          <w:szCs w:val="18"/>
          <w:color w:val="131E29"/>
        </w:rPr>
        <w:t>refers to Travis Boersma and certain affiliated entities over which he maintains voting control.</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Continuing Members </w:t>
      </w:r>
      <w:r>
        <w:rPr>
          <w:rFonts w:ascii="Arial" w:cs="Arial" w:eastAsia="Arial" w:hAnsi="Arial"/>
          <w:sz w:val="18"/>
          <w:szCs w:val="18"/>
          <w:color w:val="131E29"/>
        </w:rPr>
        <w:t>refers to the Co-Founder and the Sponsor.</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Dutch Bros OpCo </w:t>
      </w:r>
      <w:r>
        <w:rPr>
          <w:rFonts w:ascii="Arial" w:cs="Arial" w:eastAsia="Arial" w:hAnsi="Arial"/>
          <w:sz w:val="18"/>
          <w:szCs w:val="18"/>
          <w:color w:val="131E29"/>
        </w:rPr>
        <w:t>refers to Dutch Mafia, LLC, a Delaware limited liability company and direct subsidiary of Dutch Bros Inc.</w:t>
      </w:r>
    </w:p>
    <w:p>
      <w:pPr>
        <w:spacing w:after="0" w:line="117"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Dutch Bros PubCo </w:t>
      </w:r>
      <w:r>
        <w:rPr>
          <w:rFonts w:ascii="Arial" w:cs="Arial" w:eastAsia="Arial" w:hAnsi="Arial"/>
          <w:sz w:val="18"/>
          <w:szCs w:val="18"/>
          <w:color w:val="131E29"/>
        </w:rPr>
        <w:t>refers to Dutch Bros Inc., a Delaware corporation, of which its Class A common stock is publicly traded on the New</w:t>
      </w:r>
      <w:r>
        <w:rPr>
          <w:rFonts w:ascii="Arial" w:cs="Arial" w:eastAsia="Arial" w:hAnsi="Arial"/>
          <w:sz w:val="18"/>
          <w:szCs w:val="18"/>
          <w:b w:val="1"/>
          <w:bCs w:val="1"/>
          <w:color w:val="131E29"/>
        </w:rPr>
        <w:t xml:space="preserve"> </w:t>
      </w:r>
      <w:r>
        <w:rPr>
          <w:rFonts w:ascii="Arial" w:cs="Arial" w:eastAsia="Arial" w:hAnsi="Arial"/>
          <w:sz w:val="18"/>
          <w:szCs w:val="18"/>
          <w:color w:val="131E29"/>
        </w:rPr>
        <w:t>York Stock Exchange under the symbol “BROS”.</w:t>
      </w:r>
    </w:p>
    <w:p>
      <w:pPr>
        <w:spacing w:after="0" w:line="44"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IPO </w:t>
      </w:r>
      <w:r>
        <w:rPr>
          <w:rFonts w:ascii="Arial" w:cs="Arial" w:eastAsia="Arial" w:hAnsi="Arial"/>
          <w:sz w:val="18"/>
          <w:szCs w:val="18"/>
          <w:color w:val="131E29"/>
        </w:rPr>
        <w:t>refers to the Company’s initial public offering.</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N/M </w:t>
      </w:r>
      <w:r>
        <w:rPr>
          <w:rFonts w:ascii="Arial" w:cs="Arial" w:eastAsia="Arial" w:hAnsi="Arial"/>
          <w:sz w:val="18"/>
          <w:szCs w:val="18"/>
          <w:color w:val="131E29"/>
        </w:rPr>
        <w:t>refers to a not meaningful percentage.</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OpCo Units </w:t>
      </w:r>
      <w:r>
        <w:rPr>
          <w:rFonts w:ascii="Arial" w:cs="Arial" w:eastAsia="Arial" w:hAnsi="Arial"/>
          <w:sz w:val="18"/>
          <w:szCs w:val="18"/>
          <w:color w:val="131E29"/>
        </w:rPr>
        <w:t>refers to Class A common units, Class B voting units and Class C voting units of Dutch Bros OpCo, each as further defined</w:t>
      </w:r>
      <w:r>
        <w:rPr>
          <w:rFonts w:ascii="Arial" w:cs="Arial" w:eastAsia="Arial" w:hAnsi="Arial"/>
          <w:sz w:val="18"/>
          <w:szCs w:val="18"/>
          <w:b w:val="1"/>
          <w:bCs w:val="1"/>
          <w:color w:val="131E29"/>
        </w:rPr>
        <w:t xml:space="preserve"> </w:t>
      </w:r>
      <w:r>
        <w:rPr>
          <w:rFonts w:ascii="Arial" w:cs="Arial" w:eastAsia="Arial" w:hAnsi="Arial"/>
          <w:sz w:val="18"/>
          <w:szCs w:val="18"/>
          <w:color w:val="131E29"/>
        </w:rPr>
        <w:t>in the Third Amended and Restated Limited Liability Company Agreement of Dutch Bros OpCo, collectively.</w:t>
      </w:r>
    </w:p>
    <w:p>
      <w:pPr>
        <w:spacing w:after="0" w:line="44"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Pre-IPO Blocker Holders </w:t>
      </w:r>
      <w:r>
        <w:rPr>
          <w:rFonts w:ascii="Arial" w:cs="Arial" w:eastAsia="Arial" w:hAnsi="Arial"/>
          <w:sz w:val="18"/>
          <w:szCs w:val="18"/>
          <w:color w:val="131E29"/>
        </w:rPr>
        <w:t>refers to TSG7 A AIV VI Holdings-A, L.P. and DG Coinvestor Blocker Aggregator, L.P. or their assignees or</w:t>
      </w:r>
      <w:r>
        <w:rPr>
          <w:rFonts w:ascii="Arial" w:cs="Arial" w:eastAsia="Arial" w:hAnsi="Arial"/>
          <w:sz w:val="18"/>
          <w:szCs w:val="18"/>
          <w:b w:val="1"/>
          <w:bCs w:val="1"/>
          <w:color w:val="131E29"/>
        </w:rPr>
        <w:t xml:space="preserve"> </w:t>
      </w:r>
      <w:r>
        <w:rPr>
          <w:rFonts w:ascii="Arial" w:cs="Arial" w:eastAsia="Arial" w:hAnsi="Arial"/>
          <w:sz w:val="18"/>
          <w:szCs w:val="18"/>
          <w:color w:val="131E29"/>
        </w:rPr>
        <w:t>successors pursuant to the terms of the certain Reorganization Tax Receivable Agreement.</w:t>
      </w:r>
    </w:p>
    <w:p>
      <w:pPr>
        <w:spacing w:after="0" w:line="44"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QSR </w:t>
      </w:r>
      <w:r>
        <w:rPr>
          <w:rFonts w:ascii="Arial" w:cs="Arial" w:eastAsia="Arial" w:hAnsi="Arial"/>
          <w:sz w:val="18"/>
          <w:szCs w:val="18"/>
          <w:color w:val="131E29"/>
        </w:rPr>
        <w:t>refers to Quick Service Restaurant.</w:t>
      </w:r>
    </w:p>
    <w:p>
      <w:pPr>
        <w:spacing w:after="0" w:line="117"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Reorganization Transactions </w:t>
      </w:r>
      <w:r>
        <w:rPr>
          <w:rFonts w:ascii="Arial" w:cs="Arial" w:eastAsia="Arial" w:hAnsi="Arial"/>
          <w:sz w:val="18"/>
          <w:szCs w:val="18"/>
          <w:color w:val="131E29"/>
        </w:rPr>
        <w:t>has the meaning set forth in NOTE 1 — Organization and Background to the Condensed Consolidated</w:t>
      </w:r>
      <w:r>
        <w:rPr>
          <w:rFonts w:ascii="Arial" w:cs="Arial" w:eastAsia="Arial" w:hAnsi="Arial"/>
          <w:sz w:val="18"/>
          <w:szCs w:val="18"/>
          <w:b w:val="1"/>
          <w:bCs w:val="1"/>
          <w:color w:val="131E29"/>
        </w:rPr>
        <w:t xml:space="preserve"> </w:t>
      </w:r>
      <w:r>
        <w:rPr>
          <w:rFonts w:ascii="Arial" w:cs="Arial" w:eastAsia="Arial" w:hAnsi="Arial"/>
          <w:sz w:val="18"/>
          <w:szCs w:val="18"/>
          <w:color w:val="131E29"/>
        </w:rPr>
        <w:t>Financial Statements.</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RSA </w:t>
      </w:r>
      <w:r>
        <w:rPr>
          <w:rFonts w:ascii="Arial" w:cs="Arial" w:eastAsia="Arial" w:hAnsi="Arial"/>
          <w:sz w:val="18"/>
          <w:szCs w:val="18"/>
          <w:color w:val="131E29"/>
        </w:rPr>
        <w:t>refers to restricted stock awards.</w:t>
      </w:r>
    </w:p>
    <w:p>
      <w:pPr>
        <w:spacing w:after="0" w:line="117"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RSU </w:t>
      </w:r>
      <w:r>
        <w:rPr>
          <w:rFonts w:ascii="Arial" w:cs="Arial" w:eastAsia="Arial" w:hAnsi="Arial"/>
          <w:sz w:val="18"/>
          <w:szCs w:val="18"/>
          <w:color w:val="131E29"/>
        </w:rPr>
        <w:t>refers to restricted stock units.</w:t>
      </w:r>
    </w:p>
    <w:p>
      <w:pPr>
        <w:spacing w:after="0" w:line="117"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Secondary Offering </w:t>
      </w:r>
      <w:r>
        <w:rPr>
          <w:rFonts w:ascii="Arial" w:cs="Arial" w:eastAsia="Arial" w:hAnsi="Arial"/>
          <w:sz w:val="18"/>
          <w:szCs w:val="18"/>
          <w:color w:val="131E29"/>
        </w:rPr>
        <w:t>refers to the offering by certain selling stockholders, including entities affiliated with the Sponsor, of 5,000,000</w:t>
      </w:r>
      <w:r>
        <w:rPr>
          <w:rFonts w:ascii="Arial" w:cs="Arial" w:eastAsia="Arial" w:hAnsi="Arial"/>
          <w:sz w:val="18"/>
          <w:szCs w:val="18"/>
          <w:b w:val="1"/>
          <w:bCs w:val="1"/>
          <w:color w:val="131E29"/>
        </w:rPr>
        <w:t xml:space="preserve"> </w:t>
      </w:r>
      <w:r>
        <w:rPr>
          <w:rFonts w:ascii="Arial" w:cs="Arial" w:eastAsia="Arial" w:hAnsi="Arial"/>
          <w:sz w:val="18"/>
          <w:szCs w:val="18"/>
          <w:color w:val="131E29"/>
        </w:rPr>
        <w:t>shares of Class A common stock of Dutch Bros Inc. completed on March 10, 2022.</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
        </w:numPr>
        <w:rPr>
          <w:rFonts w:ascii="Arial" w:cs="Arial" w:eastAsia="Arial" w:hAnsi="Arial"/>
          <w:sz w:val="18"/>
          <w:szCs w:val="18"/>
          <w:color w:val="131E29"/>
        </w:rPr>
      </w:pPr>
      <w:r>
        <w:rPr>
          <w:rFonts w:ascii="Arial" w:cs="Arial" w:eastAsia="Arial" w:hAnsi="Arial"/>
          <w:sz w:val="18"/>
          <w:szCs w:val="18"/>
          <w:b w:val="1"/>
          <w:bCs w:val="1"/>
          <w:color w:val="131E29"/>
        </w:rPr>
        <w:t xml:space="preserve">Sponsor </w:t>
      </w:r>
      <w:r>
        <w:rPr>
          <w:rFonts w:ascii="Arial" w:cs="Arial" w:eastAsia="Arial" w:hAnsi="Arial"/>
          <w:sz w:val="18"/>
          <w:szCs w:val="18"/>
          <w:color w:val="131E29"/>
        </w:rPr>
        <w:t>refers to TSG Consumer Partners, L.P. and certain of its affiliates.</w:t>
      </w:r>
    </w:p>
    <w:p>
      <w:pPr>
        <w:spacing w:after="0" w:line="200" w:lineRule="exact"/>
        <w:rPr>
          <w:sz w:val="20"/>
          <w:szCs w:val="20"/>
          <w:color w:val="auto"/>
        </w:rPr>
      </w:pPr>
    </w:p>
    <w:p>
      <w:pPr>
        <w:spacing w:after="0" w:line="34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131E29"/>
        </w:rPr>
        <w:t>Dutch Bros</w:t>
      </w:r>
      <w:r>
        <w:rPr>
          <w:rFonts w:ascii="Arial" w:cs="Arial" w:eastAsia="Arial" w:hAnsi="Arial"/>
          <w:sz w:val="18"/>
          <w:szCs w:val="18"/>
          <w:color w:val="131E29"/>
        </w:rPr>
        <w:t>, our Windmill logo (</w:t>
      </w:r>
      <w:r>
        <w:rPr>
          <w:sz w:val="1"/>
          <w:szCs w:val="1"/>
          <w:color w:val="auto"/>
        </w:rPr>
        <w:drawing>
          <wp:inline distT="0" distB="0" distL="0" distR="0">
            <wp:extent cx="171450" cy="240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8"/>
          <w:szCs w:val="18"/>
          <w:color w:val="131E29"/>
        </w:rPr>
        <w:t xml:space="preserve">), </w:t>
      </w:r>
      <w:r>
        <w:rPr>
          <w:rFonts w:ascii="Arial" w:cs="Arial" w:eastAsia="Arial" w:hAnsi="Arial"/>
          <w:sz w:val="18"/>
          <w:szCs w:val="18"/>
          <w:i w:val="1"/>
          <w:iCs w:val="1"/>
          <w:color w:val="131E29"/>
        </w:rPr>
        <w:t>Dutch Bros Blue Rebel, Drink One for Dane,</w:t>
      </w:r>
      <w:r>
        <w:rPr>
          <w:rFonts w:ascii="Arial" w:cs="Arial" w:eastAsia="Arial" w:hAnsi="Arial"/>
          <w:sz w:val="18"/>
          <w:szCs w:val="18"/>
          <w:color w:val="131E29"/>
        </w:rPr>
        <w:t xml:space="preserve">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FORWARD-LOOKING STATEMENTS</w:t>
      </w:r>
    </w:p>
    <w:p>
      <w:pPr>
        <w:spacing w:after="0" w:line="3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Certain statements in this Form 10-Q that are not historical facts, including those regarding the impact of COVID-19, inflation, increased minimum wages, the conflict between Russia and Ukraine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2021, filed with the Securities and Exchange Commission on March 11, 2022.</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Website Disclosure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2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34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131E29"/>
              </w:rPr>
              <w:t>June 30, 2022</w:t>
            </w:r>
          </w:p>
        </w:tc>
        <w:tc>
          <w:tcPr>
            <w:tcW w:w="240" w:type="dxa"/>
            <w:vAlign w:val="bottom"/>
          </w:tcPr>
          <w:p>
            <w:pPr>
              <w:spacing w:after="0"/>
              <w:rPr>
                <w:sz w:val="20"/>
                <w:szCs w:val="20"/>
                <w:color w:val="auto"/>
              </w:rPr>
            </w:pPr>
          </w:p>
        </w:tc>
        <w:tc>
          <w:tcPr>
            <w:tcW w:w="2100" w:type="dxa"/>
            <w:vAlign w:val="bottom"/>
          </w:tcPr>
          <w:p>
            <w:pPr>
              <w:jc w:val="right"/>
              <w:ind w:right="270"/>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26"/>
        </w:trPr>
        <w:tc>
          <w:tcPr>
            <w:tcW w:w="6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ASSETS</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Current assets:</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Cash and cash equivalents</w:t>
            </w: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21,293</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18,506</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Accounts receivable, net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14,070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10,644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Inventories, net</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32,854</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23,345</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Prepaid expenses and other current assets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7,050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8,796</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current assets</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75,267</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61,291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Property and equipment, net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290,721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301,998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right-of-use assets, net</w:t>
            </w:r>
          </w:p>
        </w:tc>
        <w:tc>
          <w:tcPr>
            <w:tcW w:w="340" w:type="dxa"/>
            <w:vAlign w:val="bottom"/>
            <w:shd w:val="clear" w:color="auto" w:fill="D2DCE5"/>
          </w:tcPr>
          <w:p>
            <w:pPr>
              <w:spacing w:after="0"/>
              <w:rPr>
                <w:sz w:val="23"/>
                <w:szCs w:val="23"/>
                <w:color w:val="auto"/>
              </w:rPr>
            </w:pPr>
          </w:p>
        </w:tc>
        <w:tc>
          <w:tcPr>
            <w:tcW w:w="1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167,220</w:t>
            </w:r>
          </w:p>
        </w:tc>
        <w:tc>
          <w:tcPr>
            <w:tcW w:w="100" w:type="dxa"/>
            <w:vAlign w:val="bottom"/>
            <w:shd w:val="clear" w:color="auto" w:fill="D2DCE5"/>
          </w:tcPr>
          <w:p>
            <w:pPr>
              <w:spacing w:after="0"/>
              <w:rPr>
                <w:sz w:val="23"/>
                <w:szCs w:val="23"/>
                <w:color w:val="auto"/>
              </w:rPr>
            </w:pPr>
          </w:p>
        </w:tc>
        <w:tc>
          <w:tcPr>
            <w:tcW w:w="240" w:type="dxa"/>
            <w:vAlign w:val="bottom"/>
            <w:shd w:val="clear" w:color="auto" w:fill="D2DCE5"/>
          </w:tcPr>
          <w:p>
            <w:pPr>
              <w:spacing w:after="0"/>
              <w:rPr>
                <w:sz w:val="23"/>
                <w:szCs w:val="23"/>
                <w:color w:val="auto"/>
              </w:rPr>
            </w:pPr>
          </w:p>
        </w:tc>
        <w:tc>
          <w:tcPr>
            <w:tcW w:w="21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159,680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Intangibles, net</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10,881</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11,103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Goodwill</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21,629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18,715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income tax assets, net</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223,336</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159,031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Other long-term assets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1,562</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2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Total assets</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949,535</w:t>
            </w:r>
          </w:p>
        </w:tc>
        <w:tc>
          <w:tcPr>
            <w:tcW w:w="100" w:type="dxa"/>
            <w:vAlign w:val="bottom"/>
            <w:tcBorders>
              <w:bottom w:val="single" w:sz="8" w:color="D2DCE5"/>
            </w:tcBorders>
            <w:shd w:val="clear" w:color="auto" w:fill="D2DCE5"/>
          </w:tcPr>
          <w:p>
            <w:pPr>
              <w:spacing w:after="0"/>
              <w:rPr>
                <w:sz w:val="24"/>
                <w:szCs w:val="24"/>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2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553,700</w:t>
            </w:r>
          </w:p>
        </w:tc>
        <w:tc>
          <w:tcPr>
            <w:tcW w:w="0" w:type="dxa"/>
            <w:vAlign w:val="bottom"/>
          </w:tcPr>
          <w:p>
            <w:pPr>
              <w:spacing w:after="0"/>
              <w:rPr>
                <w:sz w:val="1"/>
                <w:szCs w:val="1"/>
                <w:color w:val="auto"/>
              </w:rPr>
            </w:pPr>
          </w:p>
        </w:tc>
      </w:tr>
      <w:tr>
        <w:trPr>
          <w:trHeight w:val="20"/>
        </w:trPr>
        <w:tc>
          <w:tcPr>
            <w:tcW w:w="652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b w:val="1"/>
                <w:bCs w:val="1"/>
                <w:color w:val="131E29"/>
              </w:rPr>
              <w:t>LIABILITIES AND EQUITY</w:t>
            </w: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21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131E29"/>
              </w:rPr>
              <w:t>22,511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131E29"/>
              </w:rPr>
              <w:t>20,440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Accrued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20,849</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20,970</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Other current liabilities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6,106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6,471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Deferred revenue</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26,966</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22,807</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Line of credit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45,640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64,104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tax receivable agreements liability</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450</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450</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Current portion of finance lease obligations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5,340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3,389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operating lease obligations</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9,042</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131E29"/>
              </w:rPr>
              <w:t>Current portion of long-term debt</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2,606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103</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current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139,510</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138,734</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Deferred revenue, net of current portion</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4,690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5,030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Tax receivable agreements liability, net of current portion</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164,460</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109,283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Finance lease obligations, net of current portion</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167,236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79,588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Operating lease obligations, net of current portion</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152,277</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Long-term debt, net of current portion</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97,461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3,503</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rent</w:t>
            </w:r>
          </w:p>
        </w:tc>
        <w:tc>
          <w:tcPr>
            <w:tcW w:w="340" w:type="dxa"/>
            <w:vAlign w:val="bottom"/>
            <w:tcBorders>
              <w:bottom w:val="single" w:sz="8" w:color="D2DCE5"/>
            </w:tcBorders>
            <w:shd w:val="clear" w:color="auto" w:fill="D2DCE5"/>
          </w:tcPr>
          <w:p>
            <w:pPr>
              <w:spacing w:after="0"/>
              <w:rPr>
                <w:sz w:val="21"/>
                <w:szCs w:val="21"/>
                <w:color w:val="auto"/>
              </w:rPr>
            </w:pPr>
          </w:p>
        </w:tc>
        <w:tc>
          <w:tcPr>
            <w:tcW w:w="20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3,153</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Other long-term liabilities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131E29"/>
              </w:rPr>
              <w:t>680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726,298</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2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339,971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Commitments and contingencies (Note 16)</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0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011"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8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30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131E29"/>
              </w:rPr>
              <w:t>June 30, 2022</w:t>
            </w:r>
          </w:p>
        </w:tc>
        <w:tc>
          <w:tcPr>
            <w:tcW w:w="260" w:type="dxa"/>
            <w:vAlign w:val="bottom"/>
          </w:tcPr>
          <w:p>
            <w:pPr>
              <w:spacing w:after="0"/>
              <w:rPr>
                <w:sz w:val="20"/>
                <w:szCs w:val="20"/>
                <w:color w:val="auto"/>
              </w:rPr>
            </w:pPr>
          </w:p>
        </w:tc>
        <w:tc>
          <w:tcPr>
            <w:tcW w:w="2140" w:type="dxa"/>
            <w:vAlign w:val="bottom"/>
          </w:tcPr>
          <w:p>
            <w:pPr>
              <w:jc w:val="right"/>
              <w:ind w:right="310"/>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26"/>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8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214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Preferred stock, $0.00001 par value per share - 20,000 shares authorized;</w:t>
            </w:r>
          </w:p>
        </w:tc>
        <w:tc>
          <w:tcPr>
            <w:tcW w:w="300" w:type="dxa"/>
            <w:vAlign w:val="bottom"/>
            <w:shd w:val="clear" w:color="auto" w:fill="D2DCE5"/>
          </w:tcPr>
          <w:p>
            <w:pPr>
              <w:spacing w:after="0"/>
              <w:rPr>
                <w:sz w:val="20"/>
                <w:szCs w:val="20"/>
                <w:color w:val="auto"/>
              </w:rPr>
            </w:pPr>
          </w:p>
        </w:tc>
        <w:tc>
          <w:tcPr>
            <w:tcW w:w="18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214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zero shares issued and outstanding as of June 30, 2022 and December 31,</w:t>
            </w:r>
          </w:p>
        </w:tc>
        <w:tc>
          <w:tcPr>
            <w:tcW w:w="300" w:type="dxa"/>
            <w:vAlign w:val="bottom"/>
            <w:shd w:val="clear" w:color="auto" w:fill="D2DCE5"/>
          </w:tcPr>
          <w:p>
            <w:pPr>
              <w:spacing w:after="0"/>
              <w:rPr>
                <w:sz w:val="18"/>
                <w:szCs w:val="18"/>
                <w:color w:val="auto"/>
              </w:rPr>
            </w:pPr>
          </w:p>
        </w:tc>
        <w:tc>
          <w:tcPr>
            <w:tcW w:w="18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21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8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2021</w:t>
            </w:r>
          </w:p>
        </w:tc>
        <w:tc>
          <w:tcPr>
            <w:tcW w:w="10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D2DCE5"/>
            </w:tcBorders>
            <w:shd w:val="clear" w:color="auto" w:fill="D2DCE5"/>
          </w:tcPr>
          <w:p>
            <w:pPr>
              <w:spacing w:after="0"/>
              <w:rPr>
                <w:sz w:val="19"/>
                <w:szCs w:val="19"/>
                <w:color w:val="auto"/>
              </w:rPr>
            </w:pPr>
          </w:p>
        </w:tc>
        <w:tc>
          <w:tcPr>
            <w:tcW w:w="196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60" w:type="dxa"/>
            <w:vAlign w:val="bottom"/>
            <w:tcBorders>
              <w:bottom w:val="single" w:sz="8" w:color="D2DCE5"/>
            </w:tcBorders>
            <w:shd w:val="clear" w:color="auto" w:fill="D2DCE5"/>
          </w:tcPr>
          <w:p>
            <w:pPr>
              <w:spacing w:after="0"/>
              <w:rPr>
                <w:sz w:val="19"/>
                <w:szCs w:val="19"/>
                <w:color w:val="auto"/>
              </w:rPr>
            </w:pPr>
          </w:p>
        </w:tc>
        <w:tc>
          <w:tcPr>
            <w:tcW w:w="2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2"/>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Class A common stock, $0.00001 par value per share - 400,000 shares</w:t>
            </w: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authorized; 39,558 and 34,433 shares issued and outstanding as of June 30,</w:t>
            </w: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2022 and December 31, 2021, respectively</w:t>
            </w:r>
          </w:p>
        </w:tc>
        <w:tc>
          <w:tcPr>
            <w:tcW w:w="300" w:type="dxa"/>
            <w:vAlign w:val="bottom"/>
          </w:tcPr>
          <w:p>
            <w:pPr>
              <w:spacing w:after="0"/>
              <w:rPr>
                <w:sz w:val="18"/>
                <w:szCs w:val="18"/>
                <w:color w:val="auto"/>
              </w:rPr>
            </w:pPr>
          </w:p>
        </w:tc>
        <w:tc>
          <w:tcPr>
            <w:tcW w:w="1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131E29"/>
              </w:rPr>
              <w:t>—</w:t>
            </w:r>
          </w:p>
        </w:tc>
        <w:tc>
          <w:tcPr>
            <w:tcW w:w="260" w:type="dxa"/>
            <w:vAlign w:val="bottom"/>
          </w:tcPr>
          <w:p>
            <w:pPr>
              <w:spacing w:after="0"/>
              <w:rPr>
                <w:sz w:val="18"/>
                <w:szCs w:val="18"/>
                <w:color w:val="auto"/>
              </w:rPr>
            </w:pPr>
          </w:p>
        </w:tc>
        <w:tc>
          <w:tcPr>
            <w:tcW w:w="214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B common stock, $0.00001 par value per share - 144,000 shares</w:t>
            </w:r>
          </w:p>
        </w:tc>
        <w:tc>
          <w:tcPr>
            <w:tcW w:w="300" w:type="dxa"/>
            <w:vAlign w:val="bottom"/>
            <w:shd w:val="clear" w:color="auto" w:fill="D2DCE5"/>
          </w:tcPr>
          <w:p>
            <w:pPr>
              <w:spacing w:after="0"/>
              <w:rPr>
                <w:sz w:val="21"/>
                <w:szCs w:val="21"/>
                <w:color w:val="auto"/>
              </w:rPr>
            </w:pPr>
          </w:p>
        </w:tc>
        <w:tc>
          <w:tcPr>
            <w:tcW w:w="18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214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authorized; 64,699 shares issued and outstanding as of June 30, 2022 and</w:t>
            </w:r>
          </w:p>
        </w:tc>
        <w:tc>
          <w:tcPr>
            <w:tcW w:w="300" w:type="dxa"/>
            <w:vAlign w:val="bottom"/>
            <w:shd w:val="clear" w:color="auto" w:fill="D2DCE5"/>
          </w:tcPr>
          <w:p>
            <w:pPr>
              <w:spacing w:after="0"/>
              <w:rPr>
                <w:sz w:val="18"/>
                <w:szCs w:val="18"/>
                <w:color w:val="auto"/>
              </w:rPr>
            </w:pPr>
          </w:p>
        </w:tc>
        <w:tc>
          <w:tcPr>
            <w:tcW w:w="18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21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December 31, 2021</w:t>
            </w:r>
          </w:p>
        </w:tc>
        <w:tc>
          <w:tcPr>
            <w:tcW w:w="300" w:type="dxa"/>
            <w:vAlign w:val="bottom"/>
            <w:shd w:val="clear" w:color="auto" w:fill="D2DCE5"/>
          </w:tcPr>
          <w:p>
            <w:pPr>
              <w:spacing w:after="0"/>
              <w:rPr>
                <w:sz w:val="18"/>
                <w:szCs w:val="18"/>
                <w:color w:val="auto"/>
              </w:rPr>
            </w:pPr>
          </w:p>
        </w:tc>
        <w:tc>
          <w:tcPr>
            <w:tcW w:w="18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21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300" w:type="dxa"/>
            <w:vAlign w:val="bottom"/>
            <w:tcBorders>
              <w:bottom w:val="single" w:sz="8" w:color="D2DCE5"/>
            </w:tcBorders>
            <w:shd w:val="clear" w:color="auto" w:fill="D2DCE5"/>
          </w:tcPr>
          <w:p>
            <w:pPr>
              <w:spacing w:after="0"/>
              <w:rPr>
                <w:sz w:val="14"/>
                <w:szCs w:val="14"/>
                <w:color w:val="auto"/>
              </w:rPr>
            </w:pPr>
          </w:p>
        </w:tc>
        <w:tc>
          <w:tcPr>
            <w:tcW w:w="1860" w:type="dxa"/>
            <w:vAlign w:val="bottom"/>
            <w:tcBorders>
              <w:bottom w:val="single" w:sz="8" w:color="D2DCE5"/>
            </w:tcBorders>
            <w:vMerge w:val="continue"/>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260" w:type="dxa"/>
            <w:vAlign w:val="bottom"/>
            <w:tcBorders>
              <w:bottom w:val="single" w:sz="8" w:color="D2DCE5"/>
            </w:tcBorders>
            <w:shd w:val="clear" w:color="auto" w:fill="D2DCE5"/>
          </w:tcPr>
          <w:p>
            <w:pPr>
              <w:spacing w:after="0"/>
              <w:rPr>
                <w:sz w:val="14"/>
                <w:szCs w:val="14"/>
                <w:color w:val="auto"/>
              </w:rPr>
            </w:pPr>
          </w:p>
        </w:tc>
        <w:tc>
          <w:tcPr>
            <w:tcW w:w="2140" w:type="dxa"/>
            <w:vAlign w:val="bottom"/>
            <w:tcBorders>
              <w:bottom w:val="single" w:sz="8" w:color="D2DCE5"/>
            </w:tcBorders>
            <w:vMerge w:val="continue"/>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Class C common stock, $0.00001 par value per share - 105,000 shares</w:t>
            </w: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authorized; 45,386 and 49,006 shares issued and outstanding as of June 30,</w:t>
            </w: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2022 and December 31, 2021, respectively</w:t>
            </w:r>
          </w:p>
        </w:tc>
        <w:tc>
          <w:tcPr>
            <w:tcW w:w="300" w:type="dxa"/>
            <w:vAlign w:val="bottom"/>
          </w:tcPr>
          <w:p>
            <w:pPr>
              <w:spacing w:after="0"/>
              <w:rPr>
                <w:sz w:val="18"/>
                <w:szCs w:val="18"/>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131E29"/>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vMerge w:val="restart"/>
          </w:tcPr>
          <w:p>
            <w:pPr>
              <w:jc w:val="right"/>
              <w:spacing w:after="0"/>
              <w:rPr>
                <w:sz w:val="20"/>
                <w:szCs w:val="20"/>
                <w:color w:val="auto"/>
              </w:rPr>
            </w:pPr>
            <w:r>
              <w:rPr>
                <w:rFonts w:ascii="Arial" w:cs="Arial" w:eastAsia="Arial" w:hAnsi="Arial"/>
                <w:sz w:val="18"/>
                <w:szCs w:val="18"/>
                <w:color w:val="131E29"/>
              </w:rPr>
              <w:t>1</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D common stock, $0.00001 par value per share - 42,000 shares</w:t>
            </w:r>
          </w:p>
        </w:tc>
        <w:tc>
          <w:tcPr>
            <w:tcW w:w="300" w:type="dxa"/>
            <w:vAlign w:val="bottom"/>
            <w:shd w:val="clear" w:color="auto" w:fill="D2DCE5"/>
          </w:tcPr>
          <w:p>
            <w:pPr>
              <w:spacing w:after="0"/>
              <w:rPr>
                <w:sz w:val="21"/>
                <w:szCs w:val="21"/>
                <w:color w:val="auto"/>
              </w:rPr>
            </w:pPr>
          </w:p>
        </w:tc>
        <w:tc>
          <w:tcPr>
            <w:tcW w:w="18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214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authorized; 14,062 and 15,441 shares issued and outstanding as of June 30,</w:t>
            </w:r>
          </w:p>
        </w:tc>
        <w:tc>
          <w:tcPr>
            <w:tcW w:w="300" w:type="dxa"/>
            <w:vAlign w:val="bottom"/>
            <w:shd w:val="clear" w:color="auto" w:fill="D2DCE5"/>
          </w:tcPr>
          <w:p>
            <w:pPr>
              <w:spacing w:after="0"/>
              <w:rPr>
                <w:sz w:val="18"/>
                <w:szCs w:val="18"/>
                <w:color w:val="auto"/>
              </w:rPr>
            </w:pPr>
          </w:p>
        </w:tc>
        <w:tc>
          <w:tcPr>
            <w:tcW w:w="18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21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2022 and December 31, 2021, respectively</w:t>
            </w:r>
          </w:p>
        </w:tc>
        <w:tc>
          <w:tcPr>
            <w:tcW w:w="300" w:type="dxa"/>
            <w:vAlign w:val="bottom"/>
            <w:shd w:val="clear" w:color="auto" w:fill="D2DCE5"/>
          </w:tcPr>
          <w:p>
            <w:pPr>
              <w:spacing w:after="0"/>
              <w:rPr>
                <w:sz w:val="18"/>
                <w:szCs w:val="18"/>
                <w:color w:val="auto"/>
              </w:rPr>
            </w:pPr>
          </w:p>
        </w:tc>
        <w:tc>
          <w:tcPr>
            <w:tcW w:w="1960" w:type="dxa"/>
            <w:vAlign w:val="bottom"/>
            <w:gridSpan w:val="2"/>
            <w:vMerge w:val="restart"/>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60" w:type="dxa"/>
            <w:vAlign w:val="bottom"/>
            <w:shd w:val="clear" w:color="auto" w:fill="D2DCE5"/>
          </w:tcPr>
          <w:p>
            <w:pPr>
              <w:spacing w:after="0"/>
              <w:rPr>
                <w:sz w:val="18"/>
                <w:szCs w:val="18"/>
                <w:color w:val="auto"/>
              </w:rPr>
            </w:pPr>
          </w:p>
        </w:tc>
        <w:tc>
          <w:tcPr>
            <w:tcW w:w="21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300" w:type="dxa"/>
            <w:vAlign w:val="bottom"/>
            <w:tcBorders>
              <w:bottom w:val="single" w:sz="8" w:color="D2DCE5"/>
            </w:tcBorders>
            <w:shd w:val="clear" w:color="auto" w:fill="D2DCE5"/>
          </w:tcPr>
          <w:p>
            <w:pPr>
              <w:spacing w:after="0"/>
              <w:rPr>
                <w:sz w:val="14"/>
                <w:szCs w:val="14"/>
                <w:color w:val="auto"/>
              </w:rPr>
            </w:pPr>
          </w:p>
        </w:tc>
        <w:tc>
          <w:tcPr>
            <w:tcW w:w="1960" w:type="dxa"/>
            <w:vAlign w:val="bottom"/>
            <w:tcBorders>
              <w:bottom w:val="single" w:sz="8" w:color="D2DCE5"/>
            </w:tcBorders>
            <w:gridSpan w:val="2"/>
            <w:vMerge w:val="continue"/>
            <w:shd w:val="clear" w:color="auto" w:fill="D2DCE5"/>
          </w:tcPr>
          <w:p>
            <w:pPr>
              <w:spacing w:after="0"/>
              <w:rPr>
                <w:sz w:val="14"/>
                <w:szCs w:val="14"/>
                <w:color w:val="auto"/>
              </w:rPr>
            </w:pPr>
          </w:p>
        </w:tc>
        <w:tc>
          <w:tcPr>
            <w:tcW w:w="260" w:type="dxa"/>
            <w:vAlign w:val="bottom"/>
            <w:tcBorders>
              <w:bottom w:val="single" w:sz="8" w:color="D2DCE5"/>
            </w:tcBorders>
            <w:shd w:val="clear" w:color="auto" w:fill="D2DCE5"/>
          </w:tcPr>
          <w:p>
            <w:pPr>
              <w:spacing w:after="0"/>
              <w:rPr>
                <w:sz w:val="14"/>
                <w:szCs w:val="14"/>
                <w:color w:val="auto"/>
              </w:rPr>
            </w:pPr>
          </w:p>
        </w:tc>
        <w:tc>
          <w:tcPr>
            <w:tcW w:w="2140" w:type="dxa"/>
            <w:vAlign w:val="bottom"/>
            <w:tcBorders>
              <w:bottom w:val="single" w:sz="8" w:color="D2DCE5"/>
            </w:tcBorders>
            <w:vMerge w:val="continue"/>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Additional paid in capital</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31E29"/>
              </w:rPr>
              <w:t>126,538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131E29"/>
              </w:rPr>
              <w:t>107,193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Accumulated other comprehensive income</w:t>
            </w:r>
          </w:p>
        </w:tc>
        <w:tc>
          <w:tcPr>
            <w:tcW w:w="300" w:type="dxa"/>
            <w:vAlign w:val="bottom"/>
            <w:tcBorders>
              <w:bottom w:val="single" w:sz="8" w:color="D2DCE5"/>
            </w:tcBorders>
            <w:shd w:val="clear" w:color="auto" w:fill="D2DCE5"/>
          </w:tcPr>
          <w:p>
            <w:pPr>
              <w:spacing w:after="0"/>
              <w:rPr>
                <w:sz w:val="21"/>
                <w:szCs w:val="21"/>
                <w:color w:val="auto"/>
              </w:rPr>
            </w:pPr>
          </w:p>
        </w:tc>
        <w:tc>
          <w:tcPr>
            <w:tcW w:w="1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2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131E29"/>
              </w:rPr>
              <w:t>Accumulated deficit</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31E29"/>
              </w:rPr>
              <w:t>(18,146)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131E29"/>
              </w:rPr>
              <w:t>(12,679)</w:t>
            </w:r>
          </w:p>
        </w:tc>
        <w:tc>
          <w:tcPr>
            <w:tcW w:w="0" w:type="dxa"/>
            <w:vAlign w:val="bottom"/>
          </w:tcPr>
          <w:p>
            <w:pPr>
              <w:spacing w:after="0"/>
              <w:rPr>
                <w:sz w:val="1"/>
                <w:szCs w:val="1"/>
                <w:color w:val="auto"/>
              </w:rPr>
            </w:pPr>
          </w:p>
        </w:tc>
      </w:tr>
      <w:tr>
        <w:trPr>
          <w:trHeight w:val="27"/>
        </w:trPr>
        <w:tc>
          <w:tcPr>
            <w:tcW w:w="64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stockholders' equity attributable to Dutch Bros Inc.</w:t>
            </w:r>
          </w:p>
        </w:tc>
        <w:tc>
          <w:tcPr>
            <w:tcW w:w="300" w:type="dxa"/>
            <w:vAlign w:val="bottom"/>
            <w:tcBorders>
              <w:bottom w:val="single" w:sz="8" w:color="D2DCE5"/>
            </w:tcBorders>
            <w:shd w:val="clear" w:color="auto" w:fill="D2DCE5"/>
          </w:tcPr>
          <w:p>
            <w:pPr>
              <w:spacing w:after="0"/>
              <w:rPr>
                <w:sz w:val="21"/>
                <w:szCs w:val="21"/>
                <w:color w:val="auto"/>
              </w:rPr>
            </w:pPr>
          </w:p>
        </w:tc>
        <w:tc>
          <w:tcPr>
            <w:tcW w:w="1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108,539</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2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94,516</w:t>
            </w:r>
          </w:p>
        </w:tc>
        <w:tc>
          <w:tcPr>
            <w:tcW w:w="0" w:type="dxa"/>
            <w:vAlign w:val="bottom"/>
          </w:tcPr>
          <w:p>
            <w:pPr>
              <w:spacing w:after="0"/>
              <w:rPr>
                <w:sz w:val="1"/>
                <w:szCs w:val="1"/>
                <w:color w:val="auto"/>
              </w:rPr>
            </w:pP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131E29"/>
              </w:rPr>
              <w:t>Non-controlling interests</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31E29"/>
              </w:rPr>
              <w:t>114,698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131E29"/>
              </w:rPr>
              <w:t>119,213</w:t>
            </w:r>
          </w:p>
        </w:tc>
        <w:tc>
          <w:tcPr>
            <w:tcW w:w="0" w:type="dxa"/>
            <w:vAlign w:val="bottom"/>
          </w:tcPr>
          <w:p>
            <w:pPr>
              <w:spacing w:after="0"/>
              <w:rPr>
                <w:sz w:val="1"/>
                <w:szCs w:val="1"/>
                <w:color w:val="auto"/>
              </w:rPr>
            </w:pPr>
          </w:p>
        </w:tc>
      </w:tr>
      <w:tr>
        <w:trPr>
          <w:trHeight w:val="27"/>
        </w:trPr>
        <w:tc>
          <w:tcPr>
            <w:tcW w:w="64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equity</w:t>
            </w:r>
          </w:p>
        </w:tc>
        <w:tc>
          <w:tcPr>
            <w:tcW w:w="300" w:type="dxa"/>
            <w:vAlign w:val="bottom"/>
            <w:tcBorders>
              <w:bottom w:val="single" w:sz="8" w:color="D2DCE5"/>
            </w:tcBorders>
            <w:shd w:val="clear" w:color="auto" w:fill="D2DCE5"/>
          </w:tcPr>
          <w:p>
            <w:pPr>
              <w:spacing w:after="0"/>
              <w:rPr>
                <w:sz w:val="22"/>
                <w:szCs w:val="22"/>
                <w:color w:val="auto"/>
              </w:rPr>
            </w:pPr>
          </w:p>
        </w:tc>
        <w:tc>
          <w:tcPr>
            <w:tcW w:w="1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223,237</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2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213,729</w:t>
            </w:r>
          </w:p>
        </w:tc>
        <w:tc>
          <w:tcPr>
            <w:tcW w:w="0" w:type="dxa"/>
            <w:vAlign w:val="bottom"/>
          </w:tcPr>
          <w:p>
            <w:pPr>
              <w:spacing w:after="0"/>
              <w:rPr>
                <w:sz w:val="1"/>
                <w:szCs w:val="1"/>
                <w:color w:val="auto"/>
              </w:rPr>
            </w:pPr>
          </w:p>
        </w:tc>
      </w:tr>
      <w:tr>
        <w:trPr>
          <w:trHeight w:val="264"/>
        </w:trPr>
        <w:tc>
          <w:tcPr>
            <w:tcW w:w="6580" w:type="dxa"/>
            <w:vAlign w:val="bottom"/>
            <w:gridSpan w:val="2"/>
          </w:tcPr>
          <w:p>
            <w:pPr>
              <w:ind w:left="520"/>
              <w:spacing w:after="0"/>
              <w:rPr>
                <w:sz w:val="20"/>
                <w:szCs w:val="20"/>
                <w:color w:val="auto"/>
              </w:rPr>
            </w:pPr>
            <w:r>
              <w:rPr>
                <w:rFonts w:ascii="Arial" w:cs="Arial" w:eastAsia="Arial" w:hAnsi="Arial"/>
                <w:sz w:val="18"/>
                <w:szCs w:val="18"/>
                <w:color w:val="131E29"/>
              </w:rPr>
              <w:t>Total liabilities and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949,535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553,700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gridSpan w:val="6"/>
          </w:tcPr>
          <w:p>
            <w:pPr>
              <w:ind w:left="8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7"/>
        </w:trPr>
        <w:tc>
          <w:tcPr>
            <w:tcW w:w="57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360" w:type="dxa"/>
            <w:vAlign w:val="bottom"/>
            <w:tcBorders>
              <w:bottom w:val="single" w:sz="8" w:color="auto"/>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160,512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102,970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290,699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180,887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26,238</w:t>
            </w:r>
          </w:p>
        </w:tc>
        <w:tc>
          <w:tcPr>
            <w:tcW w:w="8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47,106</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129,208</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338,537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227,993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131E29"/>
              </w:rPr>
              <w:t>COSTS AND EXPENSES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141,370</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81,467</w:t>
            </w: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262,537</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147,975</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33,488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87,556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69,474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28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183,712</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114,955</w:t>
            </w:r>
          </w:p>
        </w:tc>
        <w:tc>
          <w:tcPr>
            <w:tcW w:w="8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350,093</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217,449</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FROM OPERATIONS</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14,253</w:t>
            </w: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(11,556)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10,544</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(1,838)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(2,855)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 (expense), net</w:t>
            </w: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w:t>
            </w:r>
          </w:p>
        </w:tc>
        <w:tc>
          <w:tcPr>
            <w:tcW w:w="8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60"/>
              <w:spacing w:after="0"/>
              <w:rPr>
                <w:sz w:val="20"/>
                <w:szCs w:val="20"/>
                <w:color w:val="auto"/>
              </w:rPr>
            </w:pPr>
            <w:r>
              <w:rPr>
                <w:rFonts w:ascii="Arial" w:cs="Arial" w:eastAsia="Arial" w:hAnsi="Arial"/>
                <w:sz w:val="18"/>
                <w:szCs w:val="18"/>
                <w:color w:val="131E29"/>
              </w:rPr>
              <w:t>Total other expense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(1,843)</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(5,803)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(2,913)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131E29"/>
              </w:rPr>
              <w:t>INCOME (LOSS) BEFORE INCOME TAXES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12,410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(17,359)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7,631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885</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521</w:t>
            </w:r>
          </w:p>
        </w:tc>
        <w:tc>
          <w:tcPr>
            <w:tcW w:w="8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564</w:t>
            </w:r>
          </w:p>
        </w:tc>
        <w:tc>
          <w:tcPr>
            <w:tcW w:w="0" w:type="dxa"/>
            <w:vAlign w:val="bottom"/>
          </w:tcPr>
          <w:p>
            <w:pPr>
              <w:spacing w:after="0"/>
              <w:rPr>
                <w:sz w:val="1"/>
                <w:szCs w:val="1"/>
                <w:color w:val="auto"/>
              </w:rPr>
            </w:pPr>
          </w:p>
        </w:tc>
      </w:tr>
      <w:tr>
        <w:trPr>
          <w:trHeight w:val="237"/>
        </w:trPr>
        <w:tc>
          <w:tcPr>
            <w:tcW w:w="572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11,889</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(18,030)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20" w:type="dxa"/>
            <w:vAlign w:val="bottom"/>
            <w:gridSpan w:val="2"/>
            <w:shd w:val="clear" w:color="auto" w:fill="D2DCE5"/>
          </w:tcPr>
          <w:p>
            <w:pPr>
              <w:ind w:left="180"/>
              <w:spacing w:after="0"/>
              <w:rPr>
                <w:sz w:val="20"/>
                <w:szCs w:val="20"/>
                <w:color w:val="auto"/>
              </w:rPr>
            </w:pPr>
            <w:r>
              <w:rPr>
                <w:rFonts w:ascii="Arial" w:cs="Arial" w:eastAsia="Arial" w:hAnsi="Arial"/>
                <w:sz w:val="17"/>
                <w:szCs w:val="17"/>
                <w:color w:val="131E29"/>
              </w:rPr>
              <w:t>Less: Net income attributable to Dutch Bros OpCo prior to the</w:t>
            </w:r>
          </w:p>
        </w:tc>
        <w:tc>
          <w:tcPr>
            <w:tcW w:w="280" w:type="dxa"/>
            <w:vAlign w:val="bottom"/>
            <w:shd w:val="clear" w:color="auto" w:fill="D2DCE5"/>
          </w:tcPr>
          <w:p>
            <w:pPr>
              <w:spacing w:after="0"/>
              <w:rPr>
                <w:sz w:val="19"/>
                <w:szCs w:val="19"/>
                <w:color w:val="auto"/>
              </w:rPr>
            </w:pPr>
          </w:p>
        </w:tc>
        <w:tc>
          <w:tcPr>
            <w:tcW w:w="112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280" w:type="dxa"/>
            <w:vAlign w:val="bottom"/>
            <w:shd w:val="clear" w:color="auto" w:fill="D2DCE5"/>
          </w:tcPr>
          <w:p>
            <w:pPr>
              <w:spacing w:after="0"/>
              <w:rPr>
                <w:sz w:val="19"/>
                <w:szCs w:val="19"/>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11,889</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260" w:type="dxa"/>
            <w:vAlign w:val="bottom"/>
            <w:gridSpan w:val="2"/>
            <w:vMerge w:val="restart"/>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80" w:type="dxa"/>
            <w:vAlign w:val="bottom"/>
            <w:shd w:val="clear" w:color="auto" w:fill="D2DCE5"/>
          </w:tcPr>
          <w:p>
            <w:pPr>
              <w:spacing w:after="0"/>
              <w:rPr>
                <w:sz w:val="19"/>
                <w:szCs w:val="19"/>
                <w:color w:val="auto"/>
              </w:rPr>
            </w:pP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33"/>
        </w:trPr>
        <w:tc>
          <w:tcPr>
            <w:tcW w:w="5720" w:type="dxa"/>
            <w:vAlign w:val="bottom"/>
            <w:gridSpan w:val="2"/>
            <w:shd w:val="clear" w:color="auto" w:fill="D2DCE5"/>
          </w:tcPr>
          <w:p>
            <w:pPr>
              <w:ind w:left="180"/>
              <w:spacing w:after="0"/>
              <w:rPr>
                <w:sz w:val="20"/>
                <w:szCs w:val="20"/>
                <w:color w:val="auto"/>
              </w:rPr>
            </w:pPr>
            <w:r>
              <w:rPr>
                <w:rFonts w:ascii="Arial" w:cs="Arial" w:eastAsia="Arial" w:hAnsi="Arial"/>
                <w:sz w:val="17"/>
                <w:szCs w:val="17"/>
                <w:color w:val="131E29"/>
              </w:rPr>
              <w:t>Reorganization Transactions</w:t>
            </w:r>
          </w:p>
        </w:tc>
        <w:tc>
          <w:tcPr>
            <w:tcW w:w="280" w:type="dxa"/>
            <w:vAlign w:val="bottom"/>
            <w:shd w:val="clear" w:color="auto" w:fill="D2DCE5"/>
          </w:tcPr>
          <w:p>
            <w:pPr>
              <w:spacing w:after="0"/>
              <w:rPr>
                <w:sz w:val="20"/>
                <w:szCs w:val="20"/>
                <w:color w:val="auto"/>
              </w:rPr>
            </w:pPr>
          </w:p>
        </w:tc>
        <w:tc>
          <w:tcPr>
            <w:tcW w:w="1120" w:type="dxa"/>
            <w:vAlign w:val="bottom"/>
            <w:gridSpan w:val="2"/>
            <w:vMerge w:val="continue"/>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vMerge w:val="continue"/>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260" w:type="dxa"/>
            <w:vAlign w:val="bottom"/>
            <w:gridSpan w:val="2"/>
            <w:vMerge w:val="continue"/>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20" w:type="dxa"/>
            <w:vAlign w:val="bottom"/>
            <w:vMerge w:val="continue"/>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7"/>
                <w:szCs w:val="17"/>
                <w:color w:val="131E29"/>
              </w:rPr>
              <w:t>Less: Net loss attributable to non-controlling interests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(12,177)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7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NET LOSS ATTRIBUTABLE TO DUTCH BROS INC.</w:t>
            </w: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(906)</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12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(5,853)</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color w:val="131E29"/>
              </w:rPr>
              <w:t>Net loss per share of Class A and Class D common stock:</w:t>
            </w:r>
            <w:r>
              <w:rPr>
                <w:rFonts w:ascii="Arial" w:cs="Arial" w:eastAsia="Arial" w:hAnsi="Arial"/>
                <w:sz w:val="23"/>
                <w:szCs w:val="23"/>
                <w:color w:val="131E29"/>
                <w:vertAlign w:val="superscript"/>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5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5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Basic</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(0.02)</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spacing w:after="0"/>
              <w:rPr>
                <w:sz w:val="24"/>
                <w:szCs w:val="24"/>
                <w:color w:val="auto"/>
              </w:rPr>
            </w:pP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N/A</w:t>
            </w:r>
          </w:p>
        </w:tc>
        <w:tc>
          <w:tcPr>
            <w:tcW w:w="8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(0.12)</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spacing w:after="0"/>
              <w:rPr>
                <w:sz w:val="24"/>
                <w:szCs w:val="24"/>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20" w:type="dxa"/>
            <w:vAlign w:val="bottom"/>
            <w:gridSpan w:val="2"/>
          </w:tcPr>
          <w:p>
            <w:pPr>
              <w:ind w:left="180"/>
              <w:spacing w:after="0"/>
              <w:rPr>
                <w:sz w:val="20"/>
                <w:szCs w:val="20"/>
                <w:color w:val="auto"/>
              </w:rPr>
            </w:pPr>
            <w:r>
              <w:rPr>
                <w:rFonts w:ascii="Arial" w:cs="Arial" w:eastAsia="Arial" w:hAnsi="Arial"/>
                <w:sz w:val="18"/>
                <w:szCs w:val="18"/>
                <w:color w:val="131E29"/>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131E29"/>
              </w:rPr>
              <w:t>N/A</w:t>
            </w: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20"/>
        </w:trPr>
        <w:tc>
          <w:tcPr>
            <w:tcW w:w="536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Weighted-average shares of Class A and Class D common stock</w:t>
            </w:r>
          </w:p>
        </w:tc>
        <w:tc>
          <w:tcPr>
            <w:tcW w:w="28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outstanding:</w:t>
            </w:r>
          </w:p>
        </w:tc>
        <w:tc>
          <w:tcPr>
            <w:tcW w:w="280" w:type="dxa"/>
            <w:vAlign w:val="bottom"/>
            <w:tcBorders>
              <w:bottom w:val="single" w:sz="8" w:color="D2DCE5"/>
            </w:tcBorders>
            <w:shd w:val="clear" w:color="auto" w:fill="D2DCE5"/>
          </w:tcPr>
          <w:p>
            <w:pPr>
              <w:spacing w:after="0"/>
              <w:rPr>
                <w:sz w:val="19"/>
                <w:szCs w:val="19"/>
                <w:color w:val="auto"/>
              </w:rPr>
            </w:pPr>
          </w:p>
        </w:tc>
        <w:tc>
          <w:tcPr>
            <w:tcW w:w="102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D2DCE5"/>
            </w:tcBorders>
            <w:shd w:val="clear" w:color="auto" w:fill="D2DCE5"/>
          </w:tcPr>
          <w:p>
            <w:pPr>
              <w:spacing w:after="0"/>
              <w:rPr>
                <w:sz w:val="19"/>
                <w:szCs w:val="19"/>
                <w:color w:val="auto"/>
              </w:rPr>
            </w:pPr>
          </w:p>
        </w:tc>
        <w:tc>
          <w:tcPr>
            <w:tcW w:w="104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spacing w:after="0"/>
              <w:rPr>
                <w:sz w:val="19"/>
                <w:szCs w:val="19"/>
                <w:color w:val="auto"/>
              </w:rPr>
            </w:pPr>
          </w:p>
        </w:tc>
        <w:tc>
          <w:tcPr>
            <w:tcW w:w="116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D2DCE5"/>
            </w:tcBorders>
            <w:shd w:val="clear" w:color="auto" w:fill="D2DCE5"/>
          </w:tcPr>
          <w:p>
            <w:pPr>
              <w:spacing w:after="0"/>
              <w:rPr>
                <w:sz w:val="19"/>
                <w:szCs w:val="19"/>
                <w:color w:val="auto"/>
              </w:rPr>
            </w:pPr>
          </w:p>
        </w:tc>
        <w:tc>
          <w:tcPr>
            <w:tcW w:w="1020" w:type="dxa"/>
            <w:vAlign w:val="bottom"/>
            <w:tcBorders>
              <w:bottom w:val="single" w:sz="8" w:color="D2DCE5"/>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131E29"/>
              </w:rPr>
              <w:t>Basic</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50,926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131E29"/>
              </w:rPr>
              <w:t>N/A</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49,500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Diluted</w:t>
            </w: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50,926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gridSpan w:val="2"/>
            <w:shd w:val="clear" w:color="auto" w:fill="D2DCE5"/>
          </w:tcPr>
          <w:p>
            <w:pPr>
              <w:jc w:val="right"/>
              <w:ind w:right="100"/>
              <w:spacing w:after="0"/>
              <w:rPr>
                <w:sz w:val="20"/>
                <w:szCs w:val="20"/>
                <w:color w:val="auto"/>
              </w:rPr>
            </w:pPr>
            <w:r>
              <w:rPr>
                <w:rFonts w:ascii="Arial" w:cs="Arial" w:eastAsia="Arial" w:hAnsi="Arial"/>
                <w:sz w:val="18"/>
                <w:szCs w:val="18"/>
                <w:color w:val="131E29"/>
              </w:rPr>
              <w:t>N/A</w:t>
            </w: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49,500</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310"/>
        </w:trPr>
        <w:tc>
          <w:tcPr>
            <w:tcW w:w="5360" w:type="dxa"/>
            <w:vAlign w:val="bottom"/>
          </w:tcPr>
          <w:p>
            <w:pPr>
              <w:spacing w:after="0"/>
              <w:rPr>
                <w:sz w:val="20"/>
                <w:szCs w:val="20"/>
                <w:color w:val="auto"/>
              </w:rPr>
            </w:pPr>
            <w:r>
              <w:rPr>
                <w:rFonts w:ascii="Arial" w:cs="Arial" w:eastAsia="Arial" w:hAnsi="Arial"/>
                <w:sz w:val="18"/>
                <w:szCs w:val="18"/>
                <w:color w:val="131E29"/>
              </w:rPr>
              <w:t>_________________</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hanging="172"/>
        <w:spacing w:after="0" w:line="219" w:lineRule="auto"/>
        <w:tabs>
          <w:tab w:leader="none" w:pos="228"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Basic and diluted net loss per share of Class A and Class D common stock are applicable only for periods subsequent to September 14, 2021, the effective date of the Company’s Reorganization Transactions and IPO.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Comprehensive Income (Loss)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b w:val="1"/>
                <w:bCs w:val="1"/>
                <w:color w:val="131E29"/>
              </w:rPr>
              <w:t>Three Months Ended June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131E29"/>
              </w:rPr>
              <w:t>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w:t>
            </w: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(1,751)</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11,889</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(18,030)</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6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on derivative securities, effective portion, net of income</w:t>
            </w:r>
          </w:p>
        </w:tc>
        <w:tc>
          <w:tcPr>
            <w:tcW w:w="12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06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tax expense of $50</w:t>
            </w:r>
          </w:p>
        </w:tc>
        <w:tc>
          <w:tcPr>
            <w:tcW w:w="120" w:type="dxa"/>
            <w:vAlign w:val="bottom"/>
            <w:shd w:val="clear" w:color="auto" w:fill="D2DCE5"/>
          </w:tcPr>
          <w:p>
            <w:pPr>
              <w:spacing w:after="0"/>
              <w:rPr>
                <w:sz w:val="18"/>
                <w:szCs w:val="18"/>
                <w:color w:val="auto"/>
              </w:rPr>
            </w:pPr>
          </w:p>
        </w:tc>
        <w:tc>
          <w:tcPr>
            <w:tcW w:w="11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566</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0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280" w:type="dxa"/>
            <w:vAlign w:val="bottom"/>
            <w:shd w:val="clear" w:color="auto" w:fill="D2DCE5"/>
          </w:tcPr>
          <w:p>
            <w:pPr>
              <w:spacing w:after="0"/>
              <w:rPr>
                <w:sz w:val="18"/>
                <w:szCs w:val="18"/>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566</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89"/>
        </w:trPr>
        <w:tc>
          <w:tcPr>
            <w:tcW w:w="596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20" w:type="dxa"/>
            <w:vAlign w:val="bottom"/>
            <w:tcBorders>
              <w:bottom w:val="single" w:sz="8" w:color="D2DCE5"/>
            </w:tcBorders>
            <w:shd w:val="clear" w:color="auto" w:fill="D2DCE5"/>
          </w:tcPr>
          <w:p>
            <w:pPr>
              <w:spacing w:after="0"/>
              <w:rPr>
                <w:sz w:val="16"/>
                <w:szCs w:val="16"/>
                <w:color w:val="auto"/>
              </w:rPr>
            </w:pPr>
          </w:p>
        </w:tc>
        <w:tc>
          <w:tcPr>
            <w:tcW w:w="1100" w:type="dxa"/>
            <w:vAlign w:val="bottom"/>
            <w:tcBorders>
              <w:bottom w:val="single" w:sz="8" w:color="D2DCE5"/>
            </w:tcBorders>
            <w:vMerge w:val="continue"/>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gridSpan w:val="2"/>
            <w:vMerge w:val="continue"/>
            <w:shd w:val="clear" w:color="auto" w:fill="D2DCE5"/>
          </w:tcPr>
          <w:p>
            <w:pPr>
              <w:spacing w:after="0"/>
              <w:rPr>
                <w:sz w:val="16"/>
                <w:szCs w:val="16"/>
                <w:color w:val="auto"/>
              </w:rPr>
            </w:pPr>
          </w:p>
        </w:tc>
        <w:tc>
          <w:tcPr>
            <w:tcW w:w="28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vMerge w:val="continue"/>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26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131E29"/>
              </w:rPr>
              <w:t>Comprehensive income (loss)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(1,185)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11,889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(17,464)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comprehensive income attributable to Dutch Bros OpCo prior to</w:t>
            </w:r>
          </w:p>
        </w:tc>
        <w:tc>
          <w:tcPr>
            <w:tcW w:w="120" w:type="dxa"/>
            <w:vAlign w:val="bottom"/>
            <w:shd w:val="clear" w:color="auto" w:fill="D2DCE5"/>
          </w:tcPr>
          <w:p>
            <w:pPr>
              <w:spacing w:after="0"/>
              <w:rPr>
                <w:sz w:val="21"/>
                <w:szCs w:val="21"/>
                <w:color w:val="auto"/>
              </w:rPr>
            </w:pPr>
          </w:p>
        </w:tc>
        <w:tc>
          <w:tcPr>
            <w:tcW w:w="11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the Reorganization Transactions</w:t>
            </w:r>
          </w:p>
        </w:tc>
        <w:tc>
          <w:tcPr>
            <w:tcW w:w="120" w:type="dxa"/>
            <w:vAlign w:val="bottom"/>
            <w:tcBorders>
              <w:bottom w:val="single" w:sz="8" w:color="D2DCE5"/>
            </w:tcBorders>
            <w:shd w:val="clear" w:color="auto" w:fill="D2DCE5"/>
          </w:tcPr>
          <w:p>
            <w:pPr>
              <w:spacing w:after="0"/>
              <w:rPr>
                <w:sz w:val="19"/>
                <w:szCs w:val="19"/>
                <w:color w:val="auto"/>
              </w:rPr>
            </w:pPr>
          </w:p>
        </w:tc>
        <w:tc>
          <w:tcPr>
            <w:tcW w:w="11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280" w:type="dxa"/>
            <w:vAlign w:val="bottom"/>
            <w:tcBorders>
              <w:bottom w:val="single" w:sz="8" w:color="D2DCE5"/>
            </w:tcBorders>
            <w:shd w:val="clear" w:color="auto" w:fill="D2DCE5"/>
          </w:tcPr>
          <w:p>
            <w:pPr>
              <w:spacing w:after="0"/>
              <w:rPr>
                <w:sz w:val="19"/>
                <w:szCs w:val="19"/>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(11,889)</w:t>
            </w:r>
          </w:p>
        </w:tc>
        <w:tc>
          <w:tcPr>
            <w:tcW w:w="8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D2DCE5"/>
            </w:tcBorders>
            <w:shd w:val="clear" w:color="auto" w:fill="D2DCE5"/>
          </w:tcPr>
          <w:p>
            <w:pPr>
              <w:spacing w:after="0"/>
              <w:rPr>
                <w:sz w:val="19"/>
                <w:szCs w:val="19"/>
                <w:color w:val="auto"/>
              </w:rPr>
            </w:pPr>
          </w:p>
        </w:tc>
        <w:tc>
          <w:tcPr>
            <w:tcW w:w="106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60" w:type="dxa"/>
            <w:vAlign w:val="bottom"/>
            <w:tcBorders>
              <w:bottom w:val="single" w:sz="8" w:color="D2DCE5"/>
            </w:tcBorders>
            <w:shd w:val="clear" w:color="auto" w:fill="D2DCE5"/>
          </w:tcPr>
          <w:p>
            <w:pPr>
              <w:spacing w:after="0"/>
              <w:rPr>
                <w:sz w:val="19"/>
                <w:szCs w:val="19"/>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131E29"/>
              </w:rPr>
              <w:t>Less: comprehensive loss attributable to non-controlling interests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(424)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(11,756)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Comprehensive loss attributable to Dutch Bros Inc.</w:t>
            </w:r>
          </w:p>
        </w:tc>
        <w:tc>
          <w:tcPr>
            <w:tcW w:w="12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(761)</w:t>
            </w:r>
          </w:p>
        </w:tc>
        <w:tc>
          <w:tcPr>
            <w:tcW w:w="80" w:type="dxa"/>
            <w:vAlign w:val="bottom"/>
            <w:shd w:val="clear" w:color="auto" w:fill="D2DCE5"/>
          </w:tcPr>
          <w:p>
            <w:pPr>
              <w:spacing w:after="0"/>
              <w:rPr>
                <w:sz w:val="24"/>
                <w:szCs w:val="24"/>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(5,708)</w:t>
            </w:r>
          </w:p>
        </w:tc>
        <w:tc>
          <w:tcPr>
            <w:tcW w:w="100" w:type="dxa"/>
            <w:vAlign w:val="bottom"/>
            <w:shd w:val="clear" w:color="auto" w:fill="D2DCE5"/>
          </w:tcPr>
          <w:p>
            <w:pPr>
              <w:spacing w:after="0"/>
              <w:rPr>
                <w:sz w:val="24"/>
                <w:szCs w:val="24"/>
                <w:color w:val="auto"/>
              </w:rPr>
            </w:pPr>
          </w:p>
        </w:tc>
        <w:tc>
          <w:tcPr>
            <w:tcW w:w="26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Stockholders’/Members’ Equity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10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ind w:left="12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2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5"/>
        </w:trPr>
        <w:tc>
          <w:tcPr>
            <w:tcW w:w="16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131E29"/>
              </w:rPr>
              <w:t>Comprehensive</w:t>
            </w:r>
          </w:p>
        </w:tc>
        <w:tc>
          <w:tcPr>
            <w:tcW w:w="960" w:type="dxa"/>
            <w:vAlign w:val="bottom"/>
            <w:gridSpan w:val="3"/>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March 31,</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39,557</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45,386</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14,062</w:t>
            </w:r>
          </w:p>
        </w:tc>
        <w:tc>
          <w:tcPr>
            <w:tcW w:w="10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w w:val="96"/>
              </w:rPr>
              <w:t>$ 122,655</w:t>
            </w:r>
          </w:p>
        </w:tc>
        <w:tc>
          <w:tcPr>
            <w:tcW w:w="8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(17,240)</w:t>
            </w:r>
          </w:p>
        </w:tc>
        <w:tc>
          <w:tcPr>
            <w:tcW w:w="80" w:type="dxa"/>
            <w:vAlign w:val="bottom"/>
            <w:tcBorders>
              <w:bottom w:val="single" w:sz="8" w:color="D2DCE5"/>
            </w:tcBorders>
            <w:shd w:val="clear" w:color="auto" w:fill="D2DCE5"/>
          </w:tcPr>
          <w:p>
            <w:pPr>
              <w:spacing w:after="0"/>
              <w:rPr>
                <w:sz w:val="17"/>
                <w:szCs w:val="17"/>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$ 108,033</w:t>
            </w:r>
          </w:p>
        </w:tc>
        <w:tc>
          <w:tcPr>
            <w:tcW w:w="80" w:type="dxa"/>
            <w:vAlign w:val="bottom"/>
            <w:tcBorders>
              <w:bottom w:val="single" w:sz="8" w:color="D2DCE5"/>
            </w:tcBorders>
            <w:shd w:val="clear" w:color="auto" w:fill="D2DCE5"/>
          </w:tcPr>
          <w:p>
            <w:pPr>
              <w:spacing w:after="0"/>
              <w:rPr>
                <w:sz w:val="17"/>
                <w:szCs w:val="17"/>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99"/>
              </w:rPr>
              <w:t>$ 213,450</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(906)</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(845)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(1,751)</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of</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5"/>
                <w:szCs w:val="15"/>
                <w:color w:val="auto"/>
              </w:rPr>
            </w:pP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145</w:t>
            </w: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421</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566</w:t>
            </w:r>
          </w:p>
        </w:tc>
        <w:tc>
          <w:tcPr>
            <w:tcW w:w="0" w:type="dxa"/>
            <w:vAlign w:val="bottom"/>
          </w:tcPr>
          <w:p>
            <w:pPr>
              <w:spacing w:after="0"/>
              <w:rPr>
                <w:sz w:val="1"/>
                <w:szCs w:val="1"/>
                <w:color w:val="auto"/>
              </w:rPr>
            </w:pPr>
          </w:p>
        </w:tc>
      </w:tr>
      <w:tr>
        <w:trPr>
          <w:trHeight w:val="188"/>
        </w:trPr>
        <w:tc>
          <w:tcPr>
            <w:tcW w:w="154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$50</w:t>
            </w:r>
          </w:p>
        </w:tc>
        <w:tc>
          <w:tcPr>
            <w:tcW w:w="80" w:type="dxa"/>
            <w:vAlign w:val="bottom"/>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780" w:type="dxa"/>
            <w:vAlign w:val="bottom"/>
            <w:gridSpan w:val="2"/>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80" w:type="dxa"/>
            <w:vAlign w:val="bottom"/>
            <w:gridSpan w:val="2"/>
            <w:vMerge w:val="continue"/>
            <w:shd w:val="clear" w:color="auto" w:fill="D2DCE5"/>
          </w:tcPr>
          <w:p>
            <w:pPr>
              <w:spacing w:after="0"/>
              <w:rPr>
                <w:sz w:val="16"/>
                <w:szCs w:val="16"/>
                <w:color w:val="auto"/>
              </w:rPr>
            </w:pPr>
          </w:p>
        </w:tc>
        <w:tc>
          <w:tcPr>
            <w:tcW w:w="74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3,305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740" w:type="dxa"/>
            <w:vAlign w:val="bottom"/>
          </w:tcPr>
          <w:p>
            <w:pPr>
              <w:jc w:val="right"/>
              <w:spacing w:after="0"/>
              <w:rPr>
                <w:sz w:val="20"/>
                <w:szCs w:val="20"/>
                <w:color w:val="auto"/>
              </w:rPr>
            </w:pPr>
            <w:r>
              <w:rPr>
                <w:rFonts w:ascii="Arial" w:cs="Arial" w:eastAsia="Arial" w:hAnsi="Arial"/>
                <w:sz w:val="14"/>
                <w:szCs w:val="14"/>
                <w:color w:val="131E29"/>
              </w:rPr>
              <w:t>7,141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10,446</w:t>
            </w: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vesting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5"/>
                <w:szCs w:val="15"/>
                <w:color w:val="auto"/>
              </w:rPr>
            </w:pPr>
          </w:p>
        </w:tc>
        <w:tc>
          <w:tcPr>
            <w:tcW w:w="10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7"/>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withheld for tax</w:t>
            </w:r>
          </w:p>
        </w:tc>
        <w:tc>
          <w:tcPr>
            <w:tcW w:w="56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780" w:type="dxa"/>
            <w:vAlign w:val="bottom"/>
            <w:gridSpan w:val="2"/>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20" w:type="dxa"/>
            <w:vAlign w:val="bottom"/>
            <w:gridSpan w:val="2"/>
            <w:vMerge w:val="continue"/>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80" w:type="dxa"/>
            <w:vAlign w:val="bottom"/>
            <w:gridSpan w:val="2"/>
            <w:vMerge w:val="continue"/>
            <w:shd w:val="clear" w:color="auto" w:fill="D2DCE5"/>
          </w:tcPr>
          <w:p>
            <w:pPr>
              <w:spacing w:after="0"/>
              <w:rPr>
                <w:sz w:val="16"/>
                <w:szCs w:val="16"/>
                <w:color w:val="auto"/>
              </w:rPr>
            </w:pPr>
          </w:p>
        </w:tc>
        <w:tc>
          <w:tcPr>
            <w:tcW w:w="82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Impact of Tax</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Receivable</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526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526</w:t>
            </w:r>
          </w:p>
        </w:tc>
        <w:tc>
          <w:tcPr>
            <w:tcW w:w="0" w:type="dxa"/>
            <w:vAlign w:val="bottom"/>
          </w:tcPr>
          <w:p>
            <w:pPr>
              <w:spacing w:after="0"/>
              <w:rPr>
                <w:sz w:val="1"/>
                <w:szCs w:val="1"/>
                <w:color w:val="auto"/>
              </w:rPr>
            </w:pPr>
          </w:p>
        </w:tc>
      </w:tr>
      <w:tr>
        <w:trPr>
          <w:trHeight w:val="181"/>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OpCo common units</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7"/>
                <w:szCs w:val="17"/>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7"/>
                <w:szCs w:val="17"/>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7"/>
                <w:szCs w:val="17"/>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7"/>
                <w:szCs w:val="17"/>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52</w:t>
            </w:r>
          </w:p>
        </w:tc>
        <w:tc>
          <w:tcPr>
            <w:tcW w:w="8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7"/>
                <w:szCs w:val="17"/>
                <w:color w:val="auto"/>
              </w:rPr>
            </w:pPr>
          </w:p>
        </w:tc>
        <w:tc>
          <w:tcPr>
            <w:tcW w:w="78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(52)</w:t>
            </w:r>
          </w:p>
        </w:tc>
        <w:tc>
          <w:tcPr>
            <w:tcW w:w="80" w:type="dxa"/>
            <w:vAlign w:val="bottom"/>
            <w:tcBorders>
              <w:bottom w:val="single" w:sz="8" w:color="D2DCE5"/>
            </w:tcBorders>
            <w:shd w:val="clear" w:color="auto" w:fill="D2DCE5"/>
          </w:tcPr>
          <w:p>
            <w:pPr>
              <w:spacing w:after="0"/>
              <w:rPr>
                <w:sz w:val="17"/>
                <w:szCs w:val="17"/>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69"/>
        </w:trPr>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39,558</w:t>
            </w:r>
          </w:p>
        </w:tc>
        <w:tc>
          <w:tcPr>
            <w:tcW w:w="80" w:type="dxa"/>
            <w:vAlign w:val="bottom"/>
          </w:tcPr>
          <w:p>
            <w:pPr>
              <w:spacing w:after="0"/>
              <w:rPr>
                <w:sz w:val="14"/>
                <w:szCs w:val="14"/>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4"/>
                <w:szCs w:val="14"/>
                <w:color w:val="auto"/>
              </w:rPr>
            </w:pPr>
          </w:p>
        </w:tc>
        <w:tc>
          <w:tcPr>
            <w:tcW w:w="5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tcPr>
          <w:p>
            <w:pPr>
              <w:spacing w:after="0"/>
              <w:rPr>
                <w:sz w:val="14"/>
                <w:szCs w:val="14"/>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4"/>
                <w:szCs w:val="14"/>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45,386</w:t>
            </w:r>
          </w:p>
        </w:tc>
        <w:tc>
          <w:tcPr>
            <w:tcW w:w="80" w:type="dxa"/>
            <w:vAlign w:val="bottom"/>
          </w:tcPr>
          <w:p>
            <w:pPr>
              <w:spacing w:after="0"/>
              <w:rPr>
                <w:sz w:val="14"/>
                <w:szCs w:val="14"/>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4"/>
                <w:szCs w:val="14"/>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14,062</w:t>
            </w:r>
          </w:p>
        </w:tc>
        <w:tc>
          <w:tcPr>
            <w:tcW w:w="100" w:type="dxa"/>
            <w:vAlign w:val="bottom"/>
          </w:tcPr>
          <w:p>
            <w:pPr>
              <w:spacing w:after="0"/>
              <w:rPr>
                <w:sz w:val="14"/>
                <w:szCs w:val="14"/>
                <w:color w:val="auto"/>
              </w:rPr>
            </w:pPr>
          </w:p>
        </w:tc>
        <w:tc>
          <w:tcPr>
            <w:tcW w:w="30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131E29"/>
                <w:w w:val="76"/>
              </w:rPr>
              <w:t>$</w:t>
            </w:r>
          </w:p>
        </w:tc>
        <w:tc>
          <w:tcPr>
            <w:tcW w:w="28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4"/>
                <w:szCs w:val="14"/>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131E29"/>
                <w:w w:val="96"/>
              </w:rPr>
              <w:t>$ 126,538</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145</w:t>
            </w:r>
          </w:p>
        </w:tc>
        <w:tc>
          <w:tcPr>
            <w:tcW w:w="80" w:type="dxa"/>
            <w:vAlign w:val="bottom"/>
          </w:tcPr>
          <w:p>
            <w:pPr>
              <w:spacing w:after="0"/>
              <w:rPr>
                <w:sz w:val="14"/>
                <w:szCs w:val="14"/>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131E2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(18,146)</w:t>
            </w:r>
          </w:p>
        </w:tc>
        <w:tc>
          <w:tcPr>
            <w:tcW w:w="80" w:type="dxa"/>
            <w:vAlign w:val="bottom"/>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$ 114,698</w:t>
            </w:r>
          </w:p>
        </w:tc>
        <w:tc>
          <w:tcPr>
            <w:tcW w:w="80" w:type="dxa"/>
            <w:vAlign w:val="bottom"/>
          </w:tcPr>
          <w:p>
            <w:pPr>
              <w:spacing w:after="0"/>
              <w:rPr>
                <w:sz w:val="14"/>
                <w:szCs w:val="1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w w:val="99"/>
              </w:rPr>
              <w:t>$ 223,237</w:t>
            </w:r>
          </w:p>
        </w:tc>
        <w:tc>
          <w:tcPr>
            <w:tcW w:w="0" w:type="dxa"/>
            <w:vAlign w:val="bottom"/>
          </w:tcPr>
          <w:p>
            <w:pPr>
              <w:spacing w:after="0"/>
              <w:rPr>
                <w:sz w:val="1"/>
                <w:szCs w:val="1"/>
                <w:color w:val="auto"/>
              </w:rPr>
            </w:pPr>
          </w:p>
        </w:tc>
      </w:tr>
      <w:tr>
        <w:trPr>
          <w:trHeight w:val="194"/>
        </w:trPr>
        <w:tc>
          <w:tcPr>
            <w:tcW w:w="1540" w:type="dxa"/>
            <w:vAlign w:val="bottom"/>
          </w:tcPr>
          <w:p>
            <w:pPr>
              <w:ind w:left="20"/>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Stockholders’/Members’ Equity (continued)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12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ind w:left="12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2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5"/>
        </w:trPr>
        <w:tc>
          <w:tcPr>
            <w:tcW w:w="16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131E29"/>
              </w:rPr>
              <w:t>Comprehensive</w:t>
            </w:r>
          </w:p>
        </w:tc>
        <w:tc>
          <w:tcPr>
            <w:tcW w:w="960" w:type="dxa"/>
            <w:vAlign w:val="bottom"/>
            <w:gridSpan w:val="3"/>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b w:val="1"/>
                <w:bCs w:val="1"/>
                <w:color w:val="131E29"/>
              </w:rPr>
              <w:t>31, 2021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34,433</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5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49,006</w:t>
            </w:r>
          </w:p>
        </w:tc>
        <w:tc>
          <w:tcPr>
            <w:tcW w:w="8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tcBorders>
              <w:bottom w:val="single" w:sz="8" w:color="D2DCE5"/>
            </w:tcBorders>
            <w:shd w:val="clear" w:color="auto" w:fill="D2DCE5"/>
          </w:tcPr>
          <w:p>
            <w:pPr>
              <w:spacing w:after="0"/>
              <w:rPr>
                <w:sz w:val="17"/>
                <w:szCs w:val="17"/>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15,441</w:t>
            </w:r>
          </w:p>
        </w:tc>
        <w:tc>
          <w:tcPr>
            <w:tcW w:w="100" w:type="dxa"/>
            <w:vAlign w:val="bottom"/>
            <w:tcBorders>
              <w:bottom w:val="single" w:sz="8" w:color="D2DCE5"/>
            </w:tcBorders>
            <w:shd w:val="clear" w:color="auto" w:fill="D2DCE5"/>
          </w:tcPr>
          <w:p>
            <w:pPr>
              <w:spacing w:after="0"/>
              <w:rPr>
                <w:sz w:val="17"/>
                <w:szCs w:val="17"/>
                <w:color w:val="auto"/>
              </w:rPr>
            </w:pPr>
          </w:p>
        </w:tc>
        <w:tc>
          <w:tcPr>
            <w:tcW w:w="300" w:type="dxa"/>
            <w:vAlign w:val="bottom"/>
            <w:tcBorders>
              <w:bottom w:val="single" w:sz="8" w:color="D2DCE5"/>
            </w:tcBorders>
            <w:shd w:val="clear" w:color="auto" w:fill="D2DCE5"/>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w w:val="96"/>
              </w:rPr>
              <w:t>$ 107,193</w:t>
            </w:r>
          </w:p>
        </w:tc>
        <w:tc>
          <w:tcPr>
            <w:tcW w:w="8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(12,679)</w:t>
            </w:r>
          </w:p>
        </w:tc>
        <w:tc>
          <w:tcPr>
            <w:tcW w:w="80" w:type="dxa"/>
            <w:vAlign w:val="bottom"/>
            <w:tcBorders>
              <w:bottom w:val="single" w:sz="8" w:color="D2DCE5"/>
            </w:tcBorders>
            <w:shd w:val="clear" w:color="auto" w:fill="D2DCE5"/>
          </w:tcPr>
          <w:p>
            <w:pPr>
              <w:spacing w:after="0"/>
              <w:rPr>
                <w:sz w:val="17"/>
                <w:szCs w:val="17"/>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$ 119,213</w:t>
            </w:r>
          </w:p>
        </w:tc>
        <w:tc>
          <w:tcPr>
            <w:tcW w:w="80" w:type="dxa"/>
            <w:vAlign w:val="bottom"/>
            <w:tcBorders>
              <w:bottom w:val="single" w:sz="8" w:color="D2DCE5"/>
            </w:tcBorders>
            <w:shd w:val="clear" w:color="auto" w:fill="D2DCE5"/>
          </w:tcPr>
          <w:p>
            <w:pPr>
              <w:spacing w:after="0"/>
              <w:rPr>
                <w:sz w:val="17"/>
                <w:szCs w:val="17"/>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w w:val="99"/>
              </w:rPr>
              <w:t>$ 213,729</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Adoption of ASU 2016-</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02, as amended</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386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957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1,343</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Net loss</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8"/>
                <w:szCs w:val="18"/>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(5,853)</w:t>
            </w:r>
          </w:p>
        </w:tc>
        <w:tc>
          <w:tcPr>
            <w:tcW w:w="80" w:type="dxa"/>
            <w:vAlign w:val="bottom"/>
            <w:tcBorders>
              <w:bottom w:val="single" w:sz="8" w:color="D2DCE5"/>
            </w:tcBorders>
            <w:shd w:val="clear" w:color="auto" w:fill="D2DCE5"/>
          </w:tcPr>
          <w:p>
            <w:pPr>
              <w:spacing w:after="0"/>
              <w:rPr>
                <w:sz w:val="18"/>
                <w:szCs w:val="18"/>
                <w:color w:val="auto"/>
              </w:rPr>
            </w:pP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(12,177)</w:t>
            </w:r>
          </w:p>
        </w:tc>
        <w:tc>
          <w:tcPr>
            <w:tcW w:w="80" w:type="dxa"/>
            <w:vAlign w:val="bottom"/>
            <w:tcBorders>
              <w:bottom w:val="single" w:sz="8" w:color="D2DCE5"/>
            </w:tcBorders>
            <w:shd w:val="clear" w:color="auto" w:fill="D2DCE5"/>
          </w:tcPr>
          <w:p>
            <w:pPr>
              <w:spacing w:after="0"/>
              <w:rPr>
                <w:sz w:val="18"/>
                <w:szCs w:val="18"/>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(18,030)</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income tax expense of</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131E29"/>
              </w:rPr>
              <w:t>145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421</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566</w:t>
            </w:r>
          </w:p>
        </w:tc>
        <w:tc>
          <w:tcPr>
            <w:tcW w:w="0" w:type="dxa"/>
            <w:vAlign w:val="bottom"/>
          </w:tcPr>
          <w:p>
            <w:pPr>
              <w:spacing w:after="0"/>
              <w:rPr>
                <w:sz w:val="1"/>
                <w:szCs w:val="1"/>
                <w:color w:val="auto"/>
              </w:rPr>
            </w:pPr>
          </w:p>
        </w:tc>
      </w:tr>
      <w:tr>
        <w:trPr>
          <w:trHeight w:val="182"/>
        </w:trPr>
        <w:tc>
          <w:tcPr>
            <w:tcW w:w="1540" w:type="dxa"/>
            <w:vAlign w:val="bottom"/>
          </w:tcPr>
          <w:p>
            <w:pPr>
              <w:ind w:left="20"/>
              <w:spacing w:after="0"/>
              <w:rPr>
                <w:sz w:val="20"/>
                <w:szCs w:val="20"/>
                <w:color w:val="auto"/>
              </w:rPr>
            </w:pPr>
            <w:r>
              <w:rPr>
                <w:rFonts w:ascii="Arial" w:cs="Arial" w:eastAsia="Arial" w:hAnsi="Arial"/>
                <w:sz w:val="14"/>
                <w:szCs w:val="14"/>
                <w:color w:val="131E29"/>
              </w:rPr>
              <w:t>$50</w:t>
            </w: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compensation</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5"/>
                <w:szCs w:val="15"/>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6,427</w:t>
            </w:r>
          </w:p>
        </w:tc>
        <w:tc>
          <w:tcPr>
            <w:tcW w:w="8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5"/>
                <w:szCs w:val="15"/>
                <w:color w:val="auto"/>
              </w:rPr>
            </w:pP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13,919</w:t>
            </w:r>
          </w:p>
        </w:tc>
        <w:tc>
          <w:tcPr>
            <w:tcW w:w="80" w:type="dxa"/>
            <w:vAlign w:val="bottom"/>
            <w:tcBorders>
              <w:bottom w:val="single" w:sz="8" w:color="D2DCE5"/>
            </w:tcBorders>
            <w:shd w:val="clear" w:color="auto" w:fill="D2DCE5"/>
          </w:tcPr>
          <w:p>
            <w:pPr>
              <w:spacing w:after="0"/>
              <w:rPr>
                <w:sz w:val="15"/>
                <w:szCs w:val="15"/>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20,346</w:t>
            </w: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common stock</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pursuant to vesting of</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equity awards, net of</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125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(1,145)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(2,755)</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(3,900)</w:t>
            </w:r>
          </w:p>
        </w:tc>
        <w:tc>
          <w:tcPr>
            <w:tcW w:w="0" w:type="dxa"/>
            <w:vAlign w:val="bottom"/>
          </w:tcPr>
          <w:p>
            <w:pPr>
              <w:spacing w:after="0"/>
              <w:rPr>
                <w:sz w:val="1"/>
                <w:szCs w:val="1"/>
                <w:color w:val="auto"/>
              </w:rPr>
            </w:pPr>
          </w:p>
        </w:tc>
      </w:tr>
      <w:tr>
        <w:trPr>
          <w:trHeight w:val="182"/>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stock withheld for tax</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Impact of Tax</w:t>
            </w: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Receivable</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9,183</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9,183</w:t>
            </w:r>
          </w:p>
        </w:tc>
        <w:tc>
          <w:tcPr>
            <w:tcW w:w="0" w:type="dxa"/>
            <w:vAlign w:val="bottom"/>
          </w:tcPr>
          <w:p>
            <w:pPr>
              <w:spacing w:after="0"/>
              <w:rPr>
                <w:sz w:val="1"/>
                <w:szCs w:val="1"/>
                <w:color w:val="auto"/>
              </w:rPr>
            </w:pPr>
          </w:p>
        </w:tc>
      </w:tr>
      <w:tr>
        <w:trPr>
          <w:trHeight w:val="187"/>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Agreements</w:t>
            </w: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4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660" w:type="dxa"/>
            <w:vAlign w:val="bottom"/>
            <w:gridSpan w:val="2"/>
            <w:vMerge w:val="continue"/>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36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20" w:type="dxa"/>
            <w:vAlign w:val="bottom"/>
            <w:gridSpan w:val="2"/>
            <w:vMerge w:val="continue"/>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80" w:type="dxa"/>
            <w:vAlign w:val="bottom"/>
            <w:gridSpan w:val="2"/>
            <w:vMerge w:val="continue"/>
            <w:shd w:val="clear" w:color="auto" w:fill="D2DCE5"/>
          </w:tcPr>
          <w:p>
            <w:pPr>
              <w:spacing w:after="0"/>
              <w:rPr>
                <w:sz w:val="16"/>
                <w:szCs w:val="16"/>
                <w:color w:val="auto"/>
              </w:rPr>
            </w:pPr>
          </w:p>
        </w:tc>
        <w:tc>
          <w:tcPr>
            <w:tcW w:w="820" w:type="dxa"/>
            <w:vAlign w:val="bottom"/>
            <w:gridSpan w:val="2"/>
            <w:vMerge w:val="continue"/>
            <w:shd w:val="clear" w:color="auto" w:fill="D2DCE5"/>
          </w:tcPr>
          <w:p>
            <w:pPr>
              <w:spacing w:after="0"/>
              <w:rPr>
                <w:sz w:val="16"/>
                <w:szCs w:val="16"/>
                <w:color w:val="auto"/>
              </w:rPr>
            </w:pPr>
          </w:p>
        </w:tc>
        <w:tc>
          <w:tcPr>
            <w:tcW w:w="700" w:type="dxa"/>
            <w:vAlign w:val="bottom"/>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rPr>
                <w:sz w:val="20"/>
                <w:szCs w:val="20"/>
                <w:color w:val="auto"/>
              </w:rPr>
            </w:pPr>
            <w:r>
              <w:rPr>
                <w:rFonts w:ascii="Arial" w:cs="Arial" w:eastAsia="Arial" w:hAnsi="Arial"/>
                <w:sz w:val="14"/>
                <w:szCs w:val="14"/>
                <w:color w:val="131E29"/>
              </w:rPr>
              <w:t>OpCo common units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4,880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Pr>
          <w:p>
            <w:pPr>
              <w:jc w:val="right"/>
              <w:spacing w:after="0"/>
              <w:rPr>
                <w:sz w:val="20"/>
                <w:szCs w:val="20"/>
                <w:color w:val="auto"/>
              </w:rPr>
            </w:pPr>
            <w:r>
              <w:rPr>
                <w:rFonts w:ascii="Arial" w:cs="Arial" w:eastAsia="Arial" w:hAnsi="Arial"/>
                <w:sz w:val="14"/>
                <w:szCs w:val="14"/>
                <w:color w:val="131E29"/>
              </w:rPr>
              <w:t>(4,880)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Surrender and</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cancellation of Class C</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5,000</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(3,620)</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(1,379)</w:t>
            </w: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88"/>
        </w:trPr>
        <w:tc>
          <w:tcPr>
            <w:tcW w:w="16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&amp; D common stock</w:t>
            </w:r>
          </w:p>
        </w:tc>
        <w:tc>
          <w:tcPr>
            <w:tcW w:w="56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5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56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560" w:type="dxa"/>
            <w:vAlign w:val="bottom"/>
            <w:tcBorders>
              <w:bottom w:val="single" w:sz="8" w:color="auto"/>
            </w:tcBorders>
            <w:vMerge w:val="continue"/>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180" w:type="dxa"/>
            <w:vAlign w:val="bottom"/>
            <w:tcBorders>
              <w:bottom w:val="single" w:sz="8" w:color="auto"/>
            </w:tcBorders>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4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June 30,</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39,558</w:t>
            </w:r>
          </w:p>
        </w:tc>
        <w:tc>
          <w:tcPr>
            <w:tcW w:w="8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131E29"/>
              </w:rPr>
              <w:t>64,699</w:t>
            </w:r>
          </w:p>
        </w:tc>
        <w:tc>
          <w:tcPr>
            <w:tcW w:w="8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45,386</w:t>
            </w:r>
          </w:p>
        </w:tc>
        <w:tc>
          <w:tcPr>
            <w:tcW w:w="80" w:type="dxa"/>
            <w:vAlign w:val="bottom"/>
          </w:tcPr>
          <w:p>
            <w:pPr>
              <w:spacing w:after="0"/>
              <w:rPr>
                <w:sz w:val="14"/>
                <w:szCs w:val="14"/>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14,062</w:t>
            </w:r>
          </w:p>
        </w:tc>
        <w:tc>
          <w:tcPr>
            <w:tcW w:w="100" w:type="dxa"/>
            <w:vAlign w:val="bottom"/>
          </w:tcPr>
          <w:p>
            <w:pPr>
              <w:spacing w:after="0"/>
              <w:rPr>
                <w:sz w:val="14"/>
                <w:szCs w:val="14"/>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w w:val="96"/>
              </w:rPr>
              <w:t>$ 126,538</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131E29"/>
              </w:rPr>
              <w:t>145</w:t>
            </w:r>
          </w:p>
        </w:tc>
        <w:tc>
          <w:tcPr>
            <w:tcW w:w="8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(18,146)</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$ 114,698</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w w:val="99"/>
              </w:rPr>
              <w:t>$ 223,237</w:t>
            </w: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Stockholders’/Members’ Equity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131E29"/>
                <w:w w:val="98"/>
              </w:rPr>
              <w:t>Temporary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131E29"/>
                <w:w w:val="98"/>
              </w:rPr>
              <w:t>Equity:</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131E29"/>
              </w:rPr>
              <w:t>Permanent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131E29"/>
                <w:w w:val="99"/>
              </w:rPr>
              <w:t>Redeemable</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131E29"/>
              </w:rPr>
              <w:t>Equity: Members’</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131E29"/>
                <w:w w:val="99"/>
              </w:rPr>
              <w:t>Total Members’</w:t>
            </w:r>
          </w:p>
        </w:tc>
      </w:tr>
      <w:tr>
        <w:trPr>
          <w:trHeight w:val="240"/>
        </w:trPr>
        <w:tc>
          <w:tcPr>
            <w:tcW w:w="652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4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131E29"/>
                <w:w w:val="99"/>
              </w:rPr>
              <w:t>Common Units</w:t>
            </w: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131E29"/>
                <w:w w:val="98"/>
              </w:rPr>
              <w:t>Deficit</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131E29"/>
              </w:rPr>
              <w:t>Equity</w:t>
            </w:r>
          </w:p>
        </w:tc>
      </w:tr>
      <w:tr>
        <w:trPr>
          <w:trHeight w:val="26"/>
        </w:trPr>
        <w:tc>
          <w:tcPr>
            <w:tcW w:w="64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March 31, 2021</w:t>
            </w: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1,710,522</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(1,641,475)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69,047</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Distribution to members</w:t>
            </w:r>
          </w:p>
        </w:tc>
        <w:tc>
          <w:tcPr>
            <w:tcW w:w="1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131E29"/>
              </w:rPr>
              <w:t>(205,490)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(205,490)</w:t>
            </w:r>
          </w:p>
        </w:tc>
      </w:tr>
      <w:tr>
        <w:trPr>
          <w:trHeight w:val="27"/>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Increase in redemption value of redeemable common units</w:t>
            </w:r>
          </w:p>
        </w:tc>
        <w:tc>
          <w:tcPr>
            <w:tcW w:w="14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1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131E29"/>
              </w:rPr>
              <w:t>11,889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11,889</w:t>
            </w:r>
          </w:p>
        </w:tc>
      </w:tr>
      <w:tr>
        <w:trPr>
          <w:trHeight w:val="27"/>
        </w:trPr>
        <w:tc>
          <w:tcPr>
            <w:tcW w:w="644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June 30, 2021</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1,710,622</w:t>
            </w:r>
          </w:p>
        </w:tc>
        <w:tc>
          <w:tcPr>
            <w:tcW w:w="10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(1,835,176)</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(124,554)</w:t>
            </w:r>
          </w:p>
        </w:tc>
      </w:tr>
      <w:tr>
        <w:trPr>
          <w:trHeight w:val="20"/>
        </w:trPr>
        <w:tc>
          <w:tcPr>
            <w:tcW w:w="64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13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131E29"/>
                <w:w w:val="98"/>
              </w:rPr>
              <w:t>Temporary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131E29"/>
                <w:w w:val="98"/>
              </w:rPr>
              <w:t>Equity:</w:t>
            </w:r>
          </w:p>
        </w:tc>
        <w:tc>
          <w:tcPr>
            <w:tcW w:w="2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131E29"/>
                <w:w w:val="98"/>
              </w:rPr>
              <w:t>Permanent</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131E29"/>
                <w:w w:val="99"/>
              </w:rPr>
              <w:t>Redeemable</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131E29"/>
              </w:rPr>
              <w:t>Equity: Members’</w:t>
            </w:r>
          </w:p>
        </w:tc>
        <w:tc>
          <w:tcPr>
            <w:tcW w:w="1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131E29"/>
                <w:w w:val="98"/>
              </w:rPr>
              <w:t>Total Members’</w:t>
            </w:r>
          </w:p>
        </w:tc>
      </w:tr>
      <w:tr>
        <w:trPr>
          <w:trHeight w:val="240"/>
        </w:trPr>
        <w:tc>
          <w:tcPr>
            <w:tcW w:w="632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131E29"/>
                <w:w w:val="99"/>
              </w:rPr>
              <w:t>Common Units</w:t>
            </w:r>
          </w:p>
        </w:tc>
        <w:tc>
          <w:tcPr>
            <w:tcW w:w="22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131E29"/>
              </w:rPr>
              <w:t>Deficit</w:t>
            </w:r>
          </w:p>
        </w:tc>
        <w:tc>
          <w:tcPr>
            <w:tcW w:w="120" w:type="dxa"/>
            <w:vAlign w:val="bottom"/>
          </w:tcPr>
          <w:p>
            <w:pPr>
              <w:spacing w:after="0"/>
              <w:rPr>
                <w:sz w:val="20"/>
                <w:szCs w:val="20"/>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131E29"/>
              </w:rPr>
              <w:t>Equity</w:t>
            </w:r>
          </w:p>
        </w:tc>
      </w:tr>
      <w:tr>
        <w:trPr>
          <w:trHeight w:val="26"/>
        </w:trPr>
        <w:tc>
          <w:tcPr>
            <w:tcW w:w="6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2020</w:t>
            </w: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1,535,772</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(1,458,285)</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77,487</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131E29"/>
              </w:rPr>
              <w:t>Distribution to members</w:t>
            </w: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131E29"/>
              </w:rPr>
              <w:t>(209,108)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31E29"/>
              </w:rPr>
              <w:t>(209,108)</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Increase in redemption value of common units</w:t>
            </w:r>
          </w:p>
        </w:tc>
        <w:tc>
          <w:tcPr>
            <w:tcW w:w="12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174,850</w:t>
            </w:r>
          </w:p>
        </w:tc>
        <w:tc>
          <w:tcPr>
            <w:tcW w:w="8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(174,850)</w:t>
            </w:r>
          </w:p>
        </w:tc>
        <w:tc>
          <w:tcPr>
            <w:tcW w:w="10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131E29"/>
              </w:rPr>
              <w:t>7,067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31E29"/>
              </w:rPr>
              <w:t>7,067</w:t>
            </w:r>
          </w:p>
        </w:tc>
      </w:tr>
      <w:tr>
        <w:trPr>
          <w:trHeight w:val="27"/>
        </w:trPr>
        <w:tc>
          <w:tcPr>
            <w:tcW w:w="62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6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June 30, 2021</w:t>
            </w: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1,710,622</w:t>
            </w:r>
          </w:p>
        </w:tc>
        <w:tc>
          <w:tcPr>
            <w:tcW w:w="8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(1,835,176)</w:t>
            </w:r>
          </w:p>
        </w:tc>
        <w:tc>
          <w:tcPr>
            <w:tcW w:w="100" w:type="dxa"/>
            <w:vAlign w:val="bottom"/>
            <w:tcBorders>
              <w:bottom w:val="single" w:sz="8" w:color="D2DCE5"/>
            </w:tcBorders>
            <w:shd w:val="clear" w:color="auto" w:fill="D2DCE5"/>
          </w:tcPr>
          <w:p>
            <w:pPr>
              <w:spacing w:after="0"/>
              <w:rPr>
                <w:sz w:val="24"/>
                <w:szCs w:val="24"/>
                <w:color w:val="auto"/>
              </w:rPr>
            </w:pP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(124,554)</w:t>
            </w:r>
          </w:p>
        </w:tc>
      </w:tr>
      <w:tr>
        <w:trPr>
          <w:trHeight w:val="20"/>
        </w:trPr>
        <w:tc>
          <w:tcPr>
            <w:tcW w:w="62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4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13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46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w:t>
      </w:r>
    </w:p>
    <w:p>
      <w:pPr>
        <w:spacing w:after="0" w:line="215"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31750</wp:posOffset>
            </wp:positionV>
            <wp:extent cx="23660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131E29"/>
              </w:rPr>
              <w:t>2022</w:t>
            </w:r>
          </w:p>
        </w:tc>
        <w:tc>
          <w:tcPr>
            <w:tcW w:w="100" w:type="dxa"/>
            <w:vAlign w:val="bottom"/>
            <w:tcBorders>
              <w:bottom w:val="single" w:sz="8" w:color="D2DCE5"/>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131E29"/>
              </w:rPr>
              <w:t>2021</w:t>
            </w:r>
          </w:p>
        </w:tc>
      </w:tr>
      <w:tr>
        <w:trPr>
          <w:trHeight w:val="243"/>
        </w:trPr>
        <w:tc>
          <w:tcPr>
            <w:tcW w:w="75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flows from operating activities: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spacing w:after="0"/>
              <w:rPr>
                <w:sz w:val="21"/>
                <w:szCs w:val="21"/>
                <w:color w:val="auto"/>
              </w:rPr>
            </w:pP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Net income (loss)</w:t>
            </w:r>
          </w:p>
        </w:tc>
        <w:tc>
          <w:tcPr>
            <w:tcW w:w="420" w:type="dxa"/>
            <w:vAlign w:val="bottom"/>
          </w:tcPr>
          <w:p>
            <w:pPr>
              <w:jc w:val="right"/>
              <w:ind w:right="239"/>
              <w:spacing w:after="0"/>
              <w:rPr>
                <w:sz w:val="20"/>
                <w:szCs w:val="20"/>
                <w:color w:val="auto"/>
              </w:rPr>
            </w:pPr>
            <w:r>
              <w:rPr>
                <w:rFonts w:ascii="Arial" w:cs="Arial" w:eastAsia="Arial" w:hAnsi="Arial"/>
                <w:sz w:val="16"/>
                <w:szCs w:val="16"/>
                <w:color w:val="131E29"/>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131E29"/>
              </w:rPr>
              <w:t>(18,030)</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131E29"/>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131E29"/>
              </w:rPr>
              <w:t>7,067</w:t>
            </w: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Adjustments to reconcile net income (loss) to net cash provided by operating activities: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spacing w:after="0"/>
              <w:rPr>
                <w:sz w:val="21"/>
                <w:szCs w:val="21"/>
                <w:color w:val="auto"/>
              </w:rPr>
            </w:pPr>
          </w:p>
        </w:tc>
      </w:tr>
      <w:tr>
        <w:trPr>
          <w:trHeight w:val="233"/>
        </w:trPr>
        <w:tc>
          <w:tcPr>
            <w:tcW w:w="7520" w:type="dxa"/>
            <w:vAlign w:val="bottom"/>
            <w:gridSpan w:val="2"/>
          </w:tcPr>
          <w:p>
            <w:pPr>
              <w:ind w:left="360"/>
              <w:spacing w:after="0"/>
              <w:rPr>
                <w:sz w:val="20"/>
                <w:szCs w:val="20"/>
                <w:color w:val="auto"/>
              </w:rPr>
            </w:pPr>
            <w:r>
              <w:rPr>
                <w:rFonts w:ascii="Arial" w:cs="Arial" w:eastAsia="Arial" w:hAnsi="Arial"/>
                <w:sz w:val="16"/>
                <w:szCs w:val="16"/>
                <w:color w:val="131E29"/>
              </w:rPr>
              <w:t>Depreciation and amortization</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19,721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11,031</w:t>
            </w:r>
          </w:p>
        </w:tc>
      </w:tr>
      <w:tr>
        <w:trPr>
          <w:trHeight w:val="253"/>
        </w:trPr>
        <w:tc>
          <w:tcPr>
            <w:tcW w:w="752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Non-cash interest expense</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329</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116</w:t>
            </w:r>
          </w:p>
        </w:tc>
      </w:tr>
      <w:tr>
        <w:trPr>
          <w:trHeight w:val="233"/>
        </w:trPr>
        <w:tc>
          <w:tcPr>
            <w:tcW w:w="7520" w:type="dxa"/>
            <w:vAlign w:val="bottom"/>
            <w:gridSpan w:val="2"/>
          </w:tcPr>
          <w:p>
            <w:pPr>
              <w:ind w:left="360"/>
              <w:spacing w:after="0"/>
              <w:rPr>
                <w:sz w:val="20"/>
                <w:szCs w:val="20"/>
                <w:color w:val="auto"/>
              </w:rPr>
            </w:pPr>
            <w:r>
              <w:rPr>
                <w:rFonts w:ascii="Arial" w:cs="Arial" w:eastAsia="Arial" w:hAnsi="Arial"/>
                <w:sz w:val="16"/>
                <w:szCs w:val="16"/>
                <w:color w:val="131E29"/>
              </w:rPr>
              <w:t>Gain on disposal of assets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(266)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(162)</w:t>
            </w:r>
          </w:p>
        </w:tc>
      </w:tr>
      <w:tr>
        <w:trPr>
          <w:trHeight w:val="253"/>
        </w:trPr>
        <w:tc>
          <w:tcPr>
            <w:tcW w:w="752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Equity-based compensation</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20,346</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22,982</w:t>
            </w:r>
          </w:p>
        </w:tc>
      </w:tr>
      <w:tr>
        <w:trPr>
          <w:trHeight w:val="233"/>
        </w:trPr>
        <w:tc>
          <w:tcPr>
            <w:tcW w:w="7520" w:type="dxa"/>
            <w:vAlign w:val="bottom"/>
            <w:gridSpan w:val="2"/>
          </w:tcPr>
          <w:p>
            <w:pPr>
              <w:ind w:left="360"/>
              <w:spacing w:after="0"/>
              <w:rPr>
                <w:sz w:val="20"/>
                <w:szCs w:val="20"/>
                <w:color w:val="auto"/>
              </w:rPr>
            </w:pPr>
            <w:r>
              <w:rPr>
                <w:rFonts w:ascii="Arial" w:cs="Arial" w:eastAsia="Arial" w:hAnsi="Arial"/>
                <w:sz w:val="16"/>
                <w:szCs w:val="16"/>
                <w:color w:val="131E29"/>
              </w:rPr>
              <w:t>Deferred income taxes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(31)</w:t>
            </w:r>
          </w:p>
        </w:tc>
      </w:tr>
      <w:tr>
        <w:trPr>
          <w:trHeight w:val="253"/>
        </w:trPr>
        <w:tc>
          <w:tcPr>
            <w:tcW w:w="7520" w:type="dxa"/>
            <w:vAlign w:val="bottom"/>
            <w:gridSpan w:val="2"/>
            <w:shd w:val="clear" w:color="auto" w:fill="D2DCE5"/>
          </w:tcPr>
          <w:p>
            <w:pPr>
              <w:ind w:left="360"/>
              <w:spacing w:after="0"/>
              <w:rPr>
                <w:sz w:val="20"/>
                <w:szCs w:val="20"/>
                <w:color w:val="auto"/>
              </w:rPr>
            </w:pPr>
            <w:r>
              <w:rPr>
                <w:rFonts w:ascii="Arial" w:cs="Arial" w:eastAsia="Arial" w:hAnsi="Arial"/>
                <w:sz w:val="16"/>
                <w:szCs w:val="16"/>
                <w:color w:val="131E29"/>
              </w:rPr>
              <w:t>Non-cash operating leases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4,746</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3"/>
        </w:trPr>
        <w:tc>
          <w:tcPr>
            <w:tcW w:w="7520" w:type="dxa"/>
            <w:vAlign w:val="bottom"/>
            <w:gridSpan w:val="2"/>
          </w:tcPr>
          <w:p>
            <w:pPr>
              <w:ind w:left="360"/>
              <w:spacing w:after="0"/>
              <w:rPr>
                <w:sz w:val="20"/>
                <w:szCs w:val="20"/>
                <w:color w:val="auto"/>
              </w:rPr>
            </w:pPr>
            <w:r>
              <w:rPr>
                <w:rFonts w:ascii="Arial" w:cs="Arial" w:eastAsia="Arial" w:hAnsi="Arial"/>
                <w:sz w:val="16"/>
                <w:szCs w:val="16"/>
                <w:color w:val="131E29"/>
              </w:rPr>
              <w:t>Changes in operating assets and liabilities, net of acquisitions: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752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Accounts receivable, net</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(3,426)</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(1,294)</w:t>
            </w:r>
          </w:p>
        </w:tc>
      </w:tr>
      <w:tr>
        <w:trPr>
          <w:trHeight w:val="233"/>
        </w:trPr>
        <w:tc>
          <w:tcPr>
            <w:tcW w:w="7520" w:type="dxa"/>
            <w:vAlign w:val="bottom"/>
            <w:gridSpan w:val="2"/>
          </w:tcPr>
          <w:p>
            <w:pPr>
              <w:ind w:left="520"/>
              <w:spacing w:after="0"/>
              <w:rPr>
                <w:sz w:val="20"/>
                <w:szCs w:val="20"/>
                <w:color w:val="auto"/>
              </w:rPr>
            </w:pPr>
            <w:r>
              <w:rPr>
                <w:rFonts w:ascii="Arial" w:cs="Arial" w:eastAsia="Arial" w:hAnsi="Arial"/>
                <w:sz w:val="16"/>
                <w:szCs w:val="16"/>
                <w:color w:val="131E29"/>
              </w:rPr>
              <w:t>Inventories, net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(9,442)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2,364</w:t>
            </w:r>
          </w:p>
        </w:tc>
      </w:tr>
      <w:tr>
        <w:trPr>
          <w:trHeight w:val="253"/>
        </w:trPr>
        <w:tc>
          <w:tcPr>
            <w:tcW w:w="752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Prepaid expenses and other current assets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1,969</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1,163</w:t>
            </w:r>
          </w:p>
        </w:tc>
      </w:tr>
      <w:tr>
        <w:trPr>
          <w:trHeight w:val="233"/>
        </w:trPr>
        <w:tc>
          <w:tcPr>
            <w:tcW w:w="7520" w:type="dxa"/>
            <w:vAlign w:val="bottom"/>
            <w:gridSpan w:val="2"/>
          </w:tcPr>
          <w:p>
            <w:pPr>
              <w:ind w:left="520"/>
              <w:spacing w:after="0"/>
              <w:rPr>
                <w:sz w:val="20"/>
                <w:szCs w:val="20"/>
                <w:color w:val="auto"/>
              </w:rPr>
            </w:pPr>
            <w:r>
              <w:rPr>
                <w:rFonts w:ascii="Arial" w:cs="Arial" w:eastAsia="Arial" w:hAnsi="Arial"/>
                <w:sz w:val="16"/>
                <w:szCs w:val="16"/>
                <w:color w:val="131E29"/>
              </w:rPr>
              <w:t>Other long-term assets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1,160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22</w:t>
            </w:r>
          </w:p>
        </w:tc>
      </w:tr>
      <w:tr>
        <w:trPr>
          <w:trHeight w:val="253"/>
        </w:trPr>
        <w:tc>
          <w:tcPr>
            <w:tcW w:w="752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Accounts payable</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999</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928</w:t>
            </w:r>
          </w:p>
        </w:tc>
      </w:tr>
      <w:tr>
        <w:trPr>
          <w:trHeight w:val="233"/>
        </w:trPr>
        <w:tc>
          <w:tcPr>
            <w:tcW w:w="7520" w:type="dxa"/>
            <w:vAlign w:val="bottom"/>
            <w:gridSpan w:val="2"/>
          </w:tcPr>
          <w:p>
            <w:pPr>
              <w:ind w:left="520"/>
              <w:spacing w:after="0"/>
              <w:rPr>
                <w:sz w:val="20"/>
                <w:szCs w:val="20"/>
                <w:color w:val="auto"/>
              </w:rPr>
            </w:pPr>
            <w:r>
              <w:rPr>
                <w:rFonts w:ascii="Arial" w:cs="Arial" w:eastAsia="Arial" w:hAnsi="Arial"/>
                <w:sz w:val="16"/>
                <w:szCs w:val="16"/>
                <w:color w:val="131E29"/>
              </w:rPr>
              <w:t>Accrued liabilities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(238)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5,268</w:t>
            </w:r>
          </w:p>
        </w:tc>
      </w:tr>
      <w:tr>
        <w:trPr>
          <w:trHeight w:val="253"/>
        </w:trPr>
        <w:tc>
          <w:tcPr>
            <w:tcW w:w="752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Other current liabilities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(379)</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2,892</w:t>
            </w:r>
          </w:p>
        </w:tc>
      </w:tr>
      <w:tr>
        <w:trPr>
          <w:trHeight w:val="233"/>
        </w:trPr>
        <w:tc>
          <w:tcPr>
            <w:tcW w:w="7520" w:type="dxa"/>
            <w:vAlign w:val="bottom"/>
            <w:gridSpan w:val="2"/>
          </w:tcPr>
          <w:p>
            <w:pPr>
              <w:ind w:left="520"/>
              <w:spacing w:after="0"/>
              <w:rPr>
                <w:sz w:val="20"/>
                <w:szCs w:val="20"/>
                <w:color w:val="auto"/>
              </w:rPr>
            </w:pPr>
            <w:r>
              <w:rPr>
                <w:rFonts w:ascii="Arial" w:cs="Arial" w:eastAsia="Arial" w:hAnsi="Arial"/>
                <w:sz w:val="16"/>
                <w:szCs w:val="16"/>
                <w:color w:val="131E29"/>
              </w:rPr>
              <w:t>Deferred revenue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3,570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3,538</w:t>
            </w:r>
          </w:p>
        </w:tc>
      </w:tr>
      <w:tr>
        <w:trPr>
          <w:trHeight w:val="253"/>
        </w:trPr>
        <w:tc>
          <w:tcPr>
            <w:tcW w:w="752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Deferred rent</w:t>
            </w:r>
          </w:p>
        </w:tc>
        <w:tc>
          <w:tcPr>
            <w:tcW w:w="420" w:type="dxa"/>
            <w:vAlign w:val="bottom"/>
            <w:shd w:val="clear" w:color="auto" w:fill="D2DCE5"/>
          </w:tcPr>
          <w:p>
            <w:pPr>
              <w:spacing w:after="0"/>
              <w:rPr>
                <w:sz w:val="21"/>
                <w:szCs w:val="21"/>
                <w:color w:val="auto"/>
              </w:rPr>
            </w:pPr>
          </w:p>
        </w:tc>
        <w:tc>
          <w:tcPr>
            <w:tcW w:w="148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205</w:t>
            </w:r>
          </w:p>
        </w:tc>
      </w:tr>
      <w:tr>
        <w:trPr>
          <w:trHeight w:val="233"/>
        </w:trPr>
        <w:tc>
          <w:tcPr>
            <w:tcW w:w="7520" w:type="dxa"/>
            <w:vAlign w:val="bottom"/>
            <w:gridSpan w:val="2"/>
          </w:tcPr>
          <w:p>
            <w:pPr>
              <w:ind w:left="520"/>
              <w:spacing w:after="0"/>
              <w:rPr>
                <w:sz w:val="20"/>
                <w:szCs w:val="20"/>
                <w:color w:val="auto"/>
              </w:rPr>
            </w:pPr>
            <w:r>
              <w:rPr>
                <w:rFonts w:ascii="Arial" w:cs="Arial" w:eastAsia="Arial" w:hAnsi="Arial"/>
                <w:sz w:val="16"/>
                <w:szCs w:val="16"/>
                <w:color w:val="131E29"/>
              </w:rPr>
              <w:t>Other long-term liabilities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110</w:t>
            </w:r>
          </w:p>
        </w:tc>
      </w:tr>
      <w:tr>
        <w:trPr>
          <w:trHeight w:val="246"/>
        </w:trPr>
        <w:tc>
          <w:tcPr>
            <w:tcW w:w="7520" w:type="dxa"/>
            <w:vAlign w:val="bottom"/>
            <w:gridSpan w:val="2"/>
            <w:shd w:val="clear" w:color="auto" w:fill="D2DCE5"/>
          </w:tcPr>
          <w:p>
            <w:pPr>
              <w:ind w:left="520"/>
              <w:spacing w:after="0"/>
              <w:rPr>
                <w:sz w:val="20"/>
                <w:szCs w:val="20"/>
                <w:color w:val="auto"/>
              </w:rPr>
            </w:pPr>
            <w:r>
              <w:rPr>
                <w:rFonts w:ascii="Arial" w:cs="Arial" w:eastAsia="Arial" w:hAnsi="Arial"/>
                <w:sz w:val="16"/>
                <w:szCs w:val="16"/>
                <w:color w:val="131E29"/>
              </w:rPr>
              <w:t>Operating lease liabilities</w:t>
            </w:r>
          </w:p>
        </w:tc>
        <w:tc>
          <w:tcPr>
            <w:tcW w:w="420" w:type="dxa"/>
            <w:vAlign w:val="bottom"/>
            <w:tcBorders>
              <w:bottom w:val="single" w:sz="8" w:color="auto"/>
            </w:tcBorders>
            <w:shd w:val="clear" w:color="auto" w:fill="D2DCE5"/>
          </w:tcPr>
          <w:p>
            <w:pPr>
              <w:spacing w:after="0"/>
              <w:rPr>
                <w:sz w:val="21"/>
                <w:szCs w:val="21"/>
                <w:color w:val="auto"/>
              </w:rPr>
            </w:pPr>
          </w:p>
        </w:tc>
        <w:tc>
          <w:tcPr>
            <w:tcW w:w="13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(4,335)</w:t>
            </w:r>
          </w:p>
        </w:tc>
        <w:tc>
          <w:tcPr>
            <w:tcW w:w="100" w:type="dxa"/>
            <w:vAlign w:val="bottom"/>
            <w:shd w:val="clear" w:color="auto" w:fill="D2DCE5"/>
          </w:tcPr>
          <w:p>
            <w:pPr>
              <w:spacing w:after="0"/>
              <w:rPr>
                <w:sz w:val="21"/>
                <w:szCs w:val="21"/>
                <w:color w:val="auto"/>
              </w:rPr>
            </w:pPr>
          </w:p>
        </w:tc>
        <w:tc>
          <w:tcPr>
            <w:tcW w:w="420" w:type="dxa"/>
            <w:vAlign w:val="bottom"/>
            <w:tcBorders>
              <w:bottom w:val="single" w:sz="8" w:color="auto"/>
            </w:tcBorders>
            <w:shd w:val="clear" w:color="auto" w:fill="D2DCE5"/>
          </w:tcPr>
          <w:p>
            <w:pPr>
              <w:spacing w:after="0"/>
              <w:rPr>
                <w:sz w:val="21"/>
                <w:szCs w:val="21"/>
                <w:color w:val="auto"/>
              </w:rPr>
            </w:pP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7"/>
        </w:trPr>
        <w:tc>
          <w:tcPr>
            <w:tcW w:w="7520" w:type="dxa"/>
            <w:vAlign w:val="bottom"/>
            <w:tcBorders>
              <w:bottom w:val="single" w:sz="8" w:color="D2DCE5"/>
            </w:tcBorders>
            <w:gridSpan w:val="2"/>
          </w:tcPr>
          <w:p>
            <w:pPr>
              <w:ind w:left="680"/>
              <w:spacing w:after="0"/>
              <w:rPr>
                <w:sz w:val="20"/>
                <w:szCs w:val="20"/>
                <w:color w:val="auto"/>
              </w:rPr>
            </w:pPr>
            <w:r>
              <w:rPr>
                <w:rFonts w:ascii="Arial" w:cs="Arial" w:eastAsia="Arial" w:hAnsi="Arial"/>
                <w:sz w:val="16"/>
                <w:szCs w:val="16"/>
                <w:color w:val="131E29"/>
              </w:rPr>
              <w:t>Net cash provided by operating activities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16,713</w:t>
            </w:r>
          </w:p>
        </w:tc>
        <w:tc>
          <w:tcPr>
            <w:tcW w:w="100" w:type="dxa"/>
            <w:vAlign w:val="bottom"/>
            <w:tcBorders>
              <w:bottom w:val="single" w:sz="8" w:color="D2DC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56,199</w:t>
            </w:r>
          </w:p>
        </w:tc>
      </w:tr>
      <w:tr>
        <w:trPr>
          <w:trHeight w:val="230"/>
        </w:trPr>
        <w:tc>
          <w:tcPr>
            <w:tcW w:w="75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flows from investing activities:</w:t>
            </w:r>
          </w:p>
        </w:tc>
        <w:tc>
          <w:tcPr>
            <w:tcW w:w="420" w:type="dxa"/>
            <w:vAlign w:val="bottom"/>
            <w:shd w:val="clear" w:color="auto" w:fill="D2DCE5"/>
          </w:tcPr>
          <w:p>
            <w:pPr>
              <w:spacing w:after="0"/>
              <w:rPr>
                <w:sz w:val="19"/>
                <w:szCs w:val="19"/>
                <w:color w:val="auto"/>
              </w:rPr>
            </w:pPr>
          </w:p>
        </w:tc>
        <w:tc>
          <w:tcPr>
            <w:tcW w:w="13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20" w:type="dxa"/>
            <w:vAlign w:val="bottom"/>
            <w:shd w:val="clear" w:color="auto" w:fill="D2DCE5"/>
          </w:tcPr>
          <w:p>
            <w:pPr>
              <w:spacing w:after="0"/>
              <w:rPr>
                <w:sz w:val="19"/>
                <w:szCs w:val="19"/>
                <w:color w:val="auto"/>
              </w:rPr>
            </w:pPr>
          </w:p>
        </w:tc>
        <w:tc>
          <w:tcPr>
            <w:tcW w:w="1400" w:type="dxa"/>
            <w:vAlign w:val="bottom"/>
            <w:shd w:val="clear" w:color="auto" w:fill="D2DCE5"/>
          </w:tcPr>
          <w:p>
            <w:pPr>
              <w:spacing w:after="0"/>
              <w:rPr>
                <w:sz w:val="19"/>
                <w:szCs w:val="19"/>
                <w:color w:val="auto"/>
              </w:rPr>
            </w:pP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Purchases of property and equipment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(83,856)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(34,896)</w:t>
            </w: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disposal of fixed assets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1,274</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1,019</w:t>
            </w:r>
          </w:p>
        </w:tc>
      </w:tr>
      <w:tr>
        <w:trPr>
          <w:trHeight w:val="237"/>
        </w:trPr>
        <w:tc>
          <w:tcPr>
            <w:tcW w:w="752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Acquisition of shops from franchisees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(6,051)</w:t>
            </w:r>
          </w:p>
        </w:tc>
        <w:tc>
          <w:tcPr>
            <w:tcW w:w="100" w:type="dxa"/>
            <w:vAlign w:val="bottom"/>
            <w:tcBorders>
              <w:bottom w:val="single" w:sz="8" w:color="D2DC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(2,509)</w:t>
            </w:r>
          </w:p>
        </w:tc>
      </w:tr>
      <w:tr>
        <w:trPr>
          <w:trHeight w:val="243"/>
        </w:trPr>
        <w:tc>
          <w:tcPr>
            <w:tcW w:w="7520" w:type="dxa"/>
            <w:vAlign w:val="bottom"/>
            <w:gridSpan w:val="2"/>
            <w:shd w:val="clear" w:color="auto" w:fill="D2DCE5"/>
          </w:tcPr>
          <w:p>
            <w:pPr>
              <w:ind w:left="680"/>
              <w:spacing w:after="0"/>
              <w:rPr>
                <w:sz w:val="20"/>
                <w:szCs w:val="20"/>
                <w:color w:val="auto"/>
              </w:rPr>
            </w:pPr>
            <w:r>
              <w:rPr>
                <w:rFonts w:ascii="Arial" w:cs="Arial" w:eastAsia="Arial" w:hAnsi="Arial"/>
                <w:sz w:val="16"/>
                <w:szCs w:val="16"/>
                <w:color w:val="131E29"/>
              </w:rPr>
              <w:t>Net cash used in investing activities</w:t>
            </w:r>
          </w:p>
        </w:tc>
        <w:tc>
          <w:tcPr>
            <w:tcW w:w="420" w:type="dxa"/>
            <w:vAlign w:val="bottom"/>
            <w:tcBorders>
              <w:bottom w:val="single" w:sz="8" w:color="auto"/>
            </w:tcBorders>
            <w:shd w:val="clear" w:color="auto" w:fill="D2DCE5"/>
          </w:tcPr>
          <w:p>
            <w:pPr>
              <w:spacing w:after="0"/>
              <w:rPr>
                <w:sz w:val="21"/>
                <w:szCs w:val="21"/>
                <w:color w:val="auto"/>
              </w:rPr>
            </w:pPr>
          </w:p>
        </w:tc>
        <w:tc>
          <w:tcPr>
            <w:tcW w:w="13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(88,633)</w:t>
            </w:r>
          </w:p>
        </w:tc>
        <w:tc>
          <w:tcPr>
            <w:tcW w:w="100" w:type="dxa"/>
            <w:vAlign w:val="bottom"/>
            <w:shd w:val="clear" w:color="auto" w:fill="D2DCE5"/>
          </w:tcPr>
          <w:p>
            <w:pPr>
              <w:spacing w:after="0"/>
              <w:rPr>
                <w:sz w:val="21"/>
                <w:szCs w:val="21"/>
                <w:color w:val="auto"/>
              </w:rPr>
            </w:pPr>
          </w:p>
        </w:tc>
        <w:tc>
          <w:tcPr>
            <w:tcW w:w="420" w:type="dxa"/>
            <w:vAlign w:val="bottom"/>
            <w:tcBorders>
              <w:bottom w:val="single" w:sz="8" w:color="auto"/>
            </w:tcBorders>
            <w:shd w:val="clear" w:color="auto" w:fill="D2DCE5"/>
          </w:tcPr>
          <w:p>
            <w:pPr>
              <w:spacing w:after="0"/>
              <w:rPr>
                <w:sz w:val="21"/>
                <w:szCs w:val="21"/>
                <w:color w:val="auto"/>
              </w:rPr>
            </w:pP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(36,386)</w:t>
            </w:r>
          </w:p>
        </w:tc>
      </w:tr>
      <w:tr>
        <w:trPr>
          <w:trHeight w:val="213"/>
        </w:trPr>
        <w:tc>
          <w:tcPr>
            <w:tcW w:w="7520" w:type="dxa"/>
            <w:vAlign w:val="bottom"/>
            <w:gridSpan w:val="2"/>
          </w:tcPr>
          <w:p>
            <w:pPr>
              <w:ind w:left="20"/>
              <w:spacing w:after="0"/>
              <w:rPr>
                <w:sz w:val="20"/>
                <w:szCs w:val="20"/>
                <w:color w:val="auto"/>
              </w:rPr>
            </w:pPr>
            <w:r>
              <w:rPr>
                <w:rFonts w:ascii="Arial" w:cs="Arial" w:eastAsia="Arial" w:hAnsi="Arial"/>
                <w:sz w:val="16"/>
                <w:szCs w:val="16"/>
                <w:color w:val="131E29"/>
              </w:rPr>
              <w:t>Cash flows from financing activities: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line of credit</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82,705</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25,000</w:t>
            </w: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Payments on line of credit</w:t>
            </w:r>
          </w:p>
        </w:tc>
        <w:tc>
          <w:tcPr>
            <w:tcW w:w="4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(15,000)</w:t>
            </w: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on finance lease obligations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(1,789)</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(1,135)</w:t>
            </w: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Proceeds from long-term debt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1,375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200,000</w:t>
            </w: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on long-term debt</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(685)</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(28,769)</w:t>
            </w: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Payments of debt issuance costs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(2,749)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(2,406)</w:t>
            </w: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Distributions paid to members</w:t>
            </w:r>
          </w:p>
        </w:tc>
        <w:tc>
          <w:tcPr>
            <w:tcW w:w="420" w:type="dxa"/>
            <w:vAlign w:val="bottom"/>
            <w:shd w:val="clear" w:color="auto" w:fill="D2DCE5"/>
          </w:tcPr>
          <w:p>
            <w:pPr>
              <w:spacing w:after="0"/>
              <w:rPr>
                <w:sz w:val="21"/>
                <w:szCs w:val="21"/>
                <w:color w:val="auto"/>
              </w:rPr>
            </w:pPr>
          </w:p>
        </w:tc>
        <w:tc>
          <w:tcPr>
            <w:tcW w:w="148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(209,108)</w:t>
            </w: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Payments of IPO issuance costs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(250)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(458)</w:t>
            </w:r>
          </w:p>
        </w:tc>
      </w:tr>
      <w:tr>
        <w:trPr>
          <w:trHeight w:val="246"/>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Tax withholding payments upon vesting of equity awards</w:t>
            </w:r>
          </w:p>
        </w:tc>
        <w:tc>
          <w:tcPr>
            <w:tcW w:w="420" w:type="dxa"/>
            <w:vAlign w:val="bottom"/>
            <w:tcBorders>
              <w:bottom w:val="single" w:sz="8" w:color="auto"/>
            </w:tcBorders>
            <w:shd w:val="clear" w:color="auto" w:fill="D2DCE5"/>
          </w:tcPr>
          <w:p>
            <w:pPr>
              <w:spacing w:after="0"/>
              <w:rPr>
                <w:sz w:val="21"/>
                <w:szCs w:val="21"/>
                <w:color w:val="auto"/>
              </w:rPr>
            </w:pPr>
          </w:p>
        </w:tc>
        <w:tc>
          <w:tcPr>
            <w:tcW w:w="13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(3,900)</w:t>
            </w:r>
          </w:p>
        </w:tc>
        <w:tc>
          <w:tcPr>
            <w:tcW w:w="100" w:type="dxa"/>
            <w:vAlign w:val="bottom"/>
            <w:shd w:val="clear" w:color="auto" w:fill="D2DCE5"/>
          </w:tcPr>
          <w:p>
            <w:pPr>
              <w:spacing w:after="0"/>
              <w:rPr>
                <w:sz w:val="21"/>
                <w:szCs w:val="21"/>
                <w:color w:val="auto"/>
              </w:rPr>
            </w:pPr>
          </w:p>
        </w:tc>
        <w:tc>
          <w:tcPr>
            <w:tcW w:w="420" w:type="dxa"/>
            <w:vAlign w:val="bottom"/>
            <w:tcBorders>
              <w:bottom w:val="single" w:sz="8" w:color="auto"/>
            </w:tcBorders>
            <w:shd w:val="clear" w:color="auto" w:fill="D2DCE5"/>
          </w:tcPr>
          <w:p>
            <w:pPr>
              <w:spacing w:after="0"/>
              <w:rPr>
                <w:sz w:val="21"/>
                <w:szCs w:val="21"/>
                <w:color w:val="auto"/>
              </w:rPr>
            </w:pP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6"/>
        </w:trPr>
        <w:tc>
          <w:tcPr>
            <w:tcW w:w="7520" w:type="dxa"/>
            <w:vAlign w:val="bottom"/>
            <w:tcBorders>
              <w:bottom w:val="single" w:sz="8" w:color="D2DCE5"/>
            </w:tcBorders>
            <w:gridSpan w:val="2"/>
          </w:tcPr>
          <w:p>
            <w:pPr>
              <w:ind w:left="680"/>
              <w:spacing w:after="0"/>
              <w:rPr>
                <w:sz w:val="20"/>
                <w:szCs w:val="20"/>
                <w:color w:val="auto"/>
              </w:rPr>
            </w:pPr>
            <w:r>
              <w:rPr>
                <w:rFonts w:ascii="Arial" w:cs="Arial" w:eastAsia="Arial" w:hAnsi="Arial"/>
                <w:sz w:val="16"/>
                <w:szCs w:val="16"/>
                <w:color w:val="131E29"/>
              </w:rPr>
              <w:t>Net cash provided by (used in) financing activities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74,707</w:t>
            </w:r>
          </w:p>
        </w:tc>
        <w:tc>
          <w:tcPr>
            <w:tcW w:w="100" w:type="dxa"/>
            <w:vAlign w:val="bottom"/>
            <w:tcBorders>
              <w:bottom w:val="single" w:sz="8" w:color="D2DC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(31,876)</w:t>
            </w:r>
          </w:p>
        </w:tc>
      </w:tr>
      <w:tr>
        <w:trPr>
          <w:trHeight w:val="243"/>
        </w:trPr>
        <w:tc>
          <w:tcPr>
            <w:tcW w:w="7520" w:type="dxa"/>
            <w:vAlign w:val="bottom"/>
            <w:gridSpan w:val="2"/>
            <w:shd w:val="clear" w:color="auto" w:fill="D2DCE5"/>
          </w:tcPr>
          <w:p>
            <w:pPr>
              <w:ind w:left="840"/>
              <w:spacing w:after="0"/>
              <w:rPr>
                <w:sz w:val="20"/>
                <w:szCs w:val="20"/>
                <w:color w:val="auto"/>
              </w:rPr>
            </w:pPr>
            <w:r>
              <w:rPr>
                <w:rFonts w:ascii="Arial" w:cs="Arial" w:eastAsia="Arial" w:hAnsi="Arial"/>
                <w:sz w:val="16"/>
                <w:szCs w:val="16"/>
                <w:color w:val="131E29"/>
              </w:rPr>
              <w:t>Net increase (decrease) in cash and cash equivalents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2,787</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(12,063)</w:t>
            </w:r>
          </w:p>
        </w:tc>
      </w:tr>
      <w:tr>
        <w:trPr>
          <w:trHeight w:val="236"/>
        </w:trPr>
        <w:tc>
          <w:tcPr>
            <w:tcW w:w="7520" w:type="dxa"/>
            <w:vAlign w:val="bottom"/>
            <w:tcBorders>
              <w:bottom w:val="single" w:sz="8" w:color="D2DCE5"/>
            </w:tcBorders>
            <w:gridSpan w:val="2"/>
          </w:tcPr>
          <w:p>
            <w:pPr>
              <w:ind w:left="20"/>
              <w:spacing w:after="0"/>
              <w:rPr>
                <w:sz w:val="20"/>
                <w:szCs w:val="20"/>
                <w:color w:val="auto"/>
              </w:rPr>
            </w:pPr>
            <w:r>
              <w:rPr>
                <w:rFonts w:ascii="Arial" w:cs="Arial" w:eastAsia="Arial" w:hAnsi="Arial"/>
                <w:sz w:val="16"/>
                <w:szCs w:val="16"/>
                <w:color w:val="131E29"/>
              </w:rPr>
              <w:t>Cash and cash equivalents, beginning of period</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18,506</w:t>
            </w:r>
          </w:p>
        </w:tc>
        <w:tc>
          <w:tcPr>
            <w:tcW w:w="100" w:type="dxa"/>
            <w:vAlign w:val="bottom"/>
            <w:tcBorders>
              <w:bottom w:val="single" w:sz="8" w:color="D2DC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31,640</w:t>
            </w:r>
          </w:p>
        </w:tc>
      </w:tr>
      <w:tr>
        <w:trPr>
          <w:trHeight w:val="268"/>
        </w:trPr>
        <w:tc>
          <w:tcPr>
            <w:tcW w:w="7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Cash and cash equivalents, end of period</w:t>
            </w:r>
          </w:p>
        </w:tc>
        <w:tc>
          <w:tcPr>
            <w:tcW w:w="420" w:type="dxa"/>
            <w:vAlign w:val="bottom"/>
            <w:tcBorders>
              <w:bottom w:val="single" w:sz="8" w:color="auto"/>
            </w:tcBorders>
            <w:shd w:val="clear" w:color="auto" w:fill="D2DCE5"/>
          </w:tcPr>
          <w:p>
            <w:pPr>
              <w:jc w:val="right"/>
              <w:ind w:right="239"/>
              <w:spacing w:after="0"/>
              <w:rPr>
                <w:sz w:val="20"/>
                <w:szCs w:val="20"/>
                <w:color w:val="auto"/>
              </w:rPr>
            </w:pPr>
            <w:r>
              <w:rPr>
                <w:rFonts w:ascii="Arial" w:cs="Arial" w:eastAsia="Arial" w:hAnsi="Arial"/>
                <w:sz w:val="16"/>
                <w:szCs w:val="16"/>
                <w:color w:val="131E29"/>
                <w:w w:val="89"/>
              </w:rPr>
              <w:t>$</w:t>
            </w:r>
          </w:p>
        </w:tc>
        <w:tc>
          <w:tcPr>
            <w:tcW w:w="13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21,293</w:t>
            </w:r>
          </w:p>
        </w:tc>
        <w:tc>
          <w:tcPr>
            <w:tcW w:w="100" w:type="dxa"/>
            <w:vAlign w:val="bottom"/>
            <w:tcBorders>
              <w:bottom w:val="single" w:sz="8" w:color="D2DCE5"/>
            </w:tcBorders>
            <w:shd w:val="clear" w:color="auto" w:fill="D2DCE5"/>
          </w:tcPr>
          <w:p>
            <w:pPr>
              <w:spacing w:after="0"/>
              <w:rPr>
                <w:sz w:val="22"/>
                <w:szCs w:val="22"/>
                <w:color w:val="auto"/>
              </w:rPr>
            </w:pPr>
          </w:p>
        </w:tc>
        <w:tc>
          <w:tcPr>
            <w:tcW w:w="420" w:type="dxa"/>
            <w:vAlign w:val="bottom"/>
            <w:tcBorders>
              <w:bottom w:val="single" w:sz="8" w:color="auto"/>
            </w:tcBorders>
            <w:shd w:val="clear" w:color="auto" w:fill="D2DCE5"/>
          </w:tcPr>
          <w:p>
            <w:pPr>
              <w:jc w:val="right"/>
              <w:ind w:right="239"/>
              <w:spacing w:after="0"/>
              <w:rPr>
                <w:sz w:val="20"/>
                <w:szCs w:val="20"/>
                <w:color w:val="auto"/>
              </w:rPr>
            </w:pPr>
            <w:r>
              <w:rPr>
                <w:rFonts w:ascii="Arial" w:cs="Arial" w:eastAsia="Arial" w:hAnsi="Arial"/>
                <w:sz w:val="16"/>
                <w:szCs w:val="16"/>
                <w:color w:val="131E29"/>
                <w:w w:val="89"/>
              </w:rPr>
              <w:t>$</w:t>
            </w: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19,577</w:t>
            </w:r>
          </w:p>
        </w:tc>
      </w:tr>
      <w:tr>
        <w:trPr>
          <w:trHeight w:val="20"/>
        </w:trPr>
        <w:tc>
          <w:tcPr>
            <w:tcW w:w="7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13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14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 (continued)</w:t>
      </w:r>
    </w:p>
    <w:p>
      <w:pPr>
        <w:spacing w:after="0" w:line="215"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31750</wp:posOffset>
            </wp:positionV>
            <wp:extent cx="23660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131E29"/>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131E29"/>
              </w:rPr>
              <w:t>2021</w:t>
            </w:r>
          </w:p>
        </w:tc>
      </w:tr>
      <w:tr>
        <w:trPr>
          <w:trHeight w:val="233"/>
        </w:trPr>
        <w:tc>
          <w:tcPr>
            <w:tcW w:w="7520" w:type="dxa"/>
            <w:vAlign w:val="bottom"/>
            <w:gridSpan w:val="2"/>
          </w:tcPr>
          <w:p>
            <w:pPr>
              <w:ind w:left="20"/>
              <w:spacing w:after="0"/>
              <w:rPr>
                <w:sz w:val="20"/>
                <w:szCs w:val="20"/>
                <w:color w:val="auto"/>
              </w:rPr>
            </w:pPr>
            <w:r>
              <w:rPr>
                <w:rFonts w:ascii="Arial" w:cs="Arial" w:eastAsia="Arial" w:hAnsi="Arial"/>
                <w:sz w:val="16"/>
                <w:szCs w:val="16"/>
                <w:b w:val="1"/>
                <w:bCs w:val="1"/>
                <w:color w:val="131E29"/>
              </w:rPr>
              <w:t>Supplemental disclosure of cash flow information</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Cash paid for interest</w:t>
            </w:r>
          </w:p>
        </w:tc>
        <w:tc>
          <w:tcPr>
            <w:tcW w:w="42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w w:val="89"/>
              </w:rPr>
              <w:t>$</w:t>
            </w: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5,538</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w w:val="8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2,981</w:t>
            </w: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Income taxes paid</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131E29"/>
              </w:rPr>
              <w:t>741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310</w:t>
            </w:r>
          </w:p>
        </w:tc>
      </w:tr>
      <w:tr>
        <w:trPr>
          <w:trHeight w:val="253"/>
        </w:trPr>
        <w:tc>
          <w:tcPr>
            <w:tcW w:w="752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Supplemental disclosure of noncash investing and financing activities</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spacing w:after="0"/>
              <w:rPr>
                <w:sz w:val="21"/>
                <w:szCs w:val="21"/>
                <w:color w:val="auto"/>
              </w:rPr>
            </w:pP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Additions of property with capital leases</w:t>
            </w:r>
          </w:p>
        </w:tc>
        <w:tc>
          <w:tcPr>
            <w:tcW w:w="4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12,053</w:t>
            </w: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Additions of property and equipment accrued as of end of period</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7,815</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1,628</w:t>
            </w:r>
          </w:p>
        </w:tc>
      </w:tr>
      <w:tr>
        <w:trPr>
          <w:trHeight w:val="233"/>
        </w:trPr>
        <w:tc>
          <w:tcPr>
            <w:tcW w:w="7520" w:type="dxa"/>
            <w:vAlign w:val="bottom"/>
            <w:gridSpan w:val="2"/>
          </w:tcPr>
          <w:p>
            <w:pPr>
              <w:ind w:left="180"/>
              <w:spacing w:after="0"/>
              <w:rPr>
                <w:sz w:val="20"/>
                <w:szCs w:val="20"/>
                <w:color w:val="auto"/>
              </w:rPr>
            </w:pPr>
            <w:r>
              <w:rPr>
                <w:rFonts w:ascii="Arial" w:cs="Arial" w:eastAsia="Arial" w:hAnsi="Arial"/>
                <w:sz w:val="16"/>
                <w:szCs w:val="16"/>
                <w:color w:val="131E29"/>
              </w:rPr>
              <w:t>Deferred offering costs accrued</w:t>
            </w:r>
          </w:p>
        </w:tc>
        <w:tc>
          <w:tcPr>
            <w:tcW w:w="4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366</w:t>
            </w:r>
          </w:p>
        </w:tc>
      </w:tr>
      <w:tr>
        <w:trPr>
          <w:trHeight w:val="253"/>
        </w:trPr>
        <w:tc>
          <w:tcPr>
            <w:tcW w:w="75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Transfer between line of credit and term loan facility</w:t>
            </w:r>
          </w:p>
        </w:tc>
        <w:tc>
          <w:tcPr>
            <w:tcW w:w="420" w:type="dxa"/>
            <w:vAlign w:val="bottom"/>
            <w:shd w:val="clear" w:color="auto" w:fill="D2DCE5"/>
          </w:tcPr>
          <w:p>
            <w:pPr>
              <w:spacing w:after="0"/>
              <w:rPr>
                <w:sz w:val="21"/>
                <w:szCs w:val="21"/>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100,000</w:t>
            </w:r>
          </w:p>
        </w:tc>
        <w:tc>
          <w:tcPr>
            <w:tcW w:w="100" w:type="dxa"/>
            <w:vAlign w:val="bottom"/>
            <w:shd w:val="clear" w:color="auto" w:fill="D2DCE5"/>
          </w:tcPr>
          <w:p>
            <w:pPr>
              <w:spacing w:after="0"/>
              <w:rPr>
                <w:sz w:val="21"/>
                <w:szCs w:val="21"/>
                <w:color w:val="auto"/>
              </w:rPr>
            </w:pPr>
          </w:p>
        </w:tc>
        <w:tc>
          <w:tcPr>
            <w:tcW w:w="420" w:type="dxa"/>
            <w:vAlign w:val="bottom"/>
            <w:shd w:val="clear" w:color="auto" w:fill="D2DCE5"/>
          </w:tcPr>
          <w:p>
            <w:pPr>
              <w:spacing w:after="0"/>
              <w:rPr>
                <w:sz w:val="21"/>
                <w:szCs w:val="21"/>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Index for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(Unaudited)</w:t>
      </w:r>
    </w:p>
    <w:p>
      <w:pPr>
        <w:spacing w:after="0" w:line="203" w:lineRule="exact"/>
        <w:rPr>
          <w:sz w:val="20"/>
          <w:szCs w:val="20"/>
          <w:color w:val="auto"/>
        </w:rPr>
      </w:pPr>
    </w:p>
    <w:p>
      <w:pPr>
        <w:ind w:left="20"/>
        <w:spacing w:after="0"/>
        <w:tabs>
          <w:tab w:leader="none" w:pos="10640" w:val="left"/>
        </w:tabs>
        <w:rPr>
          <w:sz w:val="20"/>
          <w:szCs w:val="20"/>
          <w:color w:val="auto"/>
        </w:rPr>
      </w:pPr>
      <w:r>
        <w:rPr>
          <w:rFonts w:ascii="Arial" w:cs="Arial" w:eastAsia="Arial" w:hAnsi="Arial"/>
          <w:sz w:val="18"/>
          <w:szCs w:val="18"/>
          <w:b w:val="1"/>
          <w:bCs w:val="1"/>
          <w:color w:val="131E29"/>
        </w:rPr>
        <w:t>Note</w:t>
      </w:r>
      <w:r>
        <w:rPr>
          <w:sz w:val="20"/>
          <w:szCs w:val="20"/>
          <w:color w:val="auto"/>
        </w:rPr>
        <w:tab/>
      </w:r>
      <w:r>
        <w:rPr>
          <w:rFonts w:ascii="Arial" w:cs="Arial" w:eastAsia="Arial" w:hAnsi="Arial"/>
          <w:sz w:val="18"/>
          <w:szCs w:val="18"/>
          <w:b w:val="1"/>
          <w:bCs w:val="1"/>
          <w:color w:val="131E29"/>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13</w:t>
      </w:r>
    </w:p>
    <w:p>
      <w:pPr>
        <w:ind w:left="20"/>
        <w:spacing w:after="0"/>
        <w:rPr>
          <w:sz w:val="20"/>
          <w:szCs w:val="20"/>
          <w:color w:val="auto"/>
        </w:rPr>
      </w:pPr>
      <w:r>
        <w:rPr>
          <w:rFonts w:ascii="Arial" w:cs="Arial" w:eastAsia="Arial" w:hAnsi="Arial"/>
          <w:sz w:val="18"/>
          <w:szCs w:val="18"/>
          <w:color w:val="131E29"/>
        </w:rPr>
        <w:t>NOTE 1 — Organization and Background</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14</w:t>
      </w:r>
    </w:p>
    <w:p>
      <w:pPr>
        <w:ind w:left="20"/>
        <w:spacing w:after="0"/>
        <w:rPr>
          <w:sz w:val="20"/>
          <w:szCs w:val="20"/>
          <w:color w:val="auto"/>
        </w:rPr>
      </w:pPr>
      <w:r>
        <w:rPr>
          <w:rFonts w:ascii="Arial" w:cs="Arial" w:eastAsia="Arial" w:hAnsi="Arial"/>
          <w:sz w:val="18"/>
          <w:szCs w:val="18"/>
          <w:color w:val="131E29"/>
        </w:rPr>
        <w:t>NOTE 2 — Basis of Presentation and Summary of Significant Accounting Policies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19</w:t>
      </w:r>
    </w:p>
    <w:p>
      <w:pPr>
        <w:ind w:left="20"/>
        <w:spacing w:after="0"/>
        <w:rPr>
          <w:sz w:val="20"/>
          <w:szCs w:val="20"/>
          <w:color w:val="auto"/>
        </w:rPr>
      </w:pPr>
      <w:r>
        <w:rPr>
          <w:rFonts w:ascii="Arial" w:cs="Arial" w:eastAsia="Arial" w:hAnsi="Arial"/>
          <w:sz w:val="18"/>
          <w:szCs w:val="18"/>
          <w:color w:val="131E29"/>
        </w:rPr>
        <w:t>NOTE 3 — Revenue Recognition</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20</w:t>
      </w:r>
    </w:p>
    <w:p>
      <w:pPr>
        <w:ind w:left="20"/>
        <w:spacing w:after="0"/>
        <w:rPr>
          <w:sz w:val="20"/>
          <w:szCs w:val="20"/>
          <w:color w:val="auto"/>
        </w:rPr>
      </w:pPr>
      <w:r>
        <w:rPr>
          <w:rFonts w:ascii="Arial" w:cs="Arial" w:eastAsia="Arial" w:hAnsi="Arial"/>
          <w:sz w:val="18"/>
          <w:szCs w:val="18"/>
          <w:color w:val="131E29"/>
        </w:rPr>
        <w:t>NOTE 4 — Shop Acquisitions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21</w:t>
      </w:r>
    </w:p>
    <w:p>
      <w:pPr>
        <w:ind w:left="20"/>
        <w:spacing w:after="0"/>
        <w:rPr>
          <w:sz w:val="20"/>
          <w:szCs w:val="20"/>
          <w:color w:val="auto"/>
        </w:rPr>
      </w:pPr>
      <w:r>
        <w:rPr>
          <w:rFonts w:ascii="Arial" w:cs="Arial" w:eastAsia="Arial" w:hAnsi="Arial"/>
          <w:sz w:val="18"/>
          <w:szCs w:val="18"/>
          <w:color w:val="131E29"/>
        </w:rPr>
        <w:t>NOTE 5 — Inventories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22</w:t>
      </w:r>
    </w:p>
    <w:p>
      <w:pPr>
        <w:ind w:left="20"/>
        <w:spacing w:after="0"/>
        <w:rPr>
          <w:sz w:val="20"/>
          <w:szCs w:val="20"/>
          <w:color w:val="auto"/>
        </w:rPr>
      </w:pPr>
      <w:r>
        <w:rPr>
          <w:rFonts w:ascii="Arial" w:cs="Arial" w:eastAsia="Arial" w:hAnsi="Arial"/>
          <w:sz w:val="18"/>
          <w:szCs w:val="18"/>
          <w:color w:val="131E29"/>
        </w:rPr>
        <w:t>NOTE 6 — Property and Equipment</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22</w:t>
      </w:r>
    </w:p>
    <w:p>
      <w:pPr>
        <w:ind w:left="20"/>
        <w:spacing w:after="0"/>
        <w:rPr>
          <w:sz w:val="20"/>
          <w:szCs w:val="20"/>
          <w:color w:val="auto"/>
        </w:rPr>
      </w:pPr>
      <w:r>
        <w:rPr>
          <w:rFonts w:ascii="Arial" w:cs="Arial" w:eastAsia="Arial" w:hAnsi="Arial"/>
          <w:sz w:val="18"/>
          <w:szCs w:val="18"/>
          <w:color w:val="131E29"/>
        </w:rPr>
        <w:t>NOTE 7 — Intangible Assets and Goodwill</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23</w:t>
      </w:r>
    </w:p>
    <w:p>
      <w:pPr>
        <w:ind w:left="20"/>
        <w:spacing w:after="0"/>
        <w:rPr>
          <w:sz w:val="20"/>
          <w:szCs w:val="20"/>
          <w:color w:val="auto"/>
        </w:rPr>
      </w:pPr>
      <w:r>
        <w:rPr>
          <w:rFonts w:ascii="Arial" w:cs="Arial" w:eastAsia="Arial" w:hAnsi="Arial"/>
          <w:sz w:val="18"/>
          <w:szCs w:val="18"/>
          <w:color w:val="131E29"/>
        </w:rPr>
        <w:t>NOTE 8 — Leases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27</w:t>
      </w:r>
    </w:p>
    <w:p>
      <w:pPr>
        <w:ind w:left="20"/>
        <w:spacing w:after="0"/>
        <w:rPr>
          <w:sz w:val="20"/>
          <w:szCs w:val="20"/>
          <w:color w:val="auto"/>
        </w:rPr>
      </w:pPr>
      <w:r>
        <w:rPr>
          <w:rFonts w:ascii="Arial" w:cs="Arial" w:eastAsia="Arial" w:hAnsi="Arial"/>
          <w:sz w:val="18"/>
          <w:szCs w:val="18"/>
          <w:color w:val="131E29"/>
        </w:rPr>
        <w:t>NOTE 9 — Debt</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28</w:t>
      </w:r>
    </w:p>
    <w:p>
      <w:pPr>
        <w:ind w:left="20"/>
        <w:spacing w:after="0"/>
        <w:rPr>
          <w:sz w:val="20"/>
          <w:szCs w:val="20"/>
          <w:color w:val="auto"/>
        </w:rPr>
      </w:pPr>
      <w:r>
        <w:rPr>
          <w:rFonts w:ascii="Arial" w:cs="Arial" w:eastAsia="Arial" w:hAnsi="Arial"/>
          <w:sz w:val="18"/>
          <w:szCs w:val="18"/>
          <w:color w:val="131E29"/>
        </w:rPr>
        <w:t>NOTE 10 — Fair Value Measurements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29</w:t>
      </w:r>
    </w:p>
    <w:p>
      <w:pPr>
        <w:ind w:left="20"/>
        <w:spacing w:after="0"/>
        <w:rPr>
          <w:sz w:val="20"/>
          <w:szCs w:val="20"/>
          <w:color w:val="auto"/>
        </w:rPr>
      </w:pPr>
      <w:r>
        <w:rPr>
          <w:rFonts w:ascii="Arial" w:cs="Arial" w:eastAsia="Arial" w:hAnsi="Arial"/>
          <w:sz w:val="18"/>
          <w:szCs w:val="18"/>
          <w:color w:val="131E29"/>
        </w:rPr>
        <w:t>NOTE 11 — Derivative Financial Instruments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30</w:t>
      </w:r>
    </w:p>
    <w:p>
      <w:pPr>
        <w:ind w:left="20"/>
        <w:spacing w:after="0"/>
        <w:rPr>
          <w:sz w:val="20"/>
          <w:szCs w:val="20"/>
          <w:color w:val="auto"/>
        </w:rPr>
      </w:pPr>
      <w:r>
        <w:rPr>
          <w:rFonts w:ascii="Arial" w:cs="Arial" w:eastAsia="Arial" w:hAnsi="Arial"/>
          <w:sz w:val="18"/>
          <w:szCs w:val="18"/>
          <w:color w:val="131E29"/>
        </w:rPr>
        <w:t>NOTE 12 — Income Taxes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30</w:t>
      </w:r>
    </w:p>
    <w:p>
      <w:pPr>
        <w:ind w:left="20"/>
        <w:spacing w:after="0"/>
        <w:rPr>
          <w:sz w:val="20"/>
          <w:szCs w:val="20"/>
          <w:color w:val="auto"/>
        </w:rPr>
      </w:pPr>
      <w:r>
        <w:rPr>
          <w:rFonts w:ascii="Arial" w:cs="Arial" w:eastAsia="Arial" w:hAnsi="Arial"/>
          <w:sz w:val="18"/>
          <w:szCs w:val="18"/>
          <w:color w:val="131E29"/>
        </w:rPr>
        <w:t>NOTE 13 — Equity and Equity-Based Compensation</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32</w:t>
      </w:r>
    </w:p>
    <w:p>
      <w:pPr>
        <w:ind w:left="20"/>
        <w:spacing w:after="0"/>
        <w:rPr>
          <w:sz w:val="20"/>
          <w:szCs w:val="20"/>
          <w:color w:val="auto"/>
        </w:rPr>
      </w:pPr>
      <w:r>
        <w:rPr>
          <w:rFonts w:ascii="Arial" w:cs="Arial" w:eastAsia="Arial" w:hAnsi="Arial"/>
          <w:sz w:val="18"/>
          <w:szCs w:val="18"/>
          <w:color w:val="131E29"/>
        </w:rPr>
        <w:t>NOTE 14 — Non-Controlling Interests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33</w:t>
      </w:r>
    </w:p>
    <w:p>
      <w:pPr>
        <w:ind w:left="20"/>
        <w:spacing w:after="0"/>
        <w:rPr>
          <w:sz w:val="20"/>
          <w:szCs w:val="20"/>
          <w:color w:val="auto"/>
        </w:rPr>
      </w:pPr>
      <w:r>
        <w:rPr>
          <w:rFonts w:ascii="Arial" w:cs="Arial" w:eastAsia="Arial" w:hAnsi="Arial"/>
          <w:sz w:val="18"/>
          <w:szCs w:val="18"/>
          <w:color w:val="131E29"/>
        </w:rPr>
        <w:t>NOTE 15 — Loss Per Share</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34</w:t>
      </w:r>
    </w:p>
    <w:p>
      <w:pPr>
        <w:ind w:left="20"/>
        <w:spacing w:after="0"/>
        <w:rPr>
          <w:sz w:val="20"/>
          <w:szCs w:val="20"/>
          <w:color w:val="auto"/>
        </w:rPr>
      </w:pPr>
      <w:r>
        <w:rPr>
          <w:rFonts w:ascii="Arial" w:cs="Arial" w:eastAsia="Arial" w:hAnsi="Arial"/>
          <w:sz w:val="18"/>
          <w:szCs w:val="18"/>
          <w:color w:val="131E29"/>
        </w:rPr>
        <w:t>NOTE 16 — Commitments and Contingencies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35</w:t>
      </w:r>
    </w:p>
    <w:p>
      <w:pPr>
        <w:ind w:left="20"/>
        <w:spacing w:after="0"/>
        <w:rPr>
          <w:sz w:val="20"/>
          <w:szCs w:val="20"/>
          <w:color w:val="auto"/>
        </w:rPr>
      </w:pPr>
      <w:r>
        <w:rPr>
          <w:rFonts w:ascii="Arial" w:cs="Arial" w:eastAsia="Arial" w:hAnsi="Arial"/>
          <w:sz w:val="18"/>
          <w:szCs w:val="18"/>
          <w:color w:val="131E29"/>
        </w:rPr>
        <w:t>NOTE 17 — Related Party Transactions</w:t>
      </w:r>
    </w:p>
    <w:p>
      <w:pPr>
        <w:spacing w:after="0" w:line="18" w:lineRule="exact"/>
        <w:rPr>
          <w:sz w:val="20"/>
          <w:szCs w:val="20"/>
          <w:color w:val="auto"/>
        </w:rPr>
      </w:pPr>
    </w:p>
    <w:p>
      <w:pPr>
        <w:ind w:left="10780"/>
        <w:spacing w:after="0"/>
        <w:rPr>
          <w:sz w:val="20"/>
          <w:szCs w:val="20"/>
          <w:color w:val="auto"/>
        </w:rPr>
      </w:pPr>
      <w:r>
        <w:rPr>
          <w:rFonts w:ascii="Arial" w:cs="Arial" w:eastAsia="Arial" w:hAnsi="Arial"/>
          <w:sz w:val="18"/>
          <w:szCs w:val="18"/>
          <w:color w:val="131E29"/>
        </w:rPr>
        <w:t>35</w:t>
      </w:r>
    </w:p>
    <w:p>
      <w:pPr>
        <w:ind w:left="20"/>
        <w:spacing w:after="0"/>
        <w:rPr>
          <w:sz w:val="20"/>
          <w:szCs w:val="20"/>
          <w:color w:val="auto"/>
        </w:rPr>
      </w:pPr>
      <w:r>
        <w:rPr>
          <w:rFonts w:ascii="Arial" w:cs="Arial" w:eastAsia="Arial" w:hAnsi="Arial"/>
          <w:sz w:val="18"/>
          <w:szCs w:val="18"/>
          <w:color w:val="131E29"/>
        </w:rPr>
        <w:t>NOTE 18 —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93" w:lineRule="exact"/>
        <w:rPr>
          <w:sz w:val="20"/>
          <w:szCs w:val="20"/>
          <w:color w:val="auto"/>
        </w:rPr>
      </w:pPr>
    </w:p>
    <w:p>
      <w:pPr>
        <w:ind w:left="2900"/>
        <w:spacing w:after="0"/>
        <w:rPr>
          <w:sz w:val="20"/>
          <w:szCs w:val="20"/>
          <w:color w:val="auto"/>
        </w:rPr>
      </w:pPr>
      <w:r>
        <w:rPr>
          <w:rFonts w:ascii="Arial" w:cs="Arial" w:eastAsia="Arial" w:hAnsi="Arial"/>
          <w:sz w:val="18"/>
          <w:szCs w:val="18"/>
          <w:color w:val="131E29"/>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 — Organization and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Business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Dutch Bros Inc. (the Company) is in the business of operating and franchising drive-thru coffee shops as well as the wholesale and distribution of coffee, coffee-related products and accessories. As of June 30, 2022, there were 603 shops in operation in 14 U.S. states, of which 336 were company-operated and 267 were franchised.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Dutch Bros Inc. was formed on June 4, 2021 as a Delaware corporation for the purpose of facilitating an IPO and other related transactions in order to carry on the business of Dutch Bros OpCo. The Company is the sole managing member of Dutch Bros OpCo and operates and controls all of the business and affairs of Dutch Bros OpCo. As a result, the Company consolidates the financial results of Dutch Bros OpCo and reports a non-controlling interest representing the economic interest in Dutch Bros OpCo held by the other members of Dutch Bros OpCo. The Company’s fiscal year end is December 31.</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As of June 30, 2022, the Company held 100.0% of the voting interest and 32.8% of the economic interest of Dutch Bros OpCo. The Continuing Members held none of the voting interest and the remaining 67.2% of the economic interest of Dutch Bros OpCo.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Initial Public Offering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On September 17, 2021, the Company completed its IPO of approximately 24.2 million shares of Class A common stock at a public offering price of $23.00 per share, which included approximately 3.2 million shares issued pursuant to the exercise in full of the underwriters’ option to purchase additional shares. The Company received proceeds of approximately $520.8 million, net of offering costs. The proceeds were used to purchase approximately 10.9 million newly-issued Class A common units from Dutch Bros OpCo for approximately $ 234.4 million. The proceeds were also used to purchase approximately 11.7 million Class A common units from the Continuing Members for approximately $253.3 million and approximately 1.6 million shares of Class D common stock from the Pre-IPO Blocker Holders for approximately $34.4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Reorganization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In connection with the IPO, the Company completed the following transactions (the Reorganization Transactions):</w:t>
      </w:r>
    </w:p>
    <w:p>
      <w:pPr>
        <w:spacing w:after="0" w:line="252" w:lineRule="exact"/>
        <w:rPr>
          <w:sz w:val="20"/>
          <w:szCs w:val="20"/>
          <w:color w:val="auto"/>
        </w:rPr>
      </w:pPr>
    </w:p>
    <w:p>
      <w:pPr>
        <w:jc w:val="both"/>
        <w:ind w:left="340" w:right="20" w:hanging="332"/>
        <w:spacing w:after="0" w:line="256" w:lineRule="auto"/>
        <w:tabs>
          <w:tab w:leader="none" w:pos="335" w:val="left"/>
        </w:tabs>
        <w:numPr>
          <w:ilvl w:val="0"/>
          <w:numId w:val="5"/>
        </w:numPr>
        <w:rPr>
          <w:rFonts w:ascii="Arial" w:cs="Arial" w:eastAsia="Arial" w:hAnsi="Arial"/>
          <w:sz w:val="18"/>
          <w:szCs w:val="18"/>
          <w:color w:val="131E29"/>
        </w:rPr>
      </w:pPr>
      <w:r>
        <w:rPr>
          <w:rFonts w:ascii="Arial" w:cs="Arial" w:eastAsia="Arial" w:hAnsi="Arial"/>
          <w:sz w:val="18"/>
          <w:szCs w:val="18"/>
          <w:color w:val="131E29"/>
        </w:rPr>
        <w:t>Amended and restated the Second Dutch Bros OpCo Agreement to, among other things, effect a recapitalization in which (i) the outstanding Common Units were converted into Class A common units paired with an equal number of either Class B voting units or Class C voting units, and (ii) the outstanding Profits Interest (PI) Units were converted into Class A common units.</w:t>
      </w:r>
    </w:p>
    <w:p>
      <w:pPr>
        <w:spacing w:after="0" w:line="147" w:lineRule="exact"/>
        <w:rPr>
          <w:rFonts w:ascii="Arial" w:cs="Arial" w:eastAsia="Arial" w:hAnsi="Arial"/>
          <w:sz w:val="18"/>
          <w:szCs w:val="18"/>
          <w:color w:val="131E29"/>
        </w:rPr>
      </w:pPr>
    </w:p>
    <w:p>
      <w:pPr>
        <w:ind w:left="320" w:hanging="312"/>
        <w:spacing w:after="0"/>
        <w:tabs>
          <w:tab w:leader="none" w:pos="320" w:val="left"/>
        </w:tabs>
        <w:numPr>
          <w:ilvl w:val="0"/>
          <w:numId w:val="5"/>
        </w:numPr>
        <w:rPr>
          <w:rFonts w:ascii="Arial" w:cs="Arial" w:eastAsia="Arial" w:hAnsi="Arial"/>
          <w:sz w:val="18"/>
          <w:szCs w:val="18"/>
          <w:color w:val="131E29"/>
        </w:rPr>
      </w:pPr>
      <w:r>
        <w:rPr>
          <w:rFonts w:ascii="Arial" w:cs="Arial" w:eastAsia="Arial" w:hAnsi="Arial"/>
          <w:sz w:val="18"/>
          <w:szCs w:val="18"/>
          <w:color w:val="131E29"/>
        </w:rPr>
        <w:t>Amended and restated the Company’s certificate of incorporation to, among other things, authorize four classes of common stock.</w:t>
      </w:r>
    </w:p>
    <w:p>
      <w:pPr>
        <w:spacing w:after="0" w:line="171"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
        </w:numPr>
        <w:rPr>
          <w:rFonts w:ascii="Arial" w:cs="Arial" w:eastAsia="Arial" w:hAnsi="Arial"/>
          <w:sz w:val="18"/>
          <w:szCs w:val="18"/>
          <w:color w:val="131E29"/>
        </w:rPr>
      </w:pPr>
      <w:r>
        <w:rPr>
          <w:rFonts w:ascii="Arial" w:cs="Arial" w:eastAsia="Arial" w:hAnsi="Arial"/>
          <w:sz w:val="18"/>
          <w:szCs w:val="18"/>
          <w:color w:val="131E29"/>
        </w:rPr>
        <w:t>Acquired Class A common units and Class C voting units indirectly held by the Pre-IPO Blocker Holders in exchange for shares of Class D common stock.</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5"/>
        </w:numPr>
        <w:rPr>
          <w:rFonts w:ascii="Arial" w:cs="Arial" w:eastAsia="Arial" w:hAnsi="Arial"/>
          <w:sz w:val="18"/>
          <w:szCs w:val="18"/>
          <w:color w:val="131E29"/>
        </w:rPr>
      </w:pPr>
      <w:r>
        <w:rPr>
          <w:rFonts w:ascii="Arial" w:cs="Arial" w:eastAsia="Arial" w:hAnsi="Arial"/>
          <w:sz w:val="18"/>
          <w:szCs w:val="18"/>
          <w:color w:val="131E29"/>
        </w:rPr>
        <w:t>Contribution of Class A common units, Class B voting units, and Class C voting units by Pre-IPO Dutch Bros OpCo Unitholders to the Company in exchange for Class A common stock, Class B common stock, and Class C common stock,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131E29"/>
        </w:rPr>
      </w:pPr>
      <w:r>
        <w:rPr>
          <w:rFonts w:ascii="Arial" w:cs="Arial" w:eastAsia="Arial" w:hAnsi="Arial"/>
          <w:sz w:val="18"/>
          <w:szCs w:val="18"/>
          <w:color w:val="131E29"/>
        </w:rPr>
        <w:t>Designation of the Company as managing member of Dutch Bros OpCo.</w:t>
      </w:r>
    </w:p>
    <w:p>
      <w:pPr>
        <w:spacing w:after="0" w:line="171"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6"/>
        </w:numPr>
        <w:rPr>
          <w:rFonts w:ascii="Arial" w:cs="Arial" w:eastAsia="Arial" w:hAnsi="Arial"/>
          <w:sz w:val="18"/>
          <w:szCs w:val="18"/>
          <w:color w:val="131E29"/>
        </w:rPr>
      </w:pPr>
      <w:r>
        <w:rPr>
          <w:rFonts w:ascii="Arial" w:cs="Arial" w:eastAsia="Arial" w:hAnsi="Arial"/>
          <w:sz w:val="18"/>
          <w:szCs w:val="18"/>
          <w:color w:val="131E29"/>
        </w:rPr>
        <w:t>Entered into two tax receivable agreements (Tax Receivable Agreements or TRAs), which provide for payment by Dutch Bros PubCo to the Continuing Members and the Pre-IPO Blocker Holders of 85% of the benefits, if any, that Dutch Bros PubCo would be deemed to realize (calculated using certain assumptions) as a result of certain tax attributes and benefits covered by the TRAs.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2 — Basis of Presentation and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Financial Statements Presentation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accompanying unaudited condensed consolidated financial statements as of June 30, 2022 and for the three and six months ended June 30, 2022 and 2021 are prepared in accordance with the rules and regulations of the Securities and Exchange Commission (the SEC) for interim financial information. Accordingly, they do not include all of the information and footnotes required by accounting principles generally accepted in the United States of America (GAAP) for complete financial statements. Therefore, the unaudited financial statements should be read in conjunction with the audited consolidated financial statements contained in our Annual Report on Form 10-K filed with the SEC and on March 11,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Immaterial Correction of Previously Issued Consolidated Financial Statements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 xml:space="preserve">Subsequent to the issuance of the Company’s 2021 consolidated financial statements, management of the Company identified an error in application of Accounting Standards Codification (ASC) 710, </w:t>
      </w:r>
      <w:r>
        <w:rPr>
          <w:rFonts w:ascii="Arial" w:cs="Arial" w:eastAsia="Arial" w:hAnsi="Arial"/>
          <w:sz w:val="18"/>
          <w:szCs w:val="18"/>
          <w:i w:val="1"/>
          <w:iCs w:val="1"/>
          <w:color w:val="131E29"/>
        </w:rPr>
        <w:t>Compensation-General</w:t>
      </w:r>
      <w:r>
        <w:rPr>
          <w:rFonts w:ascii="Arial" w:cs="Arial" w:eastAsia="Arial" w:hAnsi="Arial"/>
          <w:sz w:val="18"/>
          <w:szCs w:val="18"/>
          <w:color w:val="131E29"/>
        </w:rPr>
        <w:t>, related to accrued sick leave pay. ASC 710-10-25-7 states that an employer is not required to accrue a liability for nonvesting accumulating rights to receive sick pay benefits. Historically, the Company accrued sick leave pay expense for each employee. As unused sick leave pay does not carry forward and is not paid out upon termination, the accrued liability should not have been recorded.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 xml:space="preserve">The Company has evaluated the effects of the corrections detailed in the table below on the previously issued consolidated financial statements, individually and in the aggregate, in accordance with the guidance in ASC 250, </w:t>
      </w:r>
      <w:r>
        <w:rPr>
          <w:rFonts w:ascii="Arial" w:cs="Arial" w:eastAsia="Arial" w:hAnsi="Arial"/>
          <w:sz w:val="18"/>
          <w:szCs w:val="18"/>
          <w:i w:val="1"/>
          <w:iCs w:val="1"/>
          <w:color w:val="131E29"/>
        </w:rPr>
        <w:t>Accounting Changes and Error Corrections.</w:t>
      </w:r>
      <w:r>
        <w:rPr>
          <w:rFonts w:ascii="Arial" w:cs="Arial" w:eastAsia="Arial" w:hAnsi="Arial"/>
          <w:sz w:val="18"/>
          <w:szCs w:val="18"/>
          <w:color w:val="131E29"/>
        </w:rPr>
        <w:t xml:space="preserve"> The Company has concluded such corrections to be immaterial to its previously issued consolidated financial statements.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While management believes the effect of the error is immaterial to the Company’s previously issued consolidated financial statements as of December 31, 2021, and for the six months ended June 30, 2021, the financial statement line items impacted by this error have been corrected. In addition, the immaterial error is being corrected prospectively in the Company’s subsequent quarterly and annual filings.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The tables below reflect the sections of the Company’s condensed consolidated financial statements that were impacted by the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5"/>
          </w:tcPr>
          <w:p>
            <w:pPr>
              <w:spacing w:after="0"/>
              <w:rPr>
                <w:sz w:val="20"/>
                <w:szCs w:val="20"/>
                <w:color w:val="auto"/>
              </w:rPr>
            </w:pPr>
            <w:r>
              <w:rPr>
                <w:rFonts w:ascii="Arial" w:cs="Arial" w:eastAsia="Arial" w:hAnsi="Arial"/>
                <w:sz w:val="18"/>
                <w:szCs w:val="18"/>
                <w:color w:val="006098"/>
              </w:rPr>
              <w:t>Condensed Consolidated Balance Sheet:</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300" w:type="dxa"/>
            <w:vAlign w:val="bottom"/>
            <w:tcBorders>
              <w:top w:val="single" w:sz="8" w:color="006098"/>
            </w:tcBorders>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color w:val="131E29"/>
                <w:w w:val="99"/>
              </w:rPr>
              <w:t>December 31, 2021</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5"/>
          </w:tcPr>
          <w:p>
            <w:pPr>
              <w:ind w:left="20"/>
              <w:spacing w:after="0"/>
              <w:rPr>
                <w:sz w:val="20"/>
                <w:szCs w:val="20"/>
                <w:color w:val="auto"/>
              </w:rPr>
            </w:pPr>
            <w:r>
              <w:rPr>
                <w:rFonts w:ascii="Arial" w:cs="Arial" w:eastAsia="Arial" w:hAnsi="Arial"/>
                <w:sz w:val="14"/>
                <w:szCs w:val="14"/>
                <w:color w:val="131E29"/>
              </w:rPr>
              <w:t>(in thousands)</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131E29"/>
              </w:rPr>
              <w:t>As Reported</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131E29"/>
                <w:w w:val="98"/>
              </w:rPr>
              <w:t>Adjustments</w:t>
            </w:r>
          </w:p>
        </w:tc>
        <w:tc>
          <w:tcPr>
            <w:tcW w:w="3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131E29"/>
              </w:rPr>
              <w:t>As Corrected</w:t>
            </w:r>
          </w:p>
        </w:tc>
        <w:tc>
          <w:tcPr>
            <w:tcW w:w="0" w:type="dxa"/>
            <w:vAlign w:val="bottom"/>
          </w:tcPr>
          <w:p>
            <w:pPr>
              <w:spacing w:after="0"/>
              <w:rPr>
                <w:sz w:val="1"/>
                <w:szCs w:val="1"/>
                <w:color w:val="auto"/>
              </w:rPr>
            </w:pPr>
          </w:p>
        </w:tc>
      </w:tr>
      <w:tr>
        <w:trPr>
          <w:trHeight w:val="26"/>
        </w:trPr>
        <w:tc>
          <w:tcPr>
            <w:tcW w:w="41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180"/>
              <w:spacing w:after="0"/>
              <w:rPr>
                <w:sz w:val="20"/>
                <w:szCs w:val="20"/>
                <w:color w:val="auto"/>
              </w:rPr>
            </w:pPr>
            <w:r>
              <w:rPr>
                <w:rFonts w:ascii="Arial" w:cs="Arial" w:eastAsia="Arial" w:hAnsi="Arial"/>
                <w:sz w:val="18"/>
                <w:szCs w:val="18"/>
                <w:color w:val="131E29"/>
              </w:rPr>
              <w:t>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24,513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131E29"/>
              </w:rPr>
              <w:t>20,970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D2DCE5"/>
            </w:tcBorders>
            <w:gridSpan w:val="2"/>
          </w:tcPr>
          <w:p>
            <w:pPr>
              <w:spacing w:after="0"/>
              <w:rPr>
                <w:sz w:val="2"/>
                <w:szCs w:val="2"/>
                <w:color w:val="auto"/>
              </w:rPr>
            </w:pPr>
          </w:p>
        </w:tc>
        <w:tc>
          <w:tcPr>
            <w:tcW w:w="136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D2DCE5"/>
            </w:tcBorders>
            <w:gridSpan w:val="5"/>
            <w:shd w:val="clear" w:color="auto" w:fill="D2DCE5"/>
          </w:tcPr>
          <w:p>
            <w:pPr>
              <w:ind w:left="360"/>
              <w:spacing w:after="0"/>
              <w:rPr>
                <w:sz w:val="20"/>
                <w:szCs w:val="20"/>
                <w:color w:val="auto"/>
              </w:rPr>
            </w:pPr>
            <w:r>
              <w:rPr>
                <w:rFonts w:ascii="Arial" w:cs="Arial" w:eastAsia="Arial" w:hAnsi="Arial"/>
                <w:sz w:val="18"/>
                <w:szCs w:val="18"/>
                <w:color w:val="131E29"/>
              </w:rPr>
              <w:t>Total current liabilities</w:t>
            </w:r>
          </w:p>
        </w:tc>
        <w:tc>
          <w:tcPr>
            <w:tcW w:w="260" w:type="dxa"/>
            <w:vAlign w:val="bottom"/>
            <w:tcBorders>
              <w:bottom w:val="single" w:sz="8" w:color="D2DCE5"/>
            </w:tcBorders>
            <w:shd w:val="clear" w:color="auto" w:fill="D2DCE5"/>
          </w:tcPr>
          <w:p>
            <w:pPr>
              <w:spacing w:after="0"/>
              <w:rPr>
                <w:sz w:val="22"/>
                <w:szCs w:val="22"/>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142,277</w:t>
            </w:r>
          </w:p>
        </w:tc>
        <w:tc>
          <w:tcPr>
            <w:tcW w:w="8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Borders>
              <w:bottom w:val="single" w:sz="8" w:color="D2DCE5"/>
            </w:tcBorders>
            <w:shd w:val="clear" w:color="auto" w:fill="D2DCE5"/>
          </w:tcPr>
          <w:p>
            <w:pPr>
              <w:spacing w:after="0"/>
              <w:rPr>
                <w:sz w:val="22"/>
                <w:szCs w:val="22"/>
                <w:color w:val="auto"/>
              </w:rPr>
            </w:pPr>
          </w:p>
        </w:tc>
        <w:tc>
          <w:tcPr>
            <w:tcW w:w="340" w:type="dxa"/>
            <w:vAlign w:val="bottom"/>
            <w:tcBorders>
              <w:bottom w:val="single" w:sz="8" w:color="D2DCE5"/>
            </w:tcBorders>
            <w:shd w:val="clear" w:color="auto" w:fill="D2DCE5"/>
          </w:tcPr>
          <w:p>
            <w:pPr>
              <w:spacing w:after="0"/>
              <w:rPr>
                <w:sz w:val="22"/>
                <w:szCs w:val="22"/>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138,734</w:t>
            </w:r>
          </w:p>
        </w:tc>
        <w:tc>
          <w:tcPr>
            <w:tcW w:w="0" w:type="dxa"/>
            <w:vAlign w:val="bottom"/>
          </w:tcPr>
          <w:p>
            <w:pPr>
              <w:spacing w:after="0"/>
              <w:rPr>
                <w:sz w:val="1"/>
                <w:szCs w:val="1"/>
                <w:color w:val="auto"/>
              </w:rPr>
            </w:pPr>
          </w:p>
        </w:tc>
      </w:tr>
      <w:tr>
        <w:trPr>
          <w:trHeight w:val="237"/>
        </w:trPr>
        <w:tc>
          <w:tcPr>
            <w:tcW w:w="5620" w:type="dxa"/>
            <w:vAlign w:val="bottom"/>
            <w:gridSpan w:val="5"/>
          </w:tcPr>
          <w:p>
            <w:pPr>
              <w:ind w:left="360"/>
              <w:spacing w:after="0"/>
              <w:rPr>
                <w:sz w:val="20"/>
                <w:szCs w:val="20"/>
                <w:color w:val="auto"/>
              </w:rPr>
            </w:pPr>
            <w:r>
              <w:rPr>
                <w:rFonts w:ascii="Arial" w:cs="Arial" w:eastAsia="Arial" w:hAnsi="Arial"/>
                <w:sz w:val="18"/>
                <w:szCs w:val="18"/>
                <w:color w:val="131E29"/>
              </w:rPr>
              <w:t>Total liabilities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343,514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339,971</w:t>
            </w: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gridSpan w:val="2"/>
            <w:shd w:val="clear" w:color="auto" w:fill="D2DCE5"/>
          </w:tcPr>
          <w:p>
            <w:pPr>
              <w:spacing w:after="0"/>
              <w:rPr>
                <w:sz w:val="22"/>
                <w:szCs w:val="22"/>
                <w:color w:val="auto"/>
              </w:rPr>
            </w:pPr>
          </w:p>
        </w:tc>
        <w:tc>
          <w:tcPr>
            <w:tcW w:w="1360" w:type="dxa"/>
            <w:vAlign w:val="bottom"/>
            <w:shd w:val="clear" w:color="auto" w:fill="D2DCE5"/>
          </w:tcPr>
          <w:p>
            <w:pPr>
              <w:spacing w:after="0"/>
              <w:rPr>
                <w:sz w:val="22"/>
                <w:szCs w:val="22"/>
                <w:color w:val="auto"/>
              </w:rPr>
            </w:pPr>
          </w:p>
        </w:tc>
        <w:tc>
          <w:tcPr>
            <w:tcW w:w="60" w:type="dxa"/>
            <w:vAlign w:val="bottom"/>
            <w:shd w:val="clear" w:color="auto" w:fill="D2DCE5"/>
          </w:tcPr>
          <w:p>
            <w:pPr>
              <w:spacing w:after="0"/>
              <w:rPr>
                <w:sz w:val="22"/>
                <w:szCs w:val="22"/>
                <w:color w:val="auto"/>
              </w:rPr>
            </w:pPr>
          </w:p>
        </w:tc>
        <w:tc>
          <w:tcPr>
            <w:tcW w:w="40" w:type="dxa"/>
            <w:vAlign w:val="bottom"/>
            <w:shd w:val="clear" w:color="auto" w:fill="D2DCE5"/>
          </w:tcPr>
          <w:p>
            <w:pPr>
              <w:spacing w:after="0"/>
              <w:rPr>
                <w:sz w:val="22"/>
                <w:szCs w:val="22"/>
                <w:color w:val="auto"/>
              </w:rPr>
            </w:pPr>
          </w:p>
        </w:tc>
        <w:tc>
          <w:tcPr>
            <w:tcW w:w="260" w:type="dxa"/>
            <w:vAlign w:val="bottom"/>
            <w:shd w:val="clear" w:color="auto" w:fill="D2DCE5"/>
          </w:tcPr>
          <w:p>
            <w:pPr>
              <w:spacing w:after="0"/>
              <w:rPr>
                <w:sz w:val="22"/>
                <w:szCs w:val="22"/>
                <w:color w:val="auto"/>
              </w:rPr>
            </w:pPr>
          </w:p>
        </w:tc>
        <w:tc>
          <w:tcPr>
            <w:tcW w:w="156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80" w:type="dxa"/>
            <w:vAlign w:val="bottom"/>
            <w:shd w:val="clear" w:color="auto" w:fill="D2DCE5"/>
          </w:tcPr>
          <w:p>
            <w:pPr>
              <w:spacing w:after="0"/>
              <w:rPr>
                <w:sz w:val="22"/>
                <w:szCs w:val="22"/>
                <w:color w:val="auto"/>
              </w:rPr>
            </w:pPr>
          </w:p>
        </w:tc>
        <w:tc>
          <w:tcPr>
            <w:tcW w:w="15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40" w:type="dxa"/>
            <w:vAlign w:val="bottom"/>
            <w:shd w:val="clear" w:color="auto" w:fill="D2DCE5"/>
          </w:tcPr>
          <w:p>
            <w:pPr>
              <w:spacing w:after="0"/>
              <w:rPr>
                <w:sz w:val="22"/>
                <w:szCs w:val="22"/>
                <w:color w:val="auto"/>
              </w:rPr>
            </w:pPr>
          </w:p>
        </w:tc>
        <w:tc>
          <w:tcPr>
            <w:tcW w:w="146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20"/>
              <w:spacing w:after="0"/>
              <w:rPr>
                <w:sz w:val="20"/>
                <w:szCs w:val="20"/>
                <w:color w:val="auto"/>
              </w:rPr>
            </w:pPr>
            <w:r>
              <w:rPr>
                <w:rFonts w:ascii="Arial" w:cs="Arial" w:eastAsia="Arial" w:hAnsi="Arial"/>
                <w:sz w:val="18"/>
                <w:szCs w:val="18"/>
                <w:color w:val="131E29"/>
              </w:rPr>
              <w:t>Stockholders’ equity:</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D2DCE5"/>
            </w:tcBorders>
            <w:gridSpan w:val="5"/>
            <w:shd w:val="clear" w:color="auto" w:fill="D2DCE5"/>
          </w:tcPr>
          <w:p>
            <w:pPr>
              <w:ind w:left="180"/>
              <w:spacing w:after="0"/>
              <w:rPr>
                <w:sz w:val="20"/>
                <w:szCs w:val="20"/>
                <w:color w:val="auto"/>
              </w:rPr>
            </w:pPr>
            <w:r>
              <w:rPr>
                <w:rFonts w:ascii="Arial" w:cs="Arial" w:eastAsia="Arial" w:hAnsi="Arial"/>
                <w:sz w:val="18"/>
                <w:szCs w:val="18"/>
                <w:color w:val="131E29"/>
              </w:rPr>
              <w:t>Additional paid in capital</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106,410</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783</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107,193</w:t>
            </w:r>
          </w:p>
        </w:tc>
        <w:tc>
          <w:tcPr>
            <w:tcW w:w="0" w:type="dxa"/>
            <w:vAlign w:val="bottom"/>
          </w:tcPr>
          <w:p>
            <w:pPr>
              <w:spacing w:after="0"/>
              <w:rPr>
                <w:sz w:val="1"/>
                <w:szCs w:val="1"/>
                <w:color w:val="auto"/>
              </w:rPr>
            </w:pPr>
          </w:p>
        </w:tc>
      </w:tr>
      <w:tr>
        <w:trPr>
          <w:trHeight w:val="243"/>
        </w:trPr>
        <w:tc>
          <w:tcPr>
            <w:tcW w:w="5620" w:type="dxa"/>
            <w:vAlign w:val="bottom"/>
            <w:gridSpan w:val="5"/>
          </w:tcPr>
          <w:p>
            <w:pPr>
              <w:ind w:left="180"/>
              <w:spacing w:after="0"/>
              <w:rPr>
                <w:sz w:val="20"/>
                <w:szCs w:val="20"/>
                <w:color w:val="auto"/>
              </w:rPr>
            </w:pPr>
            <w:r>
              <w:rPr>
                <w:rFonts w:ascii="Arial" w:cs="Arial" w:eastAsia="Arial" w:hAnsi="Arial"/>
                <w:sz w:val="18"/>
                <w:szCs w:val="18"/>
                <w:color w:val="131E29"/>
              </w:rPr>
              <w:t>Accumulated deficit</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(12,914)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31E29"/>
              </w:rPr>
              <w:t>(12,679)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D2DCE5"/>
            </w:tcBorders>
            <w:gridSpan w:val="2"/>
          </w:tcPr>
          <w:p>
            <w:pPr>
              <w:spacing w:after="0"/>
              <w:rPr>
                <w:sz w:val="2"/>
                <w:szCs w:val="2"/>
                <w:color w:val="auto"/>
              </w:rPr>
            </w:pPr>
          </w:p>
        </w:tc>
        <w:tc>
          <w:tcPr>
            <w:tcW w:w="136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20" w:type="dxa"/>
            <w:vAlign w:val="bottom"/>
            <w:gridSpan w:val="5"/>
            <w:shd w:val="clear" w:color="auto" w:fill="D2DCE5"/>
          </w:tcPr>
          <w:p>
            <w:pPr>
              <w:ind w:left="360"/>
              <w:spacing w:after="0"/>
              <w:rPr>
                <w:sz w:val="20"/>
                <w:szCs w:val="20"/>
                <w:color w:val="auto"/>
              </w:rPr>
            </w:pPr>
            <w:r>
              <w:rPr>
                <w:rFonts w:ascii="Arial" w:cs="Arial" w:eastAsia="Arial" w:hAnsi="Arial"/>
                <w:sz w:val="18"/>
                <w:szCs w:val="18"/>
                <w:color w:val="131E29"/>
              </w:rPr>
              <w:t>Total stockholders’ equity attributable to Dutch Bros Inc. /</w:t>
            </w:r>
          </w:p>
        </w:tc>
        <w:tc>
          <w:tcPr>
            <w:tcW w:w="260" w:type="dxa"/>
            <w:vAlign w:val="bottom"/>
            <w:shd w:val="clear" w:color="auto" w:fill="D2DCE5"/>
          </w:tcPr>
          <w:p>
            <w:pPr>
              <w:spacing w:after="0"/>
              <w:rPr>
                <w:sz w:val="19"/>
                <w:szCs w:val="19"/>
                <w:color w:val="auto"/>
              </w:rPr>
            </w:pPr>
          </w:p>
        </w:tc>
        <w:tc>
          <w:tcPr>
            <w:tcW w:w="15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5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46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tcBorders>
              <w:bottom w:val="single" w:sz="8" w:color="D2DCE5"/>
            </w:tcBorders>
            <w:gridSpan w:val="5"/>
            <w:shd w:val="clear" w:color="auto" w:fill="D2DCE5"/>
          </w:tcPr>
          <w:p>
            <w:pPr>
              <w:ind w:left="360"/>
              <w:spacing w:after="0"/>
              <w:rPr>
                <w:sz w:val="20"/>
                <w:szCs w:val="20"/>
                <w:color w:val="auto"/>
              </w:rPr>
            </w:pPr>
            <w:r>
              <w:rPr>
                <w:rFonts w:ascii="Arial" w:cs="Arial" w:eastAsia="Arial" w:hAnsi="Arial"/>
                <w:sz w:val="18"/>
                <w:szCs w:val="18"/>
                <w:color w:val="131E29"/>
              </w:rPr>
              <w:t>members’ equity</w:t>
            </w:r>
          </w:p>
        </w:tc>
        <w:tc>
          <w:tcPr>
            <w:tcW w:w="260" w:type="dxa"/>
            <w:vAlign w:val="bottom"/>
            <w:tcBorders>
              <w:bottom w:val="single" w:sz="8" w:color="D2DCE5"/>
            </w:tcBorders>
            <w:shd w:val="clear" w:color="auto" w:fill="D2DCE5"/>
          </w:tcPr>
          <w:p>
            <w:pPr>
              <w:spacing w:after="0"/>
              <w:rPr>
                <w:sz w:val="19"/>
                <w:szCs w:val="19"/>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93,498</w:t>
            </w:r>
          </w:p>
        </w:tc>
        <w:tc>
          <w:tcPr>
            <w:tcW w:w="80" w:type="dxa"/>
            <w:vAlign w:val="bottom"/>
            <w:tcBorders>
              <w:bottom w:val="single" w:sz="8" w:color="D2DCE5"/>
            </w:tcBorders>
            <w:shd w:val="clear" w:color="auto" w:fill="D2DCE5"/>
          </w:tcPr>
          <w:p>
            <w:pPr>
              <w:spacing w:after="0"/>
              <w:rPr>
                <w:sz w:val="19"/>
                <w:szCs w:val="19"/>
                <w:color w:val="auto"/>
              </w:rPr>
            </w:pPr>
          </w:p>
        </w:tc>
        <w:tc>
          <w:tcPr>
            <w:tcW w:w="280" w:type="dxa"/>
            <w:vAlign w:val="bottom"/>
            <w:tcBorders>
              <w:bottom w:val="single" w:sz="8" w:color="D2DCE5"/>
            </w:tcBorders>
            <w:shd w:val="clear" w:color="auto" w:fill="D2DCE5"/>
          </w:tcPr>
          <w:p>
            <w:pPr>
              <w:spacing w:after="0"/>
              <w:rPr>
                <w:sz w:val="19"/>
                <w:szCs w:val="19"/>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1,018</w:t>
            </w:r>
          </w:p>
        </w:tc>
        <w:tc>
          <w:tcPr>
            <w:tcW w:w="100" w:type="dxa"/>
            <w:vAlign w:val="bottom"/>
            <w:tcBorders>
              <w:bottom w:val="single" w:sz="8" w:color="D2DCE5"/>
            </w:tcBorders>
            <w:shd w:val="clear" w:color="auto" w:fill="D2DCE5"/>
          </w:tcPr>
          <w:p>
            <w:pPr>
              <w:spacing w:after="0"/>
              <w:rPr>
                <w:sz w:val="19"/>
                <w:szCs w:val="19"/>
                <w:color w:val="auto"/>
              </w:rPr>
            </w:pPr>
          </w:p>
        </w:tc>
        <w:tc>
          <w:tcPr>
            <w:tcW w:w="340" w:type="dxa"/>
            <w:vAlign w:val="bottom"/>
            <w:tcBorders>
              <w:bottom w:val="single" w:sz="8" w:color="D2DCE5"/>
            </w:tcBorders>
            <w:shd w:val="clear" w:color="auto" w:fill="D2DCE5"/>
          </w:tcPr>
          <w:p>
            <w:pPr>
              <w:spacing w:after="0"/>
              <w:rPr>
                <w:sz w:val="19"/>
                <w:szCs w:val="19"/>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94,516</w:t>
            </w:r>
          </w:p>
        </w:tc>
        <w:tc>
          <w:tcPr>
            <w:tcW w:w="0" w:type="dxa"/>
            <w:vAlign w:val="bottom"/>
          </w:tcPr>
          <w:p>
            <w:pPr>
              <w:spacing w:after="0"/>
              <w:rPr>
                <w:sz w:val="1"/>
                <w:szCs w:val="1"/>
                <w:color w:val="auto"/>
              </w:rPr>
            </w:pPr>
          </w:p>
        </w:tc>
      </w:tr>
      <w:tr>
        <w:trPr>
          <w:trHeight w:val="243"/>
        </w:trPr>
        <w:tc>
          <w:tcPr>
            <w:tcW w:w="5620" w:type="dxa"/>
            <w:vAlign w:val="bottom"/>
            <w:gridSpan w:val="5"/>
          </w:tcPr>
          <w:p>
            <w:pPr>
              <w:ind w:left="20"/>
              <w:spacing w:after="0"/>
              <w:rPr>
                <w:sz w:val="20"/>
                <w:szCs w:val="20"/>
                <w:color w:val="auto"/>
              </w:rPr>
            </w:pPr>
            <w:r>
              <w:rPr>
                <w:rFonts w:ascii="Arial" w:cs="Arial" w:eastAsia="Arial" w:hAnsi="Arial"/>
                <w:sz w:val="18"/>
                <w:szCs w:val="18"/>
                <w:color w:val="131E29"/>
              </w:rPr>
              <w:t>Non-controlling interests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116,688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2,525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31E29"/>
              </w:rPr>
              <w:t>119,213</w:t>
            </w:r>
          </w:p>
        </w:tc>
        <w:tc>
          <w:tcPr>
            <w:tcW w:w="0" w:type="dxa"/>
            <w:vAlign w:val="bottom"/>
          </w:tcPr>
          <w:p>
            <w:pPr>
              <w:spacing w:after="0"/>
              <w:rPr>
                <w:sz w:val="1"/>
                <w:szCs w:val="1"/>
                <w:color w:val="auto"/>
              </w:rPr>
            </w:pPr>
          </w:p>
        </w:tc>
      </w:tr>
      <w:tr>
        <w:trPr>
          <w:trHeight w:val="27"/>
        </w:trPr>
        <w:tc>
          <w:tcPr>
            <w:tcW w:w="4160" w:type="dxa"/>
            <w:vAlign w:val="bottom"/>
            <w:tcBorders>
              <w:bottom w:val="single" w:sz="8" w:color="D2DCE5"/>
            </w:tcBorders>
            <w:gridSpan w:val="2"/>
          </w:tcPr>
          <w:p>
            <w:pPr>
              <w:spacing w:after="0"/>
              <w:rPr>
                <w:sz w:val="2"/>
                <w:szCs w:val="2"/>
                <w:color w:val="auto"/>
              </w:rPr>
            </w:pPr>
          </w:p>
        </w:tc>
        <w:tc>
          <w:tcPr>
            <w:tcW w:w="136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D2DCE5"/>
            </w:tcBorders>
            <w:gridSpan w:val="5"/>
            <w:shd w:val="clear" w:color="auto" w:fill="D2DCE5"/>
          </w:tcPr>
          <w:p>
            <w:pPr>
              <w:ind w:left="180"/>
              <w:spacing w:after="0"/>
              <w:rPr>
                <w:sz w:val="20"/>
                <w:szCs w:val="20"/>
                <w:color w:val="auto"/>
              </w:rPr>
            </w:pPr>
            <w:r>
              <w:rPr>
                <w:rFonts w:ascii="Arial" w:cs="Arial" w:eastAsia="Arial" w:hAnsi="Arial"/>
                <w:sz w:val="18"/>
                <w:szCs w:val="18"/>
                <w:color w:val="131E29"/>
              </w:rPr>
              <w:t>Total equity</w:t>
            </w: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210,186</w:t>
            </w:r>
          </w:p>
        </w:tc>
        <w:tc>
          <w:tcPr>
            <w:tcW w:w="8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3,543</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213,729</w:t>
            </w:r>
          </w:p>
        </w:tc>
        <w:tc>
          <w:tcPr>
            <w:tcW w:w="0" w:type="dxa"/>
            <w:vAlign w:val="bottom"/>
          </w:tcPr>
          <w:p>
            <w:pPr>
              <w:spacing w:after="0"/>
              <w:rPr>
                <w:sz w:val="1"/>
                <w:szCs w:val="1"/>
                <w:color w:val="auto"/>
              </w:rPr>
            </w:pPr>
          </w:p>
        </w:tc>
      </w:tr>
      <w:tr>
        <w:trPr>
          <w:trHeight w:val="20"/>
        </w:trPr>
        <w:tc>
          <w:tcPr>
            <w:tcW w:w="5620" w:type="dxa"/>
            <w:vAlign w:val="bottom"/>
            <w:tcBorders>
              <w:top w:val="single" w:sz="8" w:color="D2DCE5"/>
              <w:bottom w:val="single" w:sz="8" w:color="D2DCE5"/>
            </w:tcBorders>
            <w:gridSpan w:val="5"/>
            <w:vMerge w:val="restart"/>
          </w:tcPr>
          <w:p>
            <w:pPr>
              <w:spacing w:after="0"/>
              <w:rPr>
                <w:sz w:val="20"/>
                <w:szCs w:val="20"/>
                <w:color w:val="auto"/>
              </w:rPr>
            </w:pPr>
            <w:r>
              <w:rPr>
                <w:rFonts w:ascii="Arial" w:cs="Arial" w:eastAsia="Arial" w:hAnsi="Arial"/>
                <w:sz w:val="18"/>
                <w:szCs w:val="18"/>
                <w:color w:val="006098"/>
              </w:rPr>
              <w:t>Condensed Consolidated Statements of Operations:</w:t>
            </w: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4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2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00" w:type="dxa"/>
            <w:vAlign w:val="bottom"/>
            <w:tcBorders>
              <w:top w:val="single" w:sz="8" w:color="006098"/>
            </w:tcBorders>
          </w:tcPr>
          <w:p>
            <w:pPr>
              <w:spacing w:after="0"/>
              <w:rPr>
                <w:sz w:val="24"/>
                <w:szCs w:val="24"/>
                <w:color w:val="auto"/>
              </w:rPr>
            </w:pPr>
          </w:p>
        </w:tc>
        <w:tc>
          <w:tcPr>
            <w:tcW w:w="860" w:type="dxa"/>
            <w:vAlign w:val="bottom"/>
            <w:tcBorders>
              <w:top w:val="single" w:sz="8" w:color="006098"/>
            </w:tcBorders>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7"/>
          </w:tcPr>
          <w:p>
            <w:pPr>
              <w:jc w:val="center"/>
              <w:ind w:right="170"/>
              <w:spacing w:after="0"/>
              <w:rPr>
                <w:sz w:val="20"/>
                <w:szCs w:val="20"/>
                <w:color w:val="auto"/>
              </w:rPr>
            </w:pPr>
            <w:r>
              <w:rPr>
                <w:rFonts w:ascii="Arial" w:cs="Arial" w:eastAsia="Arial" w:hAnsi="Arial"/>
                <w:sz w:val="18"/>
                <w:szCs w:val="18"/>
                <w:color w:val="131E29"/>
                <w:w w:val="99"/>
              </w:rPr>
              <w:t>Three Months Ended June 30, 2021</w:t>
            </w:r>
          </w:p>
        </w:tc>
        <w:tc>
          <w:tcPr>
            <w:tcW w:w="0" w:type="dxa"/>
            <w:vAlign w:val="bottom"/>
          </w:tcPr>
          <w:p>
            <w:pPr>
              <w:spacing w:after="0"/>
              <w:rPr>
                <w:sz w:val="1"/>
                <w:szCs w:val="1"/>
                <w:color w:val="auto"/>
              </w:rPr>
            </w:pPr>
          </w:p>
        </w:tc>
      </w:tr>
      <w:tr>
        <w:trPr>
          <w:trHeight w:val="27"/>
        </w:trPr>
        <w:tc>
          <w:tcPr>
            <w:tcW w:w="55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5"/>
          </w:tcPr>
          <w:p>
            <w:pPr>
              <w:ind w:left="20"/>
              <w:spacing w:after="0"/>
              <w:rPr>
                <w:sz w:val="20"/>
                <w:szCs w:val="20"/>
                <w:color w:val="auto"/>
              </w:rPr>
            </w:pPr>
            <w:r>
              <w:rPr>
                <w:rFonts w:ascii="Arial" w:cs="Arial" w:eastAsia="Arial" w:hAnsi="Arial"/>
                <w:sz w:val="14"/>
                <w:szCs w:val="14"/>
                <w:color w:val="131E29"/>
              </w:rPr>
              <w:t>(in thousands)</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131E29"/>
              </w:rPr>
              <w:t>As Reported</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131E29"/>
                <w:w w:val="98"/>
              </w:rPr>
              <w:t>Adjustments</w:t>
            </w:r>
          </w:p>
        </w:tc>
        <w:tc>
          <w:tcPr>
            <w:tcW w:w="3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131E29"/>
              </w:rPr>
              <w:t>As Corrected</w:t>
            </w:r>
          </w:p>
        </w:tc>
        <w:tc>
          <w:tcPr>
            <w:tcW w:w="0" w:type="dxa"/>
            <w:vAlign w:val="bottom"/>
          </w:tcPr>
          <w:p>
            <w:pPr>
              <w:spacing w:after="0"/>
              <w:rPr>
                <w:sz w:val="1"/>
                <w:szCs w:val="1"/>
                <w:color w:val="auto"/>
              </w:rPr>
            </w:pPr>
          </w:p>
        </w:tc>
      </w:tr>
      <w:tr>
        <w:trPr>
          <w:trHeight w:val="25"/>
        </w:trPr>
        <w:tc>
          <w:tcPr>
            <w:tcW w:w="55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color w:val="131E29"/>
              </w:rPr>
              <w:t>Costs and expenses</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180"/>
              <w:spacing w:after="0"/>
              <w:rPr>
                <w:sz w:val="20"/>
                <w:szCs w:val="20"/>
                <w:color w:val="auto"/>
              </w:rPr>
            </w:pPr>
            <w:r>
              <w:rPr>
                <w:rFonts w:ascii="Arial" w:cs="Arial" w:eastAsia="Arial" w:hAnsi="Arial"/>
                <w:sz w:val="18"/>
                <w:szCs w:val="18"/>
                <w:color w:val="131E29"/>
              </w:rPr>
              <w:t>Cost of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81,884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131E29"/>
              </w:rPr>
              <w:t>(417)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131E29"/>
              </w:rPr>
              <w:t>81,467</w:t>
            </w:r>
          </w:p>
        </w:tc>
        <w:tc>
          <w:tcPr>
            <w:tcW w:w="0" w:type="dxa"/>
            <w:vAlign w:val="bottom"/>
          </w:tcPr>
          <w:p>
            <w:pPr>
              <w:spacing w:after="0"/>
              <w:rPr>
                <w:sz w:val="1"/>
                <w:szCs w:val="1"/>
                <w:color w:val="auto"/>
              </w:rPr>
            </w:pPr>
          </w:p>
        </w:tc>
      </w:tr>
      <w:tr>
        <w:trPr>
          <w:trHeight w:val="27"/>
        </w:trPr>
        <w:tc>
          <w:tcPr>
            <w:tcW w:w="55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D2DCE5"/>
            </w:tcBorders>
            <w:gridSpan w:val="5"/>
            <w:shd w:val="clear" w:color="auto" w:fill="D2DCE5"/>
          </w:tcPr>
          <w:p>
            <w:pPr>
              <w:ind w:left="180"/>
              <w:spacing w:after="0"/>
              <w:rPr>
                <w:sz w:val="20"/>
                <w:szCs w:val="20"/>
                <w:color w:val="auto"/>
              </w:rPr>
            </w:pPr>
            <w:r>
              <w:rPr>
                <w:rFonts w:ascii="Arial" w:cs="Arial" w:eastAsia="Arial" w:hAnsi="Arial"/>
                <w:sz w:val="18"/>
                <w:szCs w:val="18"/>
                <w:color w:val="131E29"/>
              </w:rPr>
              <w:t>Selling, general and administrative</w:t>
            </w:r>
          </w:p>
        </w:tc>
        <w:tc>
          <w:tcPr>
            <w:tcW w:w="260" w:type="dxa"/>
            <w:vAlign w:val="bottom"/>
            <w:tcBorders>
              <w:bottom w:val="single" w:sz="8" w:color="D2DCE5"/>
            </w:tcBorders>
            <w:shd w:val="clear" w:color="auto" w:fill="D2DCE5"/>
          </w:tcPr>
          <w:p>
            <w:pPr>
              <w:spacing w:after="0"/>
              <w:rPr>
                <w:sz w:val="23"/>
                <w:szCs w:val="23"/>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33,514</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w:t>
            </w:r>
          </w:p>
        </w:tc>
        <w:tc>
          <w:tcPr>
            <w:tcW w:w="100" w:type="dxa"/>
            <w:vAlign w:val="bottom"/>
            <w:tcBorders>
              <w:bottom w:val="single" w:sz="8" w:color="D2DCE5"/>
            </w:tcBorders>
            <w:shd w:val="clear" w:color="auto" w:fill="D2DCE5"/>
          </w:tcPr>
          <w:p>
            <w:pPr>
              <w:spacing w:after="0"/>
              <w:rPr>
                <w:sz w:val="23"/>
                <w:szCs w:val="23"/>
                <w:color w:val="auto"/>
              </w:rPr>
            </w:pPr>
          </w:p>
        </w:tc>
        <w:tc>
          <w:tcPr>
            <w:tcW w:w="340" w:type="dxa"/>
            <w:vAlign w:val="bottom"/>
            <w:tcBorders>
              <w:bottom w:val="single" w:sz="8" w:color="D2DCE5"/>
            </w:tcBorders>
            <w:shd w:val="clear" w:color="auto" w:fill="D2DCE5"/>
          </w:tcPr>
          <w:p>
            <w:pPr>
              <w:spacing w:after="0"/>
              <w:rPr>
                <w:sz w:val="23"/>
                <w:szCs w:val="23"/>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33,488</w:t>
            </w:r>
          </w:p>
        </w:tc>
        <w:tc>
          <w:tcPr>
            <w:tcW w:w="0" w:type="dxa"/>
            <w:vAlign w:val="bottom"/>
          </w:tcPr>
          <w:p>
            <w:pPr>
              <w:spacing w:after="0"/>
              <w:rPr>
                <w:sz w:val="1"/>
                <w:szCs w:val="1"/>
                <w:color w:val="auto"/>
              </w:rPr>
            </w:pPr>
          </w:p>
        </w:tc>
      </w:tr>
      <w:tr>
        <w:trPr>
          <w:trHeight w:val="237"/>
        </w:trPr>
        <w:tc>
          <w:tcPr>
            <w:tcW w:w="5620" w:type="dxa"/>
            <w:vAlign w:val="bottom"/>
            <w:gridSpan w:val="5"/>
          </w:tcPr>
          <w:p>
            <w:pPr>
              <w:ind w:left="360"/>
              <w:spacing w:after="0"/>
              <w:rPr>
                <w:sz w:val="20"/>
                <w:szCs w:val="20"/>
                <w:color w:val="auto"/>
              </w:rPr>
            </w:pPr>
            <w:r>
              <w:rPr>
                <w:rFonts w:ascii="Arial" w:cs="Arial" w:eastAsia="Arial" w:hAnsi="Arial"/>
                <w:sz w:val="18"/>
                <w:szCs w:val="18"/>
                <w:color w:val="131E29"/>
              </w:rPr>
              <w:t>Total costs and expenses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115,398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114,955</w:t>
            </w:r>
          </w:p>
        </w:tc>
        <w:tc>
          <w:tcPr>
            <w:tcW w:w="0" w:type="dxa"/>
            <w:vAlign w:val="bottom"/>
          </w:tcPr>
          <w:p>
            <w:pPr>
              <w:spacing w:after="0"/>
              <w:rPr>
                <w:sz w:val="1"/>
                <w:szCs w:val="1"/>
                <w:color w:val="auto"/>
              </w:rPr>
            </w:pPr>
          </w:p>
        </w:tc>
      </w:tr>
      <w:tr>
        <w:trPr>
          <w:trHeight w:val="27"/>
        </w:trPr>
        <w:tc>
          <w:tcPr>
            <w:tcW w:w="55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color w:val="131E29"/>
              </w:rPr>
              <w:t>Income from operations</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13,810</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443</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14,253</w:t>
            </w:r>
          </w:p>
        </w:tc>
        <w:tc>
          <w:tcPr>
            <w:tcW w:w="0" w:type="dxa"/>
            <w:vAlign w:val="bottom"/>
          </w:tcPr>
          <w:p>
            <w:pPr>
              <w:spacing w:after="0"/>
              <w:rPr>
                <w:sz w:val="1"/>
                <w:szCs w:val="1"/>
                <w:color w:val="auto"/>
              </w:rPr>
            </w:pPr>
          </w:p>
        </w:tc>
      </w:tr>
      <w:tr>
        <w:trPr>
          <w:trHeight w:val="243"/>
        </w:trPr>
        <w:tc>
          <w:tcPr>
            <w:tcW w:w="5620" w:type="dxa"/>
            <w:vAlign w:val="bottom"/>
            <w:gridSpan w:val="5"/>
          </w:tcPr>
          <w:p>
            <w:pPr>
              <w:ind w:left="20"/>
              <w:spacing w:after="0"/>
              <w:rPr>
                <w:sz w:val="20"/>
                <w:szCs w:val="20"/>
                <w:color w:val="auto"/>
              </w:rPr>
            </w:pPr>
            <w:r>
              <w:rPr>
                <w:rFonts w:ascii="Arial" w:cs="Arial" w:eastAsia="Arial" w:hAnsi="Arial"/>
                <w:sz w:val="18"/>
                <w:szCs w:val="18"/>
                <w:color w:val="131E29"/>
              </w:rPr>
              <w:t>Income before income taxes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11,967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31E29"/>
              </w:rPr>
              <w:t>12,410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D2DCE5"/>
            </w:tcBorders>
            <w:gridSpan w:val="4"/>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color w:val="131E29"/>
              </w:rPr>
              <w:t>Net income</w:t>
            </w: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11,446</w:t>
            </w:r>
          </w:p>
        </w:tc>
        <w:tc>
          <w:tcPr>
            <w:tcW w:w="8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443</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11,889</w:t>
            </w:r>
          </w:p>
        </w:tc>
        <w:tc>
          <w:tcPr>
            <w:tcW w:w="0" w:type="dxa"/>
            <w:vAlign w:val="bottom"/>
          </w:tcPr>
          <w:p>
            <w:pPr>
              <w:spacing w:after="0"/>
              <w:rPr>
                <w:sz w:val="1"/>
                <w:szCs w:val="1"/>
                <w:color w:val="auto"/>
              </w:rPr>
            </w:pPr>
          </w:p>
        </w:tc>
      </w:tr>
      <w:tr>
        <w:trPr>
          <w:trHeight w:val="20"/>
        </w:trPr>
        <w:tc>
          <w:tcPr>
            <w:tcW w:w="330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D2DCE5"/>
            </w:tcBorders>
          </w:tcPr>
          <w:p>
            <w:pPr>
              <w:spacing w:after="0" w:line="20" w:lineRule="exact"/>
              <w:rPr>
                <w:sz w:val="1"/>
                <w:szCs w:val="1"/>
                <w:color w:val="auto"/>
              </w:rPr>
            </w:pPr>
          </w:p>
        </w:tc>
        <w:tc>
          <w:tcPr>
            <w:tcW w:w="136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2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4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6"/>
          </w:tcPr>
          <w:p>
            <w:pPr>
              <w:jc w:val="center"/>
              <w:ind w:left="1110"/>
              <w:spacing w:after="0"/>
              <w:rPr>
                <w:sz w:val="20"/>
                <w:szCs w:val="20"/>
                <w:color w:val="auto"/>
              </w:rPr>
            </w:pPr>
            <w:r>
              <w:rPr>
                <w:rFonts w:ascii="Arial" w:cs="Arial" w:eastAsia="Arial" w:hAnsi="Arial"/>
                <w:sz w:val="18"/>
                <w:szCs w:val="18"/>
                <w:color w:val="131E29"/>
              </w:rPr>
              <w:t>Six Months Ended June 30, 2021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5"/>
          </w:tcPr>
          <w:p>
            <w:pPr>
              <w:ind w:left="20"/>
              <w:spacing w:after="0"/>
              <w:rPr>
                <w:sz w:val="20"/>
                <w:szCs w:val="20"/>
                <w:color w:val="auto"/>
              </w:rPr>
            </w:pPr>
            <w:r>
              <w:rPr>
                <w:rFonts w:ascii="Arial" w:cs="Arial" w:eastAsia="Arial" w:hAnsi="Arial"/>
                <w:sz w:val="14"/>
                <w:szCs w:val="14"/>
                <w:color w:val="131E29"/>
              </w:rPr>
              <w:t>(in thousands)</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131E29"/>
              </w:rPr>
              <w:t>As Reported</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131E29"/>
                <w:w w:val="98"/>
              </w:rPr>
              <w:t>Adjustments</w:t>
            </w:r>
          </w:p>
        </w:tc>
        <w:tc>
          <w:tcPr>
            <w:tcW w:w="3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131E29"/>
              </w:rPr>
              <w:t>As Corrected</w:t>
            </w:r>
          </w:p>
        </w:tc>
        <w:tc>
          <w:tcPr>
            <w:tcW w:w="0" w:type="dxa"/>
            <w:vAlign w:val="bottom"/>
          </w:tcPr>
          <w:p>
            <w:pPr>
              <w:spacing w:after="0"/>
              <w:rPr>
                <w:sz w:val="1"/>
                <w:szCs w:val="1"/>
                <w:color w:val="auto"/>
              </w:rPr>
            </w:pPr>
          </w:p>
        </w:tc>
      </w:tr>
      <w:tr>
        <w:trPr>
          <w:trHeight w:val="25"/>
        </w:trPr>
        <w:tc>
          <w:tcPr>
            <w:tcW w:w="55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color w:val="131E29"/>
              </w:rPr>
              <w:t>Costs and expenses</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180"/>
              <w:spacing w:after="0"/>
              <w:rPr>
                <w:sz w:val="20"/>
                <w:szCs w:val="20"/>
                <w:color w:val="auto"/>
              </w:rPr>
            </w:pPr>
            <w:r>
              <w:rPr>
                <w:rFonts w:ascii="Arial" w:cs="Arial" w:eastAsia="Arial" w:hAnsi="Arial"/>
                <w:sz w:val="18"/>
                <w:szCs w:val="18"/>
                <w:color w:val="131E29"/>
              </w:rPr>
              <w:t>Cost of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148,809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131E29"/>
              </w:rPr>
              <w:t>(834)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131E29"/>
              </w:rPr>
              <w:t>147,975</w:t>
            </w:r>
          </w:p>
        </w:tc>
        <w:tc>
          <w:tcPr>
            <w:tcW w:w="0" w:type="dxa"/>
            <w:vAlign w:val="bottom"/>
          </w:tcPr>
          <w:p>
            <w:pPr>
              <w:spacing w:after="0"/>
              <w:rPr>
                <w:sz w:val="1"/>
                <w:szCs w:val="1"/>
                <w:color w:val="auto"/>
              </w:rPr>
            </w:pPr>
          </w:p>
        </w:tc>
      </w:tr>
      <w:tr>
        <w:trPr>
          <w:trHeight w:val="27"/>
        </w:trPr>
        <w:tc>
          <w:tcPr>
            <w:tcW w:w="55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D2DCE5"/>
            </w:tcBorders>
            <w:gridSpan w:val="5"/>
            <w:shd w:val="clear" w:color="auto" w:fill="D2DCE5"/>
          </w:tcPr>
          <w:p>
            <w:pPr>
              <w:ind w:left="180"/>
              <w:spacing w:after="0"/>
              <w:rPr>
                <w:sz w:val="20"/>
                <w:szCs w:val="20"/>
                <w:color w:val="auto"/>
              </w:rPr>
            </w:pPr>
            <w:r>
              <w:rPr>
                <w:rFonts w:ascii="Arial" w:cs="Arial" w:eastAsia="Arial" w:hAnsi="Arial"/>
                <w:sz w:val="18"/>
                <w:szCs w:val="18"/>
                <w:color w:val="131E29"/>
              </w:rPr>
              <w:t>Selling, general and administrative</w:t>
            </w:r>
          </w:p>
        </w:tc>
        <w:tc>
          <w:tcPr>
            <w:tcW w:w="260" w:type="dxa"/>
            <w:vAlign w:val="bottom"/>
            <w:tcBorders>
              <w:bottom w:val="single" w:sz="8" w:color="D2DCE5"/>
            </w:tcBorders>
            <w:shd w:val="clear" w:color="auto" w:fill="D2DCE5"/>
          </w:tcPr>
          <w:p>
            <w:pPr>
              <w:spacing w:after="0"/>
              <w:rPr>
                <w:sz w:val="23"/>
                <w:szCs w:val="23"/>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69,868</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(394)</w:t>
            </w:r>
          </w:p>
        </w:tc>
        <w:tc>
          <w:tcPr>
            <w:tcW w:w="100" w:type="dxa"/>
            <w:vAlign w:val="bottom"/>
            <w:tcBorders>
              <w:bottom w:val="single" w:sz="8" w:color="D2DCE5"/>
            </w:tcBorders>
            <w:shd w:val="clear" w:color="auto" w:fill="D2DCE5"/>
          </w:tcPr>
          <w:p>
            <w:pPr>
              <w:spacing w:after="0"/>
              <w:rPr>
                <w:sz w:val="23"/>
                <w:szCs w:val="23"/>
                <w:color w:val="auto"/>
              </w:rPr>
            </w:pPr>
          </w:p>
        </w:tc>
        <w:tc>
          <w:tcPr>
            <w:tcW w:w="340" w:type="dxa"/>
            <w:vAlign w:val="bottom"/>
            <w:tcBorders>
              <w:bottom w:val="single" w:sz="8" w:color="D2DCE5"/>
            </w:tcBorders>
            <w:shd w:val="clear" w:color="auto" w:fill="D2DCE5"/>
          </w:tcPr>
          <w:p>
            <w:pPr>
              <w:spacing w:after="0"/>
              <w:rPr>
                <w:sz w:val="23"/>
                <w:szCs w:val="23"/>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69,474</w:t>
            </w:r>
          </w:p>
        </w:tc>
        <w:tc>
          <w:tcPr>
            <w:tcW w:w="0" w:type="dxa"/>
            <w:vAlign w:val="bottom"/>
          </w:tcPr>
          <w:p>
            <w:pPr>
              <w:spacing w:after="0"/>
              <w:rPr>
                <w:sz w:val="1"/>
                <w:szCs w:val="1"/>
                <w:color w:val="auto"/>
              </w:rPr>
            </w:pPr>
          </w:p>
        </w:tc>
      </w:tr>
      <w:tr>
        <w:trPr>
          <w:trHeight w:val="237"/>
        </w:trPr>
        <w:tc>
          <w:tcPr>
            <w:tcW w:w="5620" w:type="dxa"/>
            <w:vAlign w:val="bottom"/>
            <w:gridSpan w:val="5"/>
          </w:tcPr>
          <w:p>
            <w:pPr>
              <w:ind w:left="360"/>
              <w:spacing w:after="0"/>
              <w:rPr>
                <w:sz w:val="20"/>
                <w:szCs w:val="20"/>
                <w:color w:val="auto"/>
              </w:rPr>
            </w:pPr>
            <w:r>
              <w:rPr>
                <w:rFonts w:ascii="Arial" w:cs="Arial" w:eastAsia="Arial" w:hAnsi="Arial"/>
                <w:sz w:val="18"/>
                <w:szCs w:val="18"/>
                <w:color w:val="131E29"/>
              </w:rPr>
              <w:t>Total costs and expenses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218,677</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217,449</w:t>
            </w:r>
          </w:p>
        </w:tc>
        <w:tc>
          <w:tcPr>
            <w:tcW w:w="0" w:type="dxa"/>
            <w:vAlign w:val="bottom"/>
          </w:tcPr>
          <w:p>
            <w:pPr>
              <w:spacing w:after="0"/>
              <w:rPr>
                <w:sz w:val="1"/>
                <w:szCs w:val="1"/>
                <w:color w:val="auto"/>
              </w:rPr>
            </w:pPr>
          </w:p>
        </w:tc>
      </w:tr>
      <w:tr>
        <w:trPr>
          <w:trHeight w:val="27"/>
        </w:trPr>
        <w:tc>
          <w:tcPr>
            <w:tcW w:w="55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color w:val="131E29"/>
              </w:rPr>
              <w:t>Income from operations</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9,316</w:t>
            </w: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10,544</w:t>
            </w:r>
          </w:p>
        </w:tc>
        <w:tc>
          <w:tcPr>
            <w:tcW w:w="0" w:type="dxa"/>
            <w:vAlign w:val="bottom"/>
          </w:tcPr>
          <w:p>
            <w:pPr>
              <w:spacing w:after="0"/>
              <w:rPr>
                <w:sz w:val="1"/>
                <w:szCs w:val="1"/>
                <w:color w:val="auto"/>
              </w:rPr>
            </w:pPr>
          </w:p>
        </w:tc>
      </w:tr>
      <w:tr>
        <w:trPr>
          <w:trHeight w:val="243"/>
        </w:trPr>
        <w:tc>
          <w:tcPr>
            <w:tcW w:w="5620" w:type="dxa"/>
            <w:vAlign w:val="bottom"/>
            <w:gridSpan w:val="5"/>
          </w:tcPr>
          <w:p>
            <w:pPr>
              <w:ind w:left="20"/>
              <w:spacing w:after="0"/>
              <w:rPr>
                <w:sz w:val="20"/>
                <w:szCs w:val="20"/>
                <w:color w:val="auto"/>
              </w:rPr>
            </w:pPr>
            <w:r>
              <w:rPr>
                <w:rFonts w:ascii="Arial" w:cs="Arial" w:eastAsia="Arial" w:hAnsi="Arial"/>
                <w:sz w:val="18"/>
                <w:szCs w:val="18"/>
                <w:color w:val="131E29"/>
              </w:rPr>
              <w:t>Income before income taxes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6,403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31E29"/>
              </w:rPr>
              <w:t>7,631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D2DCE5"/>
            </w:tcBorders>
            <w:gridSpan w:val="4"/>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color w:val="131E29"/>
              </w:rPr>
              <w:t>Net income</w:t>
            </w: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5,839</w:t>
            </w:r>
          </w:p>
        </w:tc>
        <w:tc>
          <w:tcPr>
            <w:tcW w:w="8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Borders>
              <w:bottom w:val="single" w:sz="8" w:color="D2DCE5"/>
            </w:tcBorders>
            <w:shd w:val="clear" w:color="auto" w:fill="D2DCE5"/>
          </w:tcPr>
          <w:p>
            <w:pPr>
              <w:spacing w:after="0"/>
              <w:rPr>
                <w:sz w:val="24"/>
                <w:szCs w:val="24"/>
                <w:color w:val="auto"/>
              </w:rPr>
            </w:pPr>
          </w:p>
        </w:tc>
        <w:tc>
          <w:tcPr>
            <w:tcW w:w="34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0"/>
        </w:trPr>
        <w:tc>
          <w:tcPr>
            <w:tcW w:w="5620" w:type="dxa"/>
            <w:vAlign w:val="bottom"/>
            <w:tcBorders>
              <w:top w:val="single" w:sz="8" w:color="D2DCE5"/>
              <w:bottom w:val="single" w:sz="8" w:color="D2DCE5"/>
            </w:tcBorders>
            <w:gridSpan w:val="5"/>
            <w:vMerge w:val="restart"/>
          </w:tcPr>
          <w:p>
            <w:pPr>
              <w:spacing w:after="0"/>
              <w:rPr>
                <w:sz w:val="20"/>
                <w:szCs w:val="20"/>
                <w:color w:val="auto"/>
              </w:rPr>
            </w:pPr>
            <w:r>
              <w:rPr>
                <w:rFonts w:ascii="Arial" w:cs="Arial" w:eastAsia="Arial" w:hAnsi="Arial"/>
                <w:sz w:val="18"/>
                <w:szCs w:val="18"/>
                <w:color w:val="006098"/>
              </w:rPr>
              <w:t>Condensed Consolidated Statements of Changes in Members’ Equity:</w:t>
            </w: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4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62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300" w:type="dxa"/>
            <w:vAlign w:val="bottom"/>
            <w:tcBorders>
              <w:top w:val="single" w:sz="8" w:color="006098"/>
            </w:tcBorders>
          </w:tcPr>
          <w:p>
            <w:pPr>
              <w:spacing w:after="0"/>
              <w:rPr>
                <w:sz w:val="24"/>
                <w:szCs w:val="24"/>
                <w:color w:val="auto"/>
              </w:rPr>
            </w:pPr>
          </w:p>
        </w:tc>
        <w:tc>
          <w:tcPr>
            <w:tcW w:w="860" w:type="dxa"/>
            <w:vAlign w:val="bottom"/>
            <w:tcBorders>
              <w:top w:val="single" w:sz="8" w:color="006098"/>
            </w:tcBorders>
          </w:tcPr>
          <w:p>
            <w:pPr>
              <w:spacing w:after="0"/>
              <w:rPr>
                <w:sz w:val="24"/>
                <w:szCs w:val="24"/>
                <w:color w:val="auto"/>
              </w:rPr>
            </w:pPr>
          </w:p>
        </w:tc>
        <w:tc>
          <w:tcPr>
            <w:tcW w:w="1360" w:type="dxa"/>
            <w:vAlign w:val="bottom"/>
            <w:tcBorders>
              <w:top w:val="single" w:sz="8" w:color="006098"/>
            </w:tcBorders>
          </w:tcPr>
          <w:p>
            <w:pPr>
              <w:spacing w:after="0"/>
              <w:rPr>
                <w:sz w:val="24"/>
                <w:szCs w:val="24"/>
                <w:color w:val="auto"/>
              </w:rPr>
            </w:pPr>
          </w:p>
        </w:tc>
        <w:tc>
          <w:tcPr>
            <w:tcW w:w="60" w:type="dxa"/>
            <w:vAlign w:val="bottom"/>
            <w:tcBorders>
              <w:top w:val="single" w:sz="8" w:color="006098"/>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7"/>
          </w:tcPr>
          <w:p>
            <w:pPr>
              <w:jc w:val="center"/>
              <w:ind w:right="170"/>
              <w:spacing w:after="0"/>
              <w:rPr>
                <w:sz w:val="20"/>
                <w:szCs w:val="20"/>
                <w:color w:val="auto"/>
              </w:rPr>
            </w:pPr>
            <w:r>
              <w:rPr>
                <w:rFonts w:ascii="Arial" w:cs="Arial" w:eastAsia="Arial" w:hAnsi="Arial"/>
                <w:sz w:val="18"/>
                <w:szCs w:val="18"/>
                <w:color w:val="131E29"/>
                <w:w w:val="99"/>
              </w:rPr>
              <w:t>Three Months Ended June 30, 2021</w:t>
            </w:r>
          </w:p>
        </w:tc>
        <w:tc>
          <w:tcPr>
            <w:tcW w:w="0" w:type="dxa"/>
            <w:vAlign w:val="bottom"/>
          </w:tcPr>
          <w:p>
            <w:pPr>
              <w:spacing w:after="0"/>
              <w:rPr>
                <w:sz w:val="1"/>
                <w:szCs w:val="1"/>
                <w:color w:val="auto"/>
              </w:rPr>
            </w:pPr>
          </w:p>
        </w:tc>
      </w:tr>
      <w:tr>
        <w:trPr>
          <w:trHeight w:val="27"/>
        </w:trPr>
        <w:tc>
          <w:tcPr>
            <w:tcW w:w="5620" w:type="dxa"/>
            <w:vAlign w:val="bottom"/>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5"/>
          </w:tcPr>
          <w:p>
            <w:pPr>
              <w:ind w:left="20"/>
              <w:spacing w:after="0"/>
              <w:rPr>
                <w:sz w:val="20"/>
                <w:szCs w:val="20"/>
                <w:color w:val="auto"/>
              </w:rPr>
            </w:pPr>
            <w:r>
              <w:rPr>
                <w:rFonts w:ascii="Arial" w:cs="Arial" w:eastAsia="Arial" w:hAnsi="Arial"/>
                <w:sz w:val="14"/>
                <w:szCs w:val="14"/>
                <w:color w:val="131E29"/>
              </w:rPr>
              <w:t>(in thousands)</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131E29"/>
              </w:rPr>
              <w:t>As Reported</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131E29"/>
                <w:w w:val="98"/>
              </w:rPr>
              <w:t>Adjustments</w:t>
            </w:r>
          </w:p>
        </w:tc>
        <w:tc>
          <w:tcPr>
            <w:tcW w:w="3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131E29"/>
              </w:rPr>
              <w:t>As Corrected</w:t>
            </w:r>
          </w:p>
        </w:tc>
        <w:tc>
          <w:tcPr>
            <w:tcW w:w="0" w:type="dxa"/>
            <w:vAlign w:val="bottom"/>
          </w:tcPr>
          <w:p>
            <w:pPr>
              <w:spacing w:after="0"/>
              <w:rPr>
                <w:sz w:val="1"/>
                <w:szCs w:val="1"/>
                <w:color w:val="auto"/>
              </w:rPr>
            </w:pPr>
          </w:p>
        </w:tc>
      </w:tr>
      <w:tr>
        <w:trPr>
          <w:trHeight w:val="25"/>
        </w:trPr>
        <w:tc>
          <w:tcPr>
            <w:tcW w:w="5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D2DCE5"/>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D2DCE5"/>
            </w:tcBorders>
            <w:gridSpan w:val="5"/>
            <w:shd w:val="clear" w:color="auto" w:fill="D2DCE5"/>
          </w:tcPr>
          <w:p>
            <w:pPr>
              <w:ind w:left="20"/>
              <w:spacing w:after="0"/>
              <w:rPr>
                <w:sz w:val="20"/>
                <w:szCs w:val="20"/>
                <w:color w:val="auto"/>
              </w:rPr>
            </w:pPr>
            <w:r>
              <w:rPr>
                <w:rFonts w:ascii="Arial" w:cs="Arial" w:eastAsia="Arial" w:hAnsi="Arial"/>
                <w:sz w:val="18"/>
                <w:szCs w:val="18"/>
                <w:b w:val="1"/>
                <w:bCs w:val="1"/>
                <w:color w:val="131E29"/>
              </w:rPr>
              <w:t>Permanent equity: members’ deficit</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180"/>
              <w:spacing w:after="0"/>
              <w:rPr>
                <w:sz w:val="20"/>
                <w:szCs w:val="20"/>
                <w:color w:val="auto"/>
              </w:rPr>
            </w:pPr>
            <w:r>
              <w:rPr>
                <w:rFonts w:ascii="Arial" w:cs="Arial" w:eastAsia="Arial" w:hAnsi="Arial"/>
                <w:sz w:val="18"/>
                <w:szCs w:val="18"/>
                <w:color w:val="131E29"/>
              </w:rPr>
              <w:t>Balance, March 31, 2021</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(1,643,757)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131E29"/>
              </w:rPr>
              <w:t>2,282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131E29"/>
              </w:rPr>
              <w:t>(1,641,475)</w:t>
            </w:r>
          </w:p>
        </w:tc>
        <w:tc>
          <w:tcPr>
            <w:tcW w:w="0" w:type="dxa"/>
            <w:vAlign w:val="bottom"/>
          </w:tcPr>
          <w:p>
            <w:pPr>
              <w:spacing w:after="0"/>
              <w:rPr>
                <w:sz w:val="1"/>
                <w:szCs w:val="1"/>
                <w:color w:val="auto"/>
              </w:rPr>
            </w:pPr>
          </w:p>
        </w:tc>
      </w:tr>
      <w:tr>
        <w:trPr>
          <w:trHeight w:val="27"/>
        </w:trPr>
        <w:tc>
          <w:tcPr>
            <w:tcW w:w="5620" w:type="dxa"/>
            <w:vAlign w:val="bottom"/>
            <w:gridSpan w:val="5"/>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D2DCE5"/>
            </w:tcBorders>
            <w:gridSpan w:val="5"/>
            <w:shd w:val="clear" w:color="auto" w:fill="D2DCE5"/>
          </w:tcPr>
          <w:p>
            <w:pPr>
              <w:ind w:left="360"/>
              <w:spacing w:after="0"/>
              <w:rPr>
                <w:sz w:val="20"/>
                <w:szCs w:val="20"/>
                <w:color w:val="auto"/>
              </w:rPr>
            </w:pPr>
            <w:r>
              <w:rPr>
                <w:rFonts w:ascii="Arial" w:cs="Arial" w:eastAsia="Arial" w:hAnsi="Arial"/>
                <w:sz w:val="18"/>
                <w:szCs w:val="18"/>
                <w:color w:val="131E29"/>
              </w:rPr>
              <w:t>Net income</w:t>
            </w:r>
          </w:p>
        </w:tc>
        <w:tc>
          <w:tcPr>
            <w:tcW w:w="260" w:type="dxa"/>
            <w:vAlign w:val="bottom"/>
            <w:tcBorders>
              <w:bottom w:val="single" w:sz="8" w:color="D2DCE5"/>
            </w:tcBorders>
            <w:shd w:val="clear" w:color="auto" w:fill="D2DCE5"/>
          </w:tcPr>
          <w:p>
            <w:pPr>
              <w:spacing w:after="0"/>
              <w:rPr>
                <w:sz w:val="23"/>
                <w:szCs w:val="23"/>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11,446</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443</w:t>
            </w:r>
          </w:p>
        </w:tc>
        <w:tc>
          <w:tcPr>
            <w:tcW w:w="100" w:type="dxa"/>
            <w:vAlign w:val="bottom"/>
            <w:tcBorders>
              <w:bottom w:val="single" w:sz="8" w:color="D2DCE5"/>
            </w:tcBorders>
            <w:shd w:val="clear" w:color="auto" w:fill="D2DCE5"/>
          </w:tcPr>
          <w:p>
            <w:pPr>
              <w:spacing w:after="0"/>
              <w:rPr>
                <w:sz w:val="23"/>
                <w:szCs w:val="23"/>
                <w:color w:val="auto"/>
              </w:rPr>
            </w:pPr>
          </w:p>
        </w:tc>
        <w:tc>
          <w:tcPr>
            <w:tcW w:w="340" w:type="dxa"/>
            <w:vAlign w:val="bottom"/>
            <w:tcBorders>
              <w:bottom w:val="single" w:sz="8" w:color="D2DCE5"/>
            </w:tcBorders>
            <w:shd w:val="clear" w:color="auto" w:fill="D2DCE5"/>
          </w:tcPr>
          <w:p>
            <w:pPr>
              <w:spacing w:after="0"/>
              <w:rPr>
                <w:sz w:val="23"/>
                <w:szCs w:val="23"/>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11,889</w:t>
            </w:r>
          </w:p>
        </w:tc>
        <w:tc>
          <w:tcPr>
            <w:tcW w:w="0" w:type="dxa"/>
            <w:vAlign w:val="bottom"/>
          </w:tcPr>
          <w:p>
            <w:pPr>
              <w:spacing w:after="0"/>
              <w:rPr>
                <w:sz w:val="1"/>
                <w:szCs w:val="1"/>
                <w:color w:val="auto"/>
              </w:rPr>
            </w:pPr>
          </w:p>
        </w:tc>
      </w:tr>
      <w:tr>
        <w:trPr>
          <w:trHeight w:val="264"/>
        </w:trPr>
        <w:tc>
          <w:tcPr>
            <w:tcW w:w="5620" w:type="dxa"/>
            <w:vAlign w:val="bottom"/>
            <w:gridSpan w:val="5"/>
          </w:tcPr>
          <w:p>
            <w:pPr>
              <w:ind w:left="180"/>
              <w:spacing w:after="0"/>
              <w:rPr>
                <w:sz w:val="20"/>
                <w:szCs w:val="20"/>
                <w:color w:val="auto"/>
              </w:rPr>
            </w:pPr>
            <w:r>
              <w:rPr>
                <w:rFonts w:ascii="Arial" w:cs="Arial" w:eastAsia="Arial" w:hAnsi="Arial"/>
                <w:sz w:val="18"/>
                <w:szCs w:val="18"/>
                <w:color w:val="131E29"/>
              </w:rPr>
              <w:t>Balance, June 30, 2021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(1,837,901)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2,725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(1,835,176)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9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917"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00" w:type="dxa"/>
            <w:vAlign w:val="bottom"/>
            <w:gridSpan w:val="6"/>
          </w:tcPr>
          <w:p>
            <w:pPr>
              <w:jc w:val="center"/>
              <w:ind w:left="1110"/>
              <w:spacing w:after="0"/>
              <w:rPr>
                <w:sz w:val="20"/>
                <w:szCs w:val="20"/>
                <w:color w:val="auto"/>
              </w:rPr>
            </w:pPr>
            <w:r>
              <w:rPr>
                <w:rFonts w:ascii="Arial" w:cs="Arial" w:eastAsia="Arial" w:hAnsi="Arial"/>
                <w:sz w:val="18"/>
                <w:szCs w:val="18"/>
                <w:color w:val="131E29"/>
              </w:rPr>
              <w:t>Six Months Ended June 30, 2021</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3"/>
          </w:tcPr>
          <w:p>
            <w:pPr>
              <w:ind w:left="20"/>
              <w:spacing w:after="0"/>
              <w:rPr>
                <w:sz w:val="20"/>
                <w:szCs w:val="20"/>
                <w:color w:val="auto"/>
              </w:rPr>
            </w:pPr>
            <w:r>
              <w:rPr>
                <w:rFonts w:ascii="Arial" w:cs="Arial" w:eastAsia="Arial" w:hAnsi="Arial"/>
                <w:sz w:val="14"/>
                <w:szCs w:val="14"/>
                <w:color w:val="131E29"/>
              </w:rPr>
              <w:t>(in thousands)</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131E29"/>
              </w:rPr>
              <w:t>As Reported</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131E29"/>
                <w:w w:val="98"/>
              </w:rPr>
              <w:t>Adjustments</w:t>
            </w:r>
          </w:p>
        </w:tc>
        <w:tc>
          <w:tcPr>
            <w:tcW w:w="3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131E29"/>
              </w:rPr>
              <w:t>As Corrected</w:t>
            </w:r>
          </w:p>
        </w:tc>
        <w:tc>
          <w:tcPr>
            <w:tcW w:w="0" w:type="dxa"/>
            <w:vAlign w:val="bottom"/>
          </w:tcPr>
          <w:p>
            <w:pPr>
              <w:spacing w:after="0"/>
              <w:rPr>
                <w:sz w:val="1"/>
                <w:szCs w:val="1"/>
                <w:color w:val="auto"/>
              </w:rPr>
            </w:pPr>
          </w:p>
        </w:tc>
      </w:tr>
      <w:tr>
        <w:trPr>
          <w:trHeight w:val="26"/>
        </w:trPr>
        <w:tc>
          <w:tcPr>
            <w:tcW w:w="4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b w:val="1"/>
                <w:bCs w:val="1"/>
                <w:color w:val="131E29"/>
              </w:rPr>
              <w:t>Permanent equity: members’ deficit</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80"/>
              <w:spacing w:after="0"/>
              <w:rPr>
                <w:sz w:val="20"/>
                <w:szCs w:val="20"/>
                <w:color w:val="auto"/>
              </w:rPr>
            </w:pPr>
            <w:r>
              <w:rPr>
                <w:rFonts w:ascii="Arial" w:cs="Arial" w:eastAsia="Arial" w:hAnsi="Arial"/>
                <w:sz w:val="18"/>
                <w:szCs w:val="18"/>
                <w:color w:val="131E29"/>
              </w:rPr>
              <w:t>Balance, December 31, 2020</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(1,459,782)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Pr>
          <w:p>
            <w:pPr>
              <w:jc w:val="center"/>
              <w:ind w:left="830"/>
              <w:spacing w:after="0"/>
              <w:rPr>
                <w:sz w:val="20"/>
                <w:szCs w:val="20"/>
                <w:color w:val="auto"/>
              </w:rPr>
            </w:pPr>
            <w:r>
              <w:rPr>
                <w:rFonts w:ascii="Arial" w:cs="Arial" w:eastAsia="Arial" w:hAnsi="Arial"/>
                <w:sz w:val="18"/>
                <w:szCs w:val="18"/>
                <w:color w:val="131E29"/>
              </w:rPr>
              <w:t>1,497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131E29"/>
              </w:rPr>
              <w:t>(1,458,285)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D2DCE5"/>
            </w:tcBorders>
            <w:gridSpan w:val="3"/>
            <w:shd w:val="clear" w:color="auto" w:fill="D2DCE5"/>
          </w:tcPr>
          <w:p>
            <w:pPr>
              <w:ind w:left="360"/>
              <w:spacing w:after="0"/>
              <w:rPr>
                <w:sz w:val="20"/>
                <w:szCs w:val="20"/>
                <w:color w:val="auto"/>
              </w:rPr>
            </w:pPr>
            <w:r>
              <w:rPr>
                <w:rFonts w:ascii="Arial" w:cs="Arial" w:eastAsia="Arial" w:hAnsi="Arial"/>
                <w:sz w:val="18"/>
                <w:szCs w:val="18"/>
                <w:color w:val="131E29"/>
              </w:rPr>
              <w:t>Net income</w:t>
            </w:r>
          </w:p>
        </w:tc>
        <w:tc>
          <w:tcPr>
            <w:tcW w:w="260" w:type="dxa"/>
            <w:vAlign w:val="bottom"/>
            <w:tcBorders>
              <w:bottom w:val="single" w:sz="8" w:color="D2DCE5"/>
            </w:tcBorders>
            <w:shd w:val="clear" w:color="auto" w:fill="D2DCE5"/>
          </w:tcPr>
          <w:p>
            <w:pPr>
              <w:spacing w:after="0"/>
              <w:rPr>
                <w:sz w:val="23"/>
                <w:szCs w:val="23"/>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5,839</w:t>
            </w:r>
          </w:p>
        </w:tc>
        <w:tc>
          <w:tcPr>
            <w:tcW w:w="8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540" w:type="dxa"/>
            <w:vAlign w:val="bottom"/>
            <w:tcBorders>
              <w:bottom w:val="single" w:sz="8" w:color="D2DCE5"/>
            </w:tcBorders>
            <w:shd w:val="clear" w:color="auto" w:fill="D2DCE5"/>
          </w:tcPr>
          <w:p>
            <w:pPr>
              <w:jc w:val="center"/>
              <w:ind w:left="830"/>
              <w:spacing w:after="0"/>
              <w:rPr>
                <w:sz w:val="20"/>
                <w:szCs w:val="20"/>
                <w:color w:val="auto"/>
              </w:rPr>
            </w:pPr>
            <w:r>
              <w:rPr>
                <w:rFonts w:ascii="Arial" w:cs="Arial" w:eastAsia="Arial" w:hAnsi="Arial"/>
                <w:sz w:val="18"/>
                <w:szCs w:val="18"/>
                <w:color w:val="131E29"/>
              </w:rPr>
              <w:t>1,228</w:t>
            </w:r>
          </w:p>
        </w:tc>
        <w:tc>
          <w:tcPr>
            <w:tcW w:w="100" w:type="dxa"/>
            <w:vAlign w:val="bottom"/>
            <w:tcBorders>
              <w:bottom w:val="single" w:sz="8" w:color="D2DCE5"/>
            </w:tcBorders>
            <w:shd w:val="clear" w:color="auto" w:fill="D2DCE5"/>
          </w:tcPr>
          <w:p>
            <w:pPr>
              <w:spacing w:after="0"/>
              <w:rPr>
                <w:sz w:val="23"/>
                <w:szCs w:val="23"/>
                <w:color w:val="auto"/>
              </w:rPr>
            </w:pPr>
          </w:p>
        </w:tc>
        <w:tc>
          <w:tcPr>
            <w:tcW w:w="340" w:type="dxa"/>
            <w:vAlign w:val="bottom"/>
            <w:tcBorders>
              <w:bottom w:val="single" w:sz="8" w:color="D2DCE5"/>
            </w:tcBorders>
            <w:shd w:val="clear" w:color="auto" w:fill="D2DCE5"/>
          </w:tcPr>
          <w:p>
            <w:pPr>
              <w:spacing w:after="0"/>
              <w:rPr>
                <w:sz w:val="23"/>
                <w:szCs w:val="23"/>
                <w:color w:val="auto"/>
              </w:rPr>
            </w:pP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63"/>
        </w:trPr>
        <w:tc>
          <w:tcPr>
            <w:tcW w:w="5620" w:type="dxa"/>
            <w:vAlign w:val="bottom"/>
            <w:gridSpan w:val="3"/>
          </w:tcPr>
          <w:p>
            <w:pPr>
              <w:ind w:left="180"/>
              <w:spacing w:after="0"/>
              <w:rPr>
                <w:sz w:val="20"/>
                <w:szCs w:val="20"/>
                <w:color w:val="auto"/>
              </w:rPr>
            </w:pPr>
            <w:r>
              <w:rPr>
                <w:rFonts w:ascii="Arial" w:cs="Arial" w:eastAsia="Arial" w:hAnsi="Arial"/>
                <w:sz w:val="18"/>
                <w:szCs w:val="18"/>
                <w:color w:val="131E29"/>
              </w:rPr>
              <w:t>Balance, June 30, 2021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(1,837,901)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Borders>
              <w:top w:val="single" w:sz="8" w:color="auto"/>
              <w:bottom w:val="single" w:sz="8" w:color="auto"/>
            </w:tcBorders>
          </w:tcPr>
          <w:p>
            <w:pPr>
              <w:jc w:val="center"/>
              <w:ind w:left="830"/>
              <w:spacing w:after="0"/>
              <w:rPr>
                <w:sz w:val="20"/>
                <w:szCs w:val="20"/>
                <w:color w:val="auto"/>
              </w:rPr>
            </w:pPr>
            <w:r>
              <w:rPr>
                <w:rFonts w:ascii="Arial" w:cs="Arial" w:eastAsia="Arial" w:hAnsi="Arial"/>
                <w:sz w:val="18"/>
                <w:szCs w:val="18"/>
                <w:color w:val="131E29"/>
              </w:rPr>
              <w:t>2,725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(1,835,176)</w:t>
            </w:r>
          </w:p>
        </w:tc>
        <w:tc>
          <w:tcPr>
            <w:tcW w:w="0" w:type="dxa"/>
            <w:vAlign w:val="bottom"/>
          </w:tcPr>
          <w:p>
            <w:pPr>
              <w:spacing w:after="0"/>
              <w:rPr>
                <w:sz w:val="1"/>
                <w:szCs w:val="1"/>
                <w:color w:val="auto"/>
              </w:rPr>
            </w:pPr>
          </w:p>
        </w:tc>
      </w:tr>
      <w:tr>
        <w:trPr>
          <w:trHeight w:val="21"/>
        </w:trPr>
        <w:tc>
          <w:tcPr>
            <w:tcW w:w="5620" w:type="dxa"/>
            <w:vAlign w:val="bottom"/>
            <w:gridSpan w:val="3"/>
            <w:vMerge w:val="restart"/>
          </w:tcPr>
          <w:p>
            <w:pPr>
              <w:spacing w:after="0"/>
              <w:rPr>
                <w:sz w:val="20"/>
                <w:szCs w:val="20"/>
                <w:color w:val="auto"/>
              </w:rPr>
            </w:pPr>
            <w:r>
              <w:rPr>
                <w:rFonts w:ascii="Arial" w:cs="Arial" w:eastAsia="Arial" w:hAnsi="Arial"/>
                <w:sz w:val="18"/>
                <w:szCs w:val="18"/>
                <w:color w:val="006098"/>
              </w:rPr>
              <w:t>Condensed Consolidated Statement of Cash Flows:</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6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40" w:type="dxa"/>
            <w:vAlign w:val="bottom"/>
            <w:tcBorders>
              <w:top w:val="single" w:sz="8" w:color="006098"/>
            </w:tcBorders>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6"/>
          </w:tcPr>
          <w:p>
            <w:pPr>
              <w:jc w:val="center"/>
              <w:ind w:left="1110"/>
              <w:spacing w:after="0"/>
              <w:rPr>
                <w:sz w:val="20"/>
                <w:szCs w:val="20"/>
                <w:color w:val="auto"/>
              </w:rPr>
            </w:pPr>
            <w:r>
              <w:rPr>
                <w:rFonts w:ascii="Arial" w:cs="Arial" w:eastAsia="Arial" w:hAnsi="Arial"/>
                <w:sz w:val="18"/>
                <w:szCs w:val="18"/>
                <w:color w:val="131E29"/>
              </w:rPr>
              <w:t>Six Months Ended June 30, 2021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gridSpan w:val="3"/>
          </w:tcPr>
          <w:p>
            <w:pPr>
              <w:ind w:left="20"/>
              <w:spacing w:after="0"/>
              <w:rPr>
                <w:sz w:val="20"/>
                <w:szCs w:val="20"/>
                <w:color w:val="auto"/>
              </w:rPr>
            </w:pPr>
            <w:r>
              <w:rPr>
                <w:rFonts w:ascii="Arial" w:cs="Arial" w:eastAsia="Arial" w:hAnsi="Arial"/>
                <w:sz w:val="14"/>
                <w:szCs w:val="14"/>
                <w:color w:val="131E29"/>
              </w:rPr>
              <w:t>(in thousands)</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131E29"/>
              </w:rPr>
              <w:t>As Reported</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131E29"/>
                <w:w w:val="98"/>
              </w:rPr>
              <w:t>Adjustments</w:t>
            </w:r>
          </w:p>
        </w:tc>
        <w:tc>
          <w:tcPr>
            <w:tcW w:w="34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131E29"/>
              </w:rPr>
              <w:t>As Corrected</w:t>
            </w:r>
          </w:p>
        </w:tc>
        <w:tc>
          <w:tcPr>
            <w:tcW w:w="0" w:type="dxa"/>
            <w:vAlign w:val="bottom"/>
          </w:tcPr>
          <w:p>
            <w:pPr>
              <w:spacing w:after="0"/>
              <w:rPr>
                <w:sz w:val="1"/>
                <w:szCs w:val="1"/>
                <w:color w:val="auto"/>
              </w:rPr>
            </w:pPr>
          </w:p>
        </w:tc>
      </w:tr>
      <w:tr>
        <w:trPr>
          <w:trHeight w:val="26"/>
        </w:trPr>
        <w:tc>
          <w:tcPr>
            <w:tcW w:w="5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Cash flows from operating activities:</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80"/>
              <w:spacing w:after="0"/>
              <w:rPr>
                <w:sz w:val="20"/>
                <w:szCs w:val="20"/>
                <w:color w:val="auto"/>
              </w:rPr>
            </w:pPr>
            <w:r>
              <w:rPr>
                <w:rFonts w:ascii="Arial" w:cs="Arial" w:eastAsia="Arial" w:hAnsi="Arial"/>
                <w:sz w:val="18"/>
                <w:szCs w:val="18"/>
                <w:color w:val="131E29"/>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131E29"/>
              </w:rPr>
              <w:t>5,839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540" w:type="dxa"/>
            <w:vAlign w:val="bottom"/>
          </w:tcPr>
          <w:p>
            <w:pPr>
              <w:jc w:val="center"/>
              <w:ind w:left="830"/>
              <w:spacing w:after="0"/>
              <w:rPr>
                <w:sz w:val="20"/>
                <w:szCs w:val="20"/>
                <w:color w:val="auto"/>
              </w:rPr>
            </w:pPr>
            <w:r>
              <w:rPr>
                <w:rFonts w:ascii="Arial" w:cs="Arial" w:eastAsia="Arial" w:hAnsi="Arial"/>
                <w:sz w:val="18"/>
                <w:szCs w:val="18"/>
                <w:color w:val="131E29"/>
              </w:rPr>
              <w:t>1,228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131E29"/>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27"/>
        </w:trPr>
        <w:tc>
          <w:tcPr>
            <w:tcW w:w="56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Changes in operating assets and liabilities, net of acquisitions:</w:t>
            </w:r>
          </w:p>
        </w:tc>
        <w:tc>
          <w:tcPr>
            <w:tcW w:w="26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46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80"/>
              <w:spacing w:after="0"/>
              <w:rPr>
                <w:sz w:val="20"/>
                <w:szCs w:val="20"/>
                <w:color w:val="auto"/>
              </w:rPr>
            </w:pPr>
            <w:r>
              <w:rPr>
                <w:rFonts w:ascii="Arial" w:cs="Arial" w:eastAsia="Arial" w:hAnsi="Arial"/>
                <w:sz w:val="18"/>
                <w:szCs w:val="18"/>
                <w:color w:val="131E29"/>
              </w:rPr>
              <w:t>Accrued expenses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6,496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center"/>
              <w:ind w:left="810"/>
              <w:spacing w:after="0"/>
              <w:rPr>
                <w:sz w:val="20"/>
                <w:szCs w:val="20"/>
                <w:color w:val="auto"/>
              </w:rPr>
            </w:pPr>
            <w:r>
              <w:rPr>
                <w:rFonts w:ascii="Arial" w:cs="Arial" w:eastAsia="Arial" w:hAnsi="Arial"/>
                <w:sz w:val="18"/>
                <w:szCs w:val="18"/>
                <w:color w:val="131E29"/>
                <w:w w:val="98"/>
              </w:rPr>
              <w:t>(1,228)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31E29"/>
              </w:rPr>
              <w:t>5,268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Principles of Consolidation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condensed consolidated financial statements include the accounts of the Company and its subsidiaries that it controls due to ownership of a majority voting interest or pursuant to accounting guidance for non-controlling interests. All intercompany transactions and balances have been eliminated in consolidation.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 of Estimates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presentation of condensed consolidated financial statements in conformity with GAAP requires management to make estimates and assumptions, primarily related to long-lived asset valuation, leases, deferred revenue, tax receivable agreements, income taxes, and equity-based compensation that affect the reported amounts of assets and liabilities and disclosure of contingent assets and liabilities at the date of the condensed consolidated financial statements and the reported amounts of revenues and expenses during the reporting period. Although management bases its estimates on historical experience and assumptions that are believed to be reasonable under the circumstances,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Reclassifications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Company has reclassified certain amounts in prior-period financial statements to conform to the current period's presentation. On the condensed consolidated statements of cash flows, deferred income tax assets have been reclassified from other long-term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Derivative Instruments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manages exposure to fluctuations in interest rates within its condensed consolidated financial statements according to a hedging policy. Under this policy, the Company may engage in interest rate swap agreements to hedge interest rate risk. A swap agreement is a contract between two parties to exchange cash flows based on specified underlying notional amounts, assets and/or indices. The Company does not enter into derivative instruments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By using swap instruments, the Company is exposed to potential credit risk. Credit risk is the failure of the counterparty to perform under the terms of the derivative contract. The Company minimizes this credit risk by entering into transactions with carefully selected, credit-worthy counterparties.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6098"/>
        </w:rPr>
        <w:t>Cash Flow Hedges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For derivative instruments that are designated and qualify as a cash flow hedge, the derivative's gain or loss is reported as a component of other comprehensive income (OCI) and recorded in accumulated other comprehensive income (AOCI) on our condensed consolidated balance sheets. The gain or loss is subsequently reclassified into net earnings when the hedged exposure affects net earnings, in the same line item as the underlying hedged item on the Company’s condensed consolidated statements of operations.</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Refer to NOTE 11 — Derivative Financial Instruments for further discussion of the Company’s 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Leases</w:t>
      </w:r>
    </w:p>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131E29"/>
        </w:rPr>
        <w:t xml:space="preserve">The Company adopted ASC Topic 842 (ASC 842), </w:t>
      </w:r>
      <w:r>
        <w:rPr>
          <w:rFonts w:ascii="Arial" w:cs="Arial" w:eastAsia="Arial" w:hAnsi="Arial"/>
          <w:sz w:val="18"/>
          <w:szCs w:val="18"/>
          <w:i w:val="1"/>
          <w:iCs w:val="1"/>
          <w:color w:val="131E29"/>
        </w:rPr>
        <w:t>Leases</w:t>
      </w:r>
      <w:r>
        <w:rPr>
          <w:rFonts w:ascii="Arial" w:cs="Arial" w:eastAsia="Arial" w:hAnsi="Arial"/>
          <w:sz w:val="18"/>
          <w:szCs w:val="18"/>
          <w:color w:val="131E29"/>
        </w:rPr>
        <w:t>, as amended, with an effective date of January 1, 2022. Details of the adoption and the Company’s accounting policies related to leases are provided in NOTE 8 — 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Revenue Recognition</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 xml:space="preserve">Consolidated revenues are recognized net of any discounts, returns, allowances and sales incentives in accordance with Accounting Standard Codification (ASC) Topic 606, </w:t>
      </w:r>
      <w:r>
        <w:rPr>
          <w:rFonts w:ascii="Arial" w:cs="Arial" w:eastAsia="Arial" w:hAnsi="Arial"/>
          <w:sz w:val="18"/>
          <w:szCs w:val="18"/>
          <w:i w:val="1"/>
          <w:iCs w:val="1"/>
          <w:color w:val="131E29"/>
        </w:rPr>
        <w:t>Revenue from Contracts with Customers</w:t>
      </w:r>
      <w:r>
        <w:rPr>
          <w:rFonts w:ascii="Arial" w:cs="Arial" w:eastAsia="Arial" w:hAnsi="Arial"/>
          <w:sz w:val="18"/>
          <w:szCs w:val="18"/>
          <w:color w:val="131E29"/>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06098"/>
        </w:rPr>
        <w:t>Loyalty Programs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In February 2021, the Company transitioned from a traditional loyalty program to a digital loyalty program. Under the previous program, a customer earned a “Stamp” for each purchase at a Dutch Bros coffee shop. After accumulating a certain number of Stamps, the customer earned a reward that may be redeemed for free product that, regardless of where the related Stamps were earned, would have been honored at company-operated shops and franchised shop locations. The Company deferred revenue associated with the estimated selling price of Stamps earned by customers towards free product as each Stamp was earned, and a corresponding contract liability was established. The estimated selling price of each Stamp earned was based on the estimated value of the product for which the reward was expected to be redeemed, net of Stamps not expected to be redeemed, based on historical redemption patterns. Stamps did not expire. As a result of the COVID-19 pandemic beginning in March 2020, the Company discontinued new Stamps. The Company continued to redeem previously earned Stamps through March 2021. In February 2021, the Company released the digital loyalty program (Dutch Rewards) in which the customer earns rewards through use of the Company’s mobile app that can be redeemed for free drinks. Points collected but not redeemed expire after six months, and earned rewards expire six months after issuance. The Company defers revenue as points are accumulated and rewards are earned under the Dutch Rewards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06098"/>
        </w:rPr>
        <w:t>Deferred Revenue</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Deferred revenue primarily consists of the unredeemed gift card liability and unredeemed points from our Dutch Rewards loyalty program, as discussed above. Deferred revenue also includes bean and beverage sales to distributors where the performance obligation has not yet been satisfied as control has not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Vendor Incentives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Company has entered into food and beverage supply agreements with certain major vendors. Pursuant to the terms of these arrangements, rebates are provided to the Company from the vendors based upon the dollar value of purchases for company-operated shops and franchised shops. These incentives are recognized as earned throughout the year and are classified as a reduction of cost of sales in the accompanying condensed consolidated statements of operations. Vendor incentives recognized in cost of sales were as follows for the periods presented: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Vendor incentives</w:t>
            </w:r>
          </w:p>
        </w:tc>
        <w:tc>
          <w:tcPr>
            <w:tcW w:w="300" w:type="dxa"/>
            <w:vAlign w:val="bottom"/>
            <w:tcBorders>
              <w:bottom w:val="single" w:sz="8" w:color="131E29"/>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9,886</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131E29"/>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9,486</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18,892</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18,763</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131E29"/>
            </w:tcBorders>
          </w:tcPr>
          <w:p>
            <w:pPr>
              <w:spacing w:after="0" w:line="20" w:lineRule="exact"/>
              <w:rPr>
                <w:sz w:val="1"/>
                <w:szCs w:val="1"/>
                <w:color w:val="auto"/>
              </w:rPr>
            </w:pPr>
          </w:p>
        </w:tc>
        <w:tc>
          <w:tcPr>
            <w:tcW w:w="1020" w:type="dxa"/>
            <w:vAlign w:val="bottom"/>
            <w:tcBorders>
              <w:top w:val="single" w:sz="8" w:color="D2DCE5"/>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131E29"/>
            </w:tcBorders>
          </w:tcPr>
          <w:p>
            <w:pPr>
              <w:spacing w:after="0" w:line="20" w:lineRule="exact"/>
              <w:rPr>
                <w:sz w:val="1"/>
                <w:szCs w:val="1"/>
                <w:color w:val="auto"/>
              </w:rPr>
            </w:pPr>
          </w:p>
        </w:tc>
        <w:tc>
          <w:tcPr>
            <w:tcW w:w="1020" w:type="dxa"/>
            <w:vAlign w:val="bottom"/>
            <w:tcBorders>
              <w:top w:val="single" w:sz="8" w:color="D2DCE5"/>
              <w:bottom w:val="single" w:sz="8" w:color="131E29"/>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Advertising Expense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Advertising costs are expensed as they are incurred. Most franchise shops contribute to an advertising fund that the Company manages on behalf of the shops. Under the Company’s standard franchise agreement, the contributions received must be spent on marketing, creative efforts, media support, or other related purposes specified in the agreement. The expenditures are primarily amounts paid to third parties but may also include personnel expenses and allocated costs. Advertising expense was as follows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Advertising expense</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7,058</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6,429</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14,682</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12,346</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Issued Accounting Standards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June 2016, the Financial Accounting Standards Board (FASB) issued Accounting Standards Update (ASU) No. 2016-13, </w:t>
      </w:r>
      <w:r>
        <w:rPr>
          <w:rFonts w:ascii="Arial" w:cs="Arial" w:eastAsia="Arial" w:hAnsi="Arial"/>
          <w:sz w:val="18"/>
          <w:szCs w:val="18"/>
          <w:i w:val="1"/>
          <w:iCs w:val="1"/>
          <w:color w:val="131E29"/>
        </w:rPr>
        <w:t>Financial</w:t>
      </w:r>
      <w:r>
        <w:rPr>
          <w:rFonts w:ascii="Arial" w:cs="Arial" w:eastAsia="Arial" w:hAnsi="Arial"/>
          <w:sz w:val="18"/>
          <w:szCs w:val="18"/>
          <w:color w:val="131E29"/>
        </w:rPr>
        <w:t xml:space="preserve"> </w:t>
      </w:r>
      <w:r>
        <w:rPr>
          <w:rFonts w:ascii="Arial" w:cs="Arial" w:eastAsia="Arial" w:hAnsi="Arial"/>
          <w:sz w:val="18"/>
          <w:szCs w:val="18"/>
          <w:i w:val="1"/>
          <w:iCs w:val="1"/>
          <w:color w:val="131E29"/>
        </w:rPr>
        <w:t>Instruments—Credit Losses (Topic 326)</w:t>
      </w:r>
      <w:r>
        <w:rPr>
          <w:rFonts w:ascii="Arial" w:cs="Arial" w:eastAsia="Arial" w:hAnsi="Arial"/>
          <w:sz w:val="18"/>
          <w:szCs w:val="18"/>
          <w:color w:val="131E29"/>
        </w:rPr>
        <w:t>:</w:t>
      </w:r>
      <w:r>
        <w:rPr>
          <w:rFonts w:ascii="Arial" w:cs="Arial" w:eastAsia="Arial" w:hAnsi="Arial"/>
          <w:sz w:val="18"/>
          <w:szCs w:val="18"/>
          <w:i w:val="1"/>
          <w:iCs w:val="1"/>
          <w:color w:val="131E29"/>
        </w:rPr>
        <w:t xml:space="preserve"> Measurement of Credit Losses on Financial Instruments</w:t>
      </w:r>
      <w:r>
        <w:rPr>
          <w:rFonts w:ascii="Arial" w:cs="Arial" w:eastAsia="Arial" w:hAnsi="Arial"/>
          <w:sz w:val="18"/>
          <w:szCs w:val="18"/>
          <w:color w:val="131E29"/>
        </w:rPr>
        <w:t>. ASU 2016-13, as amended, replaces the</w:t>
      </w:r>
      <w:r>
        <w:rPr>
          <w:rFonts w:ascii="Arial" w:cs="Arial" w:eastAsia="Arial" w:hAnsi="Arial"/>
          <w:sz w:val="18"/>
          <w:szCs w:val="18"/>
          <w:i w:val="1"/>
          <w:iCs w:val="1"/>
          <w:color w:val="131E29"/>
        </w:rPr>
        <w:t xml:space="preserve"> </w:t>
      </w:r>
      <w:r>
        <w:rPr>
          <w:rFonts w:ascii="Arial" w:cs="Arial" w:eastAsia="Arial" w:hAnsi="Arial"/>
          <w:sz w:val="18"/>
          <w:szCs w:val="18"/>
          <w:color w:val="131E29"/>
        </w:rPr>
        <w:t>incurred loss impairment methodology in current GAAP with a methodology that reflects expected credit losses and requires consideration of a broader range of reasonable and supportable information to inform credit loss estimates. For accounts receivable and other financial instruments, the Company will be required to use a forward-looking expected loss model rather than the incurred loss model for recognizing credit losses which reflects losses that are probable. ASU 2016-13, as amended, is effective for fiscal years beginning after December 15, 2022. Application of the amendments is through a cumulative-effect adjustment to retained earnings as of the effective date. The Company is evaluating the impact of this standard on its condensed consolidated financial statements.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131E29"/>
        </w:rPr>
        <w:t xml:space="preserve">In October 2021, the FASB issued ASU No. 2021-08, </w:t>
      </w:r>
      <w:r>
        <w:rPr>
          <w:rFonts w:ascii="Arial" w:cs="Arial" w:eastAsia="Arial" w:hAnsi="Arial"/>
          <w:sz w:val="18"/>
          <w:szCs w:val="18"/>
          <w:i w:val="1"/>
          <w:iCs w:val="1"/>
          <w:color w:val="131E29"/>
        </w:rPr>
        <w:t>Business Combinations (Topic 805): Accounting for Contract Assets and Contract</w:t>
      </w:r>
      <w:r>
        <w:rPr>
          <w:rFonts w:ascii="Arial" w:cs="Arial" w:eastAsia="Arial" w:hAnsi="Arial"/>
          <w:sz w:val="18"/>
          <w:szCs w:val="18"/>
          <w:color w:val="131E29"/>
        </w:rPr>
        <w:t xml:space="preserve"> </w:t>
      </w:r>
      <w:r>
        <w:rPr>
          <w:rFonts w:ascii="Arial" w:cs="Arial" w:eastAsia="Arial" w:hAnsi="Arial"/>
          <w:sz w:val="18"/>
          <w:szCs w:val="18"/>
          <w:i w:val="1"/>
          <w:iCs w:val="1"/>
          <w:color w:val="131E29"/>
        </w:rPr>
        <w:t>Liabilities from Contracts with Customers</w:t>
      </w:r>
      <w:r>
        <w:rPr>
          <w:rFonts w:ascii="Arial" w:cs="Arial" w:eastAsia="Arial" w:hAnsi="Arial"/>
          <w:sz w:val="18"/>
          <w:szCs w:val="18"/>
          <w:color w:val="131E29"/>
        </w:rPr>
        <w:t>. The amendments in this update provide specific guidance to address diversity in practice related to</w:t>
      </w:r>
    </w:p>
    <w:p>
      <w:pPr>
        <w:spacing w:after="0" w:line="2" w:lineRule="exact"/>
        <w:rPr>
          <w:sz w:val="20"/>
          <w:szCs w:val="20"/>
          <w:color w:val="auto"/>
        </w:rPr>
      </w:pPr>
    </w:p>
    <w:p>
      <w:pPr>
        <w:jc w:val="both"/>
        <w:ind w:firstLine="8"/>
        <w:spacing w:after="0" w:line="254" w:lineRule="auto"/>
        <w:tabs>
          <w:tab w:leader="none" w:pos="286" w:val="left"/>
        </w:tabs>
        <w:numPr>
          <w:ilvl w:val="0"/>
          <w:numId w:val="7"/>
        </w:numPr>
        <w:rPr>
          <w:rFonts w:ascii="Arial" w:cs="Arial" w:eastAsia="Arial" w:hAnsi="Arial"/>
          <w:sz w:val="18"/>
          <w:szCs w:val="18"/>
          <w:color w:val="131E29"/>
        </w:rPr>
      </w:pPr>
      <w:r>
        <w:rPr>
          <w:rFonts w:ascii="Arial" w:cs="Arial" w:eastAsia="Arial" w:hAnsi="Arial"/>
          <w:sz w:val="18"/>
          <w:szCs w:val="18"/>
          <w:color w:val="131E29"/>
        </w:rPr>
        <w:t>recognition of an acquired contract liability, and (2) payment terms and their effect on subsequent revenue recognized by the acquirer. The amendments in ASU 2021-08 are applied on a prospective basis, and are effective for fiscal years beginning after December 15, 2023, including interim periods within those fiscal years. Early adoption is permitted. The Company is evaluating the impact of this standard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Adopted Accounting Standards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 xml:space="preserve">In February 2016, the FASB issued ASU No. 2016-02, </w:t>
      </w:r>
      <w:r>
        <w:rPr>
          <w:rFonts w:ascii="Arial" w:cs="Arial" w:eastAsia="Arial" w:hAnsi="Arial"/>
          <w:sz w:val="18"/>
          <w:szCs w:val="18"/>
          <w:i w:val="1"/>
          <w:iCs w:val="1"/>
          <w:color w:val="131E29"/>
        </w:rPr>
        <w:t>Leases (Topic 842</w:t>
      </w:r>
      <w:r>
        <w:rPr>
          <w:rFonts w:ascii="Arial" w:cs="Arial" w:eastAsia="Arial" w:hAnsi="Arial"/>
          <w:sz w:val="18"/>
          <w:szCs w:val="18"/>
          <w:color w:val="131E29"/>
        </w:rPr>
        <w:t>). The pronouncement requires lessees to recognize a liability for lease obligations, which represent the discounted obligation to make future lease payments, and a corresponding right-of-use asset on the balance sheet, as well as new disclosure requirements. The Company adopted Topic 842 effective January 1, 2022 using the modified transition approach. For additional information, refer to NOTE 8 — Leases.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3 — Revenue Recognition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Revenue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gridSpan w:val="2"/>
          </w:tcPr>
          <w:p>
            <w:pPr>
              <w:spacing w:after="0"/>
              <w:rPr>
                <w:sz w:val="20"/>
                <w:szCs w:val="20"/>
                <w:color w:val="auto"/>
              </w:rPr>
            </w:pPr>
            <w:r>
              <w:rPr>
                <w:rFonts w:ascii="Arial" w:cs="Arial" w:eastAsia="Arial" w:hAnsi="Arial"/>
                <w:sz w:val="18"/>
                <w:szCs w:val="18"/>
                <w:color w:val="131E29"/>
              </w:rPr>
              <w:t>The following table disaggregates revenue by major component: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2"/>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4"/>
                <w:szCs w:val="24"/>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w:t>
            </w: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160,512</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102,970</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290,699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180,887</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Franchising</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24,453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25,387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45,226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45,193</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1,416</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851</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2,612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1,913</w:t>
            </w:r>
          </w:p>
        </w:tc>
      </w:tr>
      <w:tr>
        <w:trPr>
          <w:trHeight w:val="263"/>
        </w:trPr>
        <w:tc>
          <w:tcPr>
            <w:tcW w:w="5660" w:type="dxa"/>
            <w:vAlign w:val="bottom"/>
            <w:gridSpan w:val="2"/>
          </w:tcPr>
          <w:p>
            <w:pPr>
              <w:ind w:left="140"/>
              <w:spacing w:after="0"/>
              <w:rPr>
                <w:sz w:val="20"/>
                <w:szCs w:val="20"/>
                <w:color w:val="auto"/>
              </w:rPr>
            </w:pPr>
            <w:r>
              <w:rPr>
                <w:rFonts w:ascii="Arial" w:cs="Arial" w:eastAsia="Arial" w:hAnsi="Arial"/>
                <w:sz w:val="18"/>
                <w:szCs w:val="18"/>
                <w:color w:val="131E29"/>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129,208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338,537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227,993</w:t>
            </w: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Deferred revenue activity related to the Company’s loyalty and gift card programs was as follows:</w:t>
      </w:r>
    </w:p>
    <w:p>
      <w:pPr>
        <w:spacing w:after="0" w:line="20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37465</wp:posOffset>
            </wp:positionV>
            <wp:extent cx="1757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5"/>
        </w:trPr>
        <w:tc>
          <w:tcPr>
            <w:tcW w:w="83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22,765</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10,576</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Revenue deferred - gift card activations, loyalty app loads, and loyalty points and rewards earned</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118,685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72,932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 recognized - gift card, loyalty app, and loyalty rewards redemptions, and breakage</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(115,010)</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(69,882)</w:t>
            </w: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131E29"/>
              </w:rPr>
              <w:t>Balance, June 30</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26,440</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13,626</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current portion</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(23,750)</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(11,393)</w:t>
            </w:r>
          </w:p>
        </w:tc>
      </w:tr>
      <w:tr>
        <w:trPr>
          <w:trHeight w:val="263"/>
        </w:trPr>
        <w:tc>
          <w:tcPr>
            <w:tcW w:w="8480" w:type="dxa"/>
            <w:vAlign w:val="bottom"/>
            <w:gridSpan w:val="2"/>
          </w:tcPr>
          <w:p>
            <w:pPr>
              <w:ind w:left="140"/>
              <w:spacing w:after="0"/>
              <w:rPr>
                <w:sz w:val="20"/>
                <w:szCs w:val="20"/>
                <w:color w:val="auto"/>
              </w:rPr>
            </w:pPr>
            <w:r>
              <w:rPr>
                <w:rFonts w:ascii="Arial" w:cs="Arial" w:eastAsia="Arial" w:hAnsi="Arial"/>
                <w:sz w:val="18"/>
                <w:szCs w:val="18"/>
                <w:color w:val="131E29"/>
              </w:rPr>
              <w:t>Deferred revenue, net of current portion, gift card and loyalty programs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2,690</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2,233</w:t>
            </w: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Revenue recognized related to gift card redemptions that was included in deferred revenue as of the end of the previous years was $3.1 million and $3.2 million for the six months ended June 30, 2022 and 2021, respectively. These amounts exclude cash loads and transactions for the Company’s loyalty rewards program.</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Deferred revenue also includes sales to distributors where the performance obligation has not been satisfied and control has not been transferred to the customer as of the reporting date, as well as initial unearned franchise fees from franchisees. These deferred revenues reported in the Company’s condensed consolidated balance sheets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8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131E29"/>
              </w:rPr>
              <w:t>June 30, 2022</w:t>
            </w: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131E29"/>
              </w:rPr>
              <w:t>December 31, 2021</w:t>
            </w:r>
          </w:p>
        </w:tc>
      </w:tr>
      <w:tr>
        <w:trPr>
          <w:trHeight w:val="26"/>
        </w:trPr>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142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Outstanding performance obligations</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1420" w:type="dxa"/>
            <w:vAlign w:val="bottom"/>
            <w:tcBorders>
              <w:bottom w:val="single" w:sz="8" w:color="D2DCE5"/>
            </w:tcBorders>
            <w:shd w:val="clear" w:color="auto" w:fill="D2DCE5"/>
          </w:tcPr>
          <w:p>
            <w:pPr>
              <w:jc w:val="center"/>
              <w:ind w:left="710"/>
              <w:spacing w:after="0"/>
              <w:rPr>
                <w:sz w:val="20"/>
                <w:szCs w:val="20"/>
                <w:color w:val="auto"/>
              </w:rPr>
            </w:pPr>
            <w:r>
              <w:rPr>
                <w:rFonts w:ascii="Arial" w:cs="Arial" w:eastAsia="Arial" w:hAnsi="Arial"/>
                <w:sz w:val="18"/>
                <w:szCs w:val="18"/>
                <w:color w:val="131E29"/>
              </w:rPr>
              <w:t>2,784</w:t>
            </w:r>
          </w:p>
        </w:tc>
        <w:tc>
          <w:tcPr>
            <w:tcW w:w="8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jc w:val="right"/>
              <w:ind w:right="41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2,512</w:t>
            </w:r>
          </w:p>
        </w:tc>
      </w:tr>
      <w:tr>
        <w:trPr>
          <w:trHeight w:val="243"/>
        </w:trPr>
        <w:tc>
          <w:tcPr>
            <w:tcW w:w="7860" w:type="dxa"/>
            <w:vAlign w:val="bottom"/>
            <w:gridSpan w:val="2"/>
          </w:tcPr>
          <w:p>
            <w:pPr>
              <w:ind w:left="20"/>
              <w:spacing w:after="0"/>
              <w:rPr>
                <w:sz w:val="20"/>
                <w:szCs w:val="20"/>
                <w:color w:val="auto"/>
              </w:rPr>
            </w:pPr>
            <w:r>
              <w:rPr>
                <w:rFonts w:ascii="Arial" w:cs="Arial" w:eastAsia="Arial" w:hAnsi="Arial"/>
                <w:sz w:val="18"/>
                <w:szCs w:val="18"/>
                <w:color w:val="131E29"/>
              </w:rPr>
              <w:t>Initial unearned franchise fees from franchisees</w:t>
            </w:r>
          </w:p>
        </w:tc>
        <w:tc>
          <w:tcPr>
            <w:tcW w:w="160" w:type="dxa"/>
            <w:vAlign w:val="bottom"/>
          </w:tcPr>
          <w:p>
            <w:pPr>
              <w:spacing w:after="0"/>
              <w:rPr>
                <w:sz w:val="21"/>
                <w:szCs w:val="21"/>
                <w:color w:val="auto"/>
              </w:rPr>
            </w:pPr>
          </w:p>
        </w:tc>
        <w:tc>
          <w:tcPr>
            <w:tcW w:w="1420" w:type="dxa"/>
            <w:vAlign w:val="bottom"/>
          </w:tcPr>
          <w:p>
            <w:pPr>
              <w:jc w:val="center"/>
              <w:ind w:left="710"/>
              <w:spacing w:after="0"/>
              <w:rPr>
                <w:sz w:val="20"/>
                <w:szCs w:val="20"/>
                <w:color w:val="auto"/>
              </w:rPr>
            </w:pPr>
            <w:r>
              <w:rPr>
                <w:rFonts w:ascii="Arial" w:cs="Arial" w:eastAsia="Arial" w:hAnsi="Arial"/>
                <w:sz w:val="18"/>
                <w:szCs w:val="18"/>
                <w:color w:val="131E29"/>
              </w:rPr>
              <w:t>2,432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131E29"/>
                <w:w w:val="97"/>
              </w:rPr>
              <w:t>2,560</w:t>
            </w:r>
          </w:p>
        </w:tc>
      </w:tr>
      <w:tr>
        <w:trPr>
          <w:trHeight w:val="27"/>
        </w:trPr>
        <w:tc>
          <w:tcPr>
            <w:tcW w:w="77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deferred revenue, excluding gift card and loyalty programs</w:t>
            </w:r>
          </w:p>
        </w:tc>
        <w:tc>
          <w:tcPr>
            <w:tcW w:w="16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center"/>
              <w:ind w:left="710"/>
              <w:spacing w:after="0"/>
              <w:rPr>
                <w:sz w:val="20"/>
                <w:szCs w:val="20"/>
                <w:color w:val="auto"/>
              </w:rPr>
            </w:pPr>
            <w:r>
              <w:rPr>
                <w:rFonts w:ascii="Arial" w:cs="Arial" w:eastAsia="Arial" w:hAnsi="Arial"/>
                <w:sz w:val="18"/>
                <w:szCs w:val="18"/>
                <w:color w:val="131E29"/>
              </w:rPr>
              <w:t>5,216</w:t>
            </w:r>
          </w:p>
        </w:tc>
        <w:tc>
          <w:tcPr>
            <w:tcW w:w="80" w:type="dxa"/>
            <w:vAlign w:val="bottom"/>
            <w:tcBorders>
              <w:bottom w:val="single" w:sz="8" w:color="D2DCE5"/>
            </w:tcBorders>
            <w:shd w:val="clear" w:color="auto" w:fill="D2DCE5"/>
          </w:tcPr>
          <w:p>
            <w:pPr>
              <w:spacing w:after="0"/>
              <w:rPr>
                <w:sz w:val="21"/>
                <w:szCs w:val="21"/>
                <w:color w:val="auto"/>
              </w:rPr>
            </w:pPr>
          </w:p>
        </w:tc>
        <w:tc>
          <w:tcPr>
            <w:tcW w:w="62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5,072</w:t>
            </w:r>
          </w:p>
        </w:tc>
      </w:tr>
      <w:tr>
        <w:trPr>
          <w:trHeight w:val="243"/>
        </w:trPr>
        <w:tc>
          <w:tcPr>
            <w:tcW w:w="786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160" w:type="dxa"/>
            <w:vAlign w:val="bottom"/>
          </w:tcPr>
          <w:p>
            <w:pPr>
              <w:spacing w:after="0"/>
              <w:rPr>
                <w:sz w:val="21"/>
                <w:szCs w:val="21"/>
                <w:color w:val="auto"/>
              </w:rPr>
            </w:pPr>
          </w:p>
        </w:tc>
        <w:tc>
          <w:tcPr>
            <w:tcW w:w="1420" w:type="dxa"/>
            <w:vAlign w:val="bottom"/>
          </w:tcPr>
          <w:p>
            <w:pPr>
              <w:jc w:val="center"/>
              <w:ind w:left="690"/>
              <w:spacing w:after="0"/>
              <w:rPr>
                <w:sz w:val="20"/>
                <w:szCs w:val="20"/>
                <w:color w:val="auto"/>
              </w:rPr>
            </w:pPr>
            <w:r>
              <w:rPr>
                <w:rFonts w:ascii="Arial" w:cs="Arial" w:eastAsia="Arial" w:hAnsi="Arial"/>
                <w:sz w:val="18"/>
                <w:szCs w:val="18"/>
                <w:color w:val="131E29"/>
                <w:w w:val="98"/>
              </w:rPr>
              <w:t>(3,216)</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center"/>
              <w:ind w:left="390"/>
              <w:spacing w:after="0"/>
              <w:rPr>
                <w:sz w:val="20"/>
                <w:szCs w:val="20"/>
                <w:color w:val="auto"/>
              </w:rPr>
            </w:pPr>
            <w:r>
              <w:rPr>
                <w:rFonts w:ascii="Arial" w:cs="Arial" w:eastAsia="Arial" w:hAnsi="Arial"/>
                <w:sz w:val="18"/>
                <w:szCs w:val="18"/>
                <w:color w:val="131E29"/>
              </w:rPr>
              <w:t>(2,964)</w:t>
            </w:r>
          </w:p>
        </w:tc>
      </w:tr>
      <w:tr>
        <w:trPr>
          <w:trHeight w:val="27"/>
        </w:trPr>
        <w:tc>
          <w:tcPr>
            <w:tcW w:w="77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Deferred revenue, net of current portion, excluding gift card and loyalty programs</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1420" w:type="dxa"/>
            <w:vAlign w:val="bottom"/>
            <w:tcBorders>
              <w:bottom w:val="single" w:sz="8" w:color="auto"/>
            </w:tcBorders>
            <w:shd w:val="clear" w:color="auto" w:fill="D2DCE5"/>
          </w:tcPr>
          <w:p>
            <w:pPr>
              <w:jc w:val="center"/>
              <w:ind w:left="710"/>
              <w:spacing w:after="0"/>
              <w:rPr>
                <w:sz w:val="20"/>
                <w:szCs w:val="20"/>
                <w:color w:val="auto"/>
              </w:rPr>
            </w:pPr>
            <w:r>
              <w:rPr>
                <w:rFonts w:ascii="Arial" w:cs="Arial" w:eastAsia="Arial" w:hAnsi="Arial"/>
                <w:sz w:val="18"/>
                <w:szCs w:val="18"/>
                <w:color w:val="131E29"/>
              </w:rPr>
              <w:t>2,000</w:t>
            </w:r>
          </w:p>
        </w:tc>
        <w:tc>
          <w:tcPr>
            <w:tcW w:w="80" w:type="dxa"/>
            <w:vAlign w:val="bottom"/>
            <w:tcBorders>
              <w:bottom w:val="single" w:sz="8" w:color="D2DCE5"/>
            </w:tcBorders>
            <w:shd w:val="clear" w:color="auto" w:fill="D2DCE5"/>
          </w:tcPr>
          <w:p>
            <w:pPr>
              <w:spacing w:after="0"/>
              <w:rPr>
                <w:sz w:val="24"/>
                <w:szCs w:val="24"/>
                <w:color w:val="auto"/>
              </w:rPr>
            </w:pPr>
          </w:p>
        </w:tc>
        <w:tc>
          <w:tcPr>
            <w:tcW w:w="620" w:type="dxa"/>
            <w:vAlign w:val="bottom"/>
            <w:tcBorders>
              <w:bottom w:val="single" w:sz="8" w:color="auto"/>
            </w:tcBorders>
            <w:shd w:val="clear" w:color="auto" w:fill="D2DCE5"/>
          </w:tcPr>
          <w:p>
            <w:pPr>
              <w:jc w:val="right"/>
              <w:ind w:right="41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auto"/>
            </w:tcBorders>
            <w:shd w:val="clear" w:color="auto" w:fill="D2DCE5"/>
          </w:tcPr>
          <w:p>
            <w:pPr>
              <w:jc w:val="center"/>
              <w:ind w:left="410"/>
              <w:spacing w:after="0"/>
              <w:rPr>
                <w:sz w:val="20"/>
                <w:szCs w:val="20"/>
                <w:color w:val="auto"/>
              </w:rPr>
            </w:pPr>
            <w:r>
              <w:rPr>
                <w:rFonts w:ascii="Arial" w:cs="Arial" w:eastAsia="Arial" w:hAnsi="Arial"/>
                <w:sz w:val="18"/>
                <w:szCs w:val="18"/>
                <w:color w:val="131E29"/>
                <w:w w:val="97"/>
              </w:rPr>
              <w:t>2,108</w:t>
            </w:r>
          </w:p>
        </w:tc>
      </w:tr>
      <w:tr>
        <w:trPr>
          <w:trHeight w:val="20"/>
        </w:trPr>
        <w:tc>
          <w:tcPr>
            <w:tcW w:w="77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4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2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Revenue recognized from initial unearned franchise fees was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131E29"/>
              </w:rPr>
              <w:t>2022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Earned franchise fees</w:t>
            </w:r>
          </w:p>
        </w:tc>
        <w:tc>
          <w:tcPr>
            <w:tcW w:w="900" w:type="dxa"/>
            <w:vAlign w:val="bottom"/>
            <w:tcBorders>
              <w:bottom w:val="single" w:sz="8" w:color="auto"/>
            </w:tcBorders>
            <w:shd w:val="clear" w:color="auto" w:fill="D2DCE5"/>
          </w:tcPr>
          <w:p>
            <w:pPr>
              <w:jc w:val="right"/>
              <w:ind w:right="690"/>
              <w:spacing w:after="0"/>
              <w:rPr>
                <w:sz w:val="20"/>
                <w:szCs w:val="20"/>
                <w:color w:val="auto"/>
              </w:rPr>
            </w:pPr>
            <w:r>
              <w:rPr>
                <w:rFonts w:ascii="Arial" w:cs="Arial" w:eastAsia="Arial" w:hAnsi="Arial"/>
                <w:sz w:val="18"/>
                <w:szCs w:val="18"/>
                <w:color w:val="131E29"/>
                <w:w w:val="99"/>
              </w:rPr>
              <w:t>$</w:t>
            </w:r>
          </w:p>
        </w:tc>
        <w:tc>
          <w:tcPr>
            <w:tcW w:w="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117</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196</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273</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316</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D2DCE5"/>
              <w:bottom w:val="single" w:sz="8" w:color="auto"/>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Revenue recognized from earned franchise fees that was included in unearned revenue at the beginning of the year was $0.3 million and $0.3 million for the six months ended June 30, 2022 and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Future amortization of initial unearned franchise fees outstanding as of June 30, 2022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80" w:type="dxa"/>
            <w:vAlign w:val="bottom"/>
            <w:tcBorders>
              <w:bottom w:val="single" w:sz="8" w:color="D2DCE5"/>
            </w:tcBorders>
          </w:tcPr>
          <w:p>
            <w:pPr>
              <w:spacing w:after="0"/>
              <w:rPr>
                <w:sz w:val="2"/>
                <w:szCs w:val="2"/>
                <w:color w:val="auto"/>
              </w:rPr>
            </w:pPr>
          </w:p>
        </w:tc>
        <w:tc>
          <w:tcPr>
            <w:tcW w:w="1000" w:type="dxa"/>
            <w:vAlign w:val="bottom"/>
            <w:tcBorders>
              <w:bottom w:val="single" w:sz="8" w:color="D2DCE5"/>
            </w:tcBorders>
          </w:tcPr>
          <w:p>
            <w:pPr>
              <w:spacing w:after="0"/>
              <w:rPr>
                <w:sz w:val="2"/>
                <w:szCs w:val="2"/>
                <w:color w:val="auto"/>
              </w:rPr>
            </w:pPr>
          </w:p>
        </w:tc>
      </w:tr>
      <w:tr>
        <w:trPr>
          <w:trHeight w:val="243"/>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580" w:type="dxa"/>
            <w:vAlign w:val="bottom"/>
            <w:tcBorders>
              <w:bottom w:val="single" w:sz="8" w:color="D2DCE5"/>
            </w:tcBorders>
            <w:shd w:val="clear" w:color="auto" w:fill="D2DCE5"/>
          </w:tcPr>
          <w:p>
            <w:pPr>
              <w:jc w:val="right"/>
              <w:ind w:right="370"/>
              <w:spacing w:after="0"/>
              <w:rPr>
                <w:sz w:val="20"/>
                <w:szCs w:val="20"/>
                <w:color w:val="auto"/>
              </w:rPr>
            </w:pPr>
            <w:r>
              <w:rPr>
                <w:rFonts w:ascii="Arial" w:cs="Arial" w:eastAsia="Arial" w:hAnsi="Arial"/>
                <w:sz w:val="18"/>
                <w:szCs w:val="18"/>
                <w:color w:val="131E29"/>
                <w:w w:val="99"/>
              </w:rPr>
              <w:t>$</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224</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407</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349</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295</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253</w:t>
            </w: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31E29"/>
              </w:rPr>
              <w:t>904</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Total</w:t>
            </w:r>
          </w:p>
        </w:tc>
        <w:tc>
          <w:tcPr>
            <w:tcW w:w="580" w:type="dxa"/>
            <w:vAlign w:val="bottom"/>
            <w:tcBorders>
              <w:bottom w:val="single" w:sz="8" w:color="auto"/>
            </w:tcBorders>
            <w:shd w:val="clear" w:color="auto" w:fill="D2DCE5"/>
          </w:tcPr>
          <w:p>
            <w:pPr>
              <w:jc w:val="right"/>
              <w:ind w:right="370"/>
              <w:spacing w:after="0"/>
              <w:rPr>
                <w:sz w:val="20"/>
                <w:szCs w:val="20"/>
                <w:color w:val="auto"/>
              </w:rPr>
            </w:pPr>
            <w:r>
              <w:rPr>
                <w:rFonts w:ascii="Arial" w:cs="Arial" w:eastAsia="Arial" w:hAnsi="Arial"/>
                <w:sz w:val="18"/>
                <w:szCs w:val="18"/>
                <w:color w:val="131E29"/>
                <w:w w:val="99"/>
              </w:rPr>
              <w:t>$</w:t>
            </w:r>
          </w:p>
        </w:tc>
        <w:tc>
          <w:tcPr>
            <w:tcW w:w="10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2,432</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c>
          <w:tcPr>
            <w:tcW w:w="100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4 — Shop Acquisitions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During the six months ended June 30, 2022, the Company repurchased the franchise rights and assets of five shops from one franchisee in California. The following table summarizes the allocations of the purchase prices to the estimated fair values of assets acquired and liabilities assumed. The fair values for the 2022 acquisitions are considered preliminary and subject to change within the measurement period (up to one year from the acquisition dates), as we have not obtained all of the detailed information to finalize the opening balance sheet related to the building and leasehold improvements purchased and franchise rights reacquired.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3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40" w:type="dxa"/>
            <w:vAlign w:val="bottom"/>
          </w:tcPr>
          <w:p>
            <w:pPr>
              <w:spacing w:after="0"/>
              <w:rPr>
                <w:sz w:val="20"/>
                <w:szCs w:val="20"/>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131E29"/>
              </w:rPr>
              <w:t>June 30, 2022</w:t>
            </w:r>
          </w:p>
        </w:tc>
      </w:tr>
      <w:tr>
        <w:trPr>
          <w:trHeight w:val="26"/>
        </w:trPr>
        <w:tc>
          <w:tcPr>
            <w:tcW w:w="92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Acquisition consideration:</w:t>
            </w:r>
          </w:p>
        </w:tc>
        <w:tc>
          <w:tcPr>
            <w:tcW w:w="240" w:type="dxa"/>
            <w:vAlign w:val="bottom"/>
            <w:tcBorders>
              <w:bottom w:val="single" w:sz="8" w:color="D2DCE5"/>
            </w:tcBorders>
            <w:shd w:val="clear" w:color="auto" w:fill="D2DCE5"/>
          </w:tcPr>
          <w:p>
            <w:pPr>
              <w:spacing w:after="0"/>
              <w:rPr>
                <w:sz w:val="21"/>
                <w:szCs w:val="21"/>
                <w:color w:val="auto"/>
              </w:rPr>
            </w:pPr>
          </w:p>
        </w:tc>
        <w:tc>
          <w:tcPr>
            <w:tcW w:w="1660" w:type="dxa"/>
            <w:vAlign w:val="bottom"/>
            <w:tcBorders>
              <w:bottom w:val="single" w:sz="8" w:color="D2DCE5"/>
            </w:tcBorders>
            <w:shd w:val="clear" w:color="auto" w:fill="D2DCE5"/>
          </w:tcPr>
          <w:p>
            <w:pPr>
              <w:spacing w:after="0"/>
              <w:rPr>
                <w:sz w:val="21"/>
                <w:szCs w:val="21"/>
                <w:color w:val="auto"/>
              </w:rPr>
            </w:pP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Purchase price consideration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131E29"/>
              </w:rPr>
              <w:t>6,051</w:t>
            </w:r>
          </w:p>
        </w:tc>
      </w:tr>
      <w:tr>
        <w:trPr>
          <w:trHeight w:val="27"/>
        </w:trPr>
        <w:tc>
          <w:tcPr>
            <w:tcW w:w="92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Equipment and fixtures</w:t>
            </w:r>
          </w:p>
        </w:tc>
        <w:tc>
          <w:tcPr>
            <w:tcW w:w="240" w:type="dxa"/>
            <w:vAlign w:val="bottom"/>
            <w:tcBorders>
              <w:bottom w:val="single" w:sz="8" w:color="D2DCE5"/>
            </w:tcBorders>
            <w:shd w:val="clear" w:color="auto" w:fill="D2DCE5"/>
          </w:tcPr>
          <w:p>
            <w:pPr>
              <w:spacing w:after="0"/>
              <w:rPr>
                <w:sz w:val="21"/>
                <w:szCs w:val="21"/>
                <w:color w:val="auto"/>
              </w:rPr>
            </w:pPr>
          </w:p>
        </w:tc>
        <w:tc>
          <w:tcPr>
            <w:tcW w:w="1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Building and leasehold improvements</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131E29"/>
              </w:rPr>
              <w:t>1,470</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Inventories</w:t>
            </w:r>
          </w:p>
        </w:tc>
        <w:tc>
          <w:tcPr>
            <w:tcW w:w="240" w:type="dxa"/>
            <w:vAlign w:val="bottom"/>
            <w:tcBorders>
              <w:bottom w:val="single" w:sz="8" w:color="D2DCE5"/>
            </w:tcBorders>
            <w:shd w:val="clear" w:color="auto" w:fill="D2DCE5"/>
          </w:tcPr>
          <w:p>
            <w:pPr>
              <w:spacing w:after="0"/>
              <w:rPr>
                <w:sz w:val="21"/>
                <w:szCs w:val="21"/>
                <w:color w:val="auto"/>
              </w:rPr>
            </w:pPr>
          </w:p>
        </w:tc>
        <w:tc>
          <w:tcPr>
            <w:tcW w:w="1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Other assets</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131E29"/>
              </w:rPr>
              <w:t>6</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 right-of-use assets</w:t>
            </w:r>
          </w:p>
        </w:tc>
        <w:tc>
          <w:tcPr>
            <w:tcW w:w="240" w:type="dxa"/>
            <w:vAlign w:val="bottom"/>
            <w:tcBorders>
              <w:bottom w:val="single" w:sz="8" w:color="D2DCE5"/>
            </w:tcBorders>
            <w:shd w:val="clear" w:color="auto" w:fill="D2DCE5"/>
          </w:tcPr>
          <w:p>
            <w:pPr>
              <w:spacing w:after="0"/>
              <w:rPr>
                <w:sz w:val="21"/>
                <w:szCs w:val="21"/>
                <w:color w:val="auto"/>
              </w:rPr>
            </w:pPr>
          </w:p>
        </w:tc>
        <w:tc>
          <w:tcPr>
            <w:tcW w:w="1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2,327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Reacquired franchise rights</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131E29"/>
              </w:rPr>
              <w:t>1,735</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liabilities</w:t>
            </w:r>
          </w:p>
        </w:tc>
        <w:tc>
          <w:tcPr>
            <w:tcW w:w="240" w:type="dxa"/>
            <w:vAlign w:val="bottom"/>
            <w:tcBorders>
              <w:bottom w:val="single" w:sz="8" w:color="D2DCE5"/>
            </w:tcBorders>
            <w:shd w:val="clear" w:color="auto" w:fill="D2DCE5"/>
          </w:tcPr>
          <w:p>
            <w:pPr>
              <w:spacing w:after="0"/>
              <w:rPr>
                <w:sz w:val="21"/>
                <w:szCs w:val="21"/>
                <w:color w:val="auto"/>
              </w:rPr>
            </w:pPr>
          </w:p>
        </w:tc>
        <w:tc>
          <w:tcPr>
            <w:tcW w:w="1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131E29"/>
              </w:rPr>
              <w:t>Gift card liability</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131E29"/>
              </w:rPr>
              <w:t>(250)</w:t>
            </w:r>
          </w:p>
        </w:tc>
      </w:tr>
      <w:tr>
        <w:trPr>
          <w:trHeight w:val="27"/>
        </w:trPr>
        <w:tc>
          <w:tcPr>
            <w:tcW w:w="9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3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 obligations</w:t>
            </w:r>
          </w:p>
        </w:tc>
        <w:tc>
          <w:tcPr>
            <w:tcW w:w="240" w:type="dxa"/>
            <w:vAlign w:val="bottom"/>
            <w:tcBorders>
              <w:bottom w:val="single" w:sz="8" w:color="D2DCE5"/>
            </w:tcBorders>
            <w:shd w:val="clear" w:color="auto" w:fill="D2DCE5"/>
          </w:tcPr>
          <w:p>
            <w:pPr>
              <w:spacing w:after="0"/>
              <w:rPr>
                <w:sz w:val="23"/>
                <w:szCs w:val="23"/>
                <w:color w:val="auto"/>
              </w:rPr>
            </w:pPr>
          </w:p>
        </w:tc>
        <w:tc>
          <w:tcPr>
            <w:tcW w:w="16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(2,327)</w:t>
            </w:r>
          </w:p>
        </w:tc>
      </w:tr>
      <w:tr>
        <w:trPr>
          <w:trHeight w:val="237"/>
        </w:trPr>
        <w:tc>
          <w:tcPr>
            <w:tcW w:w="9340" w:type="dxa"/>
            <w:vAlign w:val="bottom"/>
            <w:gridSpan w:val="2"/>
          </w:tcPr>
          <w:p>
            <w:pPr>
              <w:ind w:left="360"/>
              <w:spacing w:after="0"/>
              <w:rPr>
                <w:sz w:val="20"/>
                <w:szCs w:val="20"/>
                <w:color w:val="auto"/>
              </w:rPr>
            </w:pPr>
            <w:r>
              <w:rPr>
                <w:rFonts w:ascii="Arial" w:cs="Arial" w:eastAsia="Arial" w:hAnsi="Arial"/>
                <w:sz w:val="18"/>
                <w:szCs w:val="18"/>
                <w:color w:val="131E29"/>
              </w:rPr>
              <w:t>Net assets acquired</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3,137</w:t>
            </w:r>
          </w:p>
        </w:tc>
      </w:tr>
      <w:tr>
        <w:trPr>
          <w:trHeight w:val="27"/>
        </w:trPr>
        <w:tc>
          <w:tcPr>
            <w:tcW w:w="92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9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Goodwill</w:t>
            </w: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2,914</w:t>
            </w:r>
          </w:p>
        </w:tc>
      </w:tr>
      <w:tr>
        <w:trPr>
          <w:trHeight w:val="20"/>
        </w:trPr>
        <w:tc>
          <w:tcPr>
            <w:tcW w:w="92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66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Reacquired franchise rights acquired have weighted-average useful lives of 4.2 years at the time of purchase for the acquisitions made during the six months ended June 30, 2022. The excess of the purchase price over the aggregate fair value of net assets acquired was allocated to goodwill and is attributable to the benefits expected as a result of the acquisitions, including sales and growth opportunities, and is expected to be fully deductible for tax purposes. Goodwill is allocated entirely to the Company-operated shops segment.</w:t>
      </w:r>
    </w:p>
    <w:p>
      <w:pPr>
        <w:spacing w:after="0" w:line="1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The fair value measurement of tangible and intangible assets and liabilities as of the acquisition dates is based on significant inputs not observed in the market and thus represents a Level 3 fair value measurement. Fair value measurements for reacquired franchise rights were determined using the income approach. Fair value measurements for property and equipment were determined using the cost approach.</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results of operations for the 2022 acquisitions are included in the Company’s condensed consolidated statements of operations beginning on the dates of acquisition. Revenues of approximately $3.9 million and net income of approximately $0.8 million are included in the Company’s condensed consolidated statements of operations for the six months ended June 30, 2022.</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following table reflects the unaudited pro forma results of the Company and the five shops purchased in 2022 as if the acquisitions had taken place as of January 1, 2021:</w:t>
      </w:r>
    </w:p>
    <w:p>
      <w:pPr>
        <w:spacing w:after="0" w:line="176"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131E29"/>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37465</wp:posOffset>
            </wp:positionV>
            <wp:extent cx="2202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131E29"/>
              </w:rPr>
              <w:t>2021</w:t>
            </w:r>
          </w:p>
        </w:tc>
      </w:tr>
      <w:tr>
        <w:trPr>
          <w:trHeight w:val="25"/>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w:t>
            </w:r>
          </w:p>
        </w:tc>
        <w:tc>
          <w:tcPr>
            <w:tcW w:w="38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w w:val="79"/>
              </w:rPr>
              <w:t>$</w:t>
            </w: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340,488</w:t>
            </w:r>
          </w:p>
        </w:tc>
        <w:tc>
          <w:tcPr>
            <w:tcW w:w="10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233,838</w:t>
            </w: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131E29"/>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131E29"/>
              </w:rPr>
              <w:t>(17,653)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131E29"/>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131E29"/>
              </w:rPr>
              <w:t>8,202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5 — Inventories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gridSpan w:val="2"/>
          </w:tcPr>
          <w:p>
            <w:pPr>
              <w:spacing w:after="0"/>
              <w:rPr>
                <w:sz w:val="20"/>
                <w:szCs w:val="20"/>
                <w:color w:val="auto"/>
              </w:rPr>
            </w:pPr>
            <w:r>
              <w:rPr>
                <w:rFonts w:ascii="Arial" w:cs="Arial" w:eastAsia="Arial" w:hAnsi="Arial"/>
                <w:sz w:val="18"/>
                <w:szCs w:val="18"/>
                <w:color w:val="131E29"/>
              </w:rPr>
              <w:t>Inventories, net consist of the following:</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1"/>
        </w:trPr>
        <w:tc>
          <w:tcPr>
            <w:tcW w:w="78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60" w:type="dxa"/>
            <w:vAlign w:val="bottom"/>
          </w:tcPr>
          <w:p>
            <w:pPr>
              <w:spacing w:after="0"/>
              <w:rPr>
                <w:sz w:val="23"/>
                <w:szCs w:val="23"/>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131E29"/>
              </w:rPr>
              <w:t>June 30, 2022</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131E29"/>
              </w:rPr>
              <w:t>December 31, 2021</w:t>
            </w:r>
          </w:p>
        </w:tc>
      </w:tr>
      <w:tr>
        <w:trPr>
          <w:trHeight w:val="25"/>
        </w:trPr>
        <w:tc>
          <w:tcPr>
            <w:tcW w:w="77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Raw materials</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11,777</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5,549</w:t>
            </w: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131E29"/>
              </w:rPr>
              <w:t>Finished goods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131E29"/>
              </w:rPr>
              <w:t>21,077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17,796</w:t>
            </w:r>
          </w:p>
        </w:tc>
      </w:tr>
      <w:tr>
        <w:trPr>
          <w:trHeight w:val="27"/>
        </w:trPr>
        <w:tc>
          <w:tcPr>
            <w:tcW w:w="77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78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Total inventories</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32,854</w:t>
            </w:r>
          </w:p>
        </w:tc>
        <w:tc>
          <w:tcPr>
            <w:tcW w:w="100" w:type="dxa"/>
            <w:vAlign w:val="bottom"/>
            <w:tcBorders>
              <w:bottom w:val="single" w:sz="8" w:color="D2DCE5"/>
            </w:tcBorders>
            <w:shd w:val="clear" w:color="auto" w:fill="D2DCE5"/>
          </w:tcPr>
          <w:p>
            <w:pPr>
              <w:spacing w:after="0"/>
              <w:rPr>
                <w:sz w:val="24"/>
                <w:szCs w:val="24"/>
                <w:color w:val="auto"/>
              </w:rPr>
            </w:pPr>
          </w:p>
        </w:tc>
        <w:tc>
          <w:tcPr>
            <w:tcW w:w="600" w:type="dxa"/>
            <w:vAlign w:val="bottom"/>
            <w:tcBorders>
              <w:bottom w:val="single" w:sz="8" w:color="auto"/>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23,345</w:t>
            </w:r>
          </w:p>
        </w:tc>
      </w:tr>
      <w:tr>
        <w:trPr>
          <w:trHeight w:val="20"/>
        </w:trPr>
        <w:tc>
          <w:tcPr>
            <w:tcW w:w="77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4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As of June 30, 2022 and December 31, 2021, reserves for inventories were $1,933 and $2,126,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6 —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131E29"/>
        </w:rPr>
        <w:t>Property and equipment, net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40" w:type="dxa"/>
            <w:vAlign w:val="bottom"/>
            <w:vMerge w:val="restart"/>
          </w:tcPr>
          <w:p>
            <w:pPr>
              <w:ind w:left="20"/>
              <w:spacing w:after="0"/>
              <w:rPr>
                <w:sz w:val="20"/>
                <w:szCs w:val="20"/>
                <w:color w:val="auto"/>
              </w:rPr>
            </w:pPr>
            <w:r>
              <w:rPr>
                <w:rFonts w:ascii="Arial" w:cs="Arial" w:eastAsia="Arial" w:hAnsi="Arial"/>
                <w:sz w:val="14"/>
                <w:szCs w:val="14"/>
                <w:color w:val="131E29"/>
              </w:rPr>
              <w:t>(in thousands)</w:t>
            </w: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131E29"/>
                <w:w w:val="99"/>
              </w:rPr>
              <w:t xml:space="preserve">Useful Life </w:t>
            </w:r>
            <w:r>
              <w:rPr>
                <w:rFonts w:ascii="Arial" w:cs="Arial" w:eastAsia="Arial" w:hAnsi="Arial"/>
                <w:sz w:val="14"/>
                <w:szCs w:val="14"/>
                <w:color w:val="131E29"/>
                <w:w w:val="99"/>
              </w:rPr>
              <w:t>(Years)</w:t>
            </w:r>
          </w:p>
        </w:tc>
        <w:tc>
          <w:tcPr>
            <w:tcW w:w="160" w:type="dxa"/>
            <w:vAlign w:val="bottom"/>
          </w:tcPr>
          <w:p>
            <w:pPr>
              <w:spacing w:after="0"/>
              <w:rPr>
                <w:sz w:val="20"/>
                <w:szCs w:val="20"/>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131E29"/>
              </w:rPr>
              <w:t>June 30, 2022</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163"/>
        </w:trPr>
        <w:tc>
          <w:tcPr>
            <w:tcW w:w="2040" w:type="dxa"/>
            <w:vAlign w:val="bottom"/>
            <w:vMerge w:val="continue"/>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Software</w:t>
            </w:r>
          </w:p>
        </w:tc>
        <w:tc>
          <w:tcPr>
            <w:tcW w:w="39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3</w:t>
            </w:r>
          </w:p>
        </w:tc>
        <w:tc>
          <w:tcPr>
            <w:tcW w:w="6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7,430</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7,132</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131E29"/>
              </w:rPr>
              <w:t>Equipment and fixtures</w:t>
            </w:r>
          </w:p>
        </w:tc>
        <w:tc>
          <w:tcPr>
            <w:tcW w:w="4600" w:type="dxa"/>
            <w:vAlign w:val="bottom"/>
            <w:gridSpan w:val="3"/>
          </w:tcPr>
          <w:p>
            <w:pPr>
              <w:jc w:val="center"/>
              <w:ind w:left="4098"/>
              <w:spacing w:after="0"/>
              <w:rPr>
                <w:sz w:val="20"/>
                <w:szCs w:val="20"/>
                <w:color w:val="auto"/>
              </w:rPr>
            </w:pPr>
            <w:r>
              <w:rPr>
                <w:rFonts w:ascii="Arial" w:cs="Arial" w:eastAsia="Arial" w:hAnsi="Arial"/>
                <w:sz w:val="18"/>
                <w:szCs w:val="18"/>
                <w:color w:val="131E29"/>
                <w:w w:val="99"/>
              </w:rPr>
              <w:t>3</w:t>
            </w:r>
          </w:p>
        </w:tc>
        <w:tc>
          <w:tcPr>
            <w:tcW w:w="540" w:type="dxa"/>
            <w:vAlign w:val="bottom"/>
          </w:tcPr>
          <w:p>
            <w:pPr>
              <w:jc w:val="center"/>
              <w:spacing w:after="0"/>
              <w:rPr>
                <w:sz w:val="20"/>
                <w:szCs w:val="20"/>
                <w:color w:val="auto"/>
              </w:rPr>
            </w:pPr>
            <w:r>
              <w:rPr>
                <w:rFonts w:ascii="Arial" w:cs="Arial" w:eastAsia="Arial" w:hAnsi="Arial"/>
                <w:sz w:val="11"/>
                <w:szCs w:val="11"/>
                <w:color w:val="131E29"/>
                <w:w w:val="90"/>
              </w:rPr>
              <w:t>—</w:t>
            </w:r>
          </w:p>
        </w:tc>
        <w:tc>
          <w:tcPr>
            <w:tcW w:w="600" w:type="dxa"/>
            <w:vAlign w:val="bottom"/>
          </w:tcPr>
          <w:p>
            <w:pPr>
              <w:jc w:val="center"/>
              <w:ind w:right="50"/>
              <w:spacing w:after="0"/>
              <w:rPr>
                <w:sz w:val="20"/>
                <w:szCs w:val="20"/>
                <w:color w:val="auto"/>
              </w:rPr>
            </w:pPr>
            <w:r>
              <w:rPr>
                <w:rFonts w:ascii="Arial" w:cs="Arial" w:eastAsia="Arial" w:hAnsi="Arial"/>
                <w:sz w:val="18"/>
                <w:szCs w:val="18"/>
                <w:color w:val="131E29"/>
                <w:w w:val="99"/>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131E29"/>
              </w:rPr>
              <w:t>78,542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57,952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w w:val="99"/>
              </w:rPr>
              <w:t>Leasehold improvements</w:t>
            </w:r>
          </w:p>
        </w:tc>
        <w:tc>
          <w:tcPr>
            <w:tcW w:w="4600" w:type="dxa"/>
            <w:vAlign w:val="bottom"/>
            <w:tcBorders>
              <w:bottom w:val="single" w:sz="8" w:color="D2DCE5"/>
            </w:tcBorders>
            <w:gridSpan w:val="3"/>
            <w:shd w:val="clear" w:color="auto" w:fill="D2DCE5"/>
          </w:tcPr>
          <w:p>
            <w:pPr>
              <w:jc w:val="center"/>
              <w:ind w:left="4098"/>
              <w:spacing w:after="0"/>
              <w:rPr>
                <w:sz w:val="20"/>
                <w:szCs w:val="20"/>
                <w:color w:val="auto"/>
              </w:rPr>
            </w:pPr>
            <w:r>
              <w:rPr>
                <w:rFonts w:ascii="Arial" w:cs="Arial" w:eastAsia="Arial" w:hAnsi="Arial"/>
                <w:sz w:val="18"/>
                <w:szCs w:val="18"/>
                <w:color w:val="131E29"/>
                <w:w w:val="99"/>
              </w:rPr>
              <w:t>5</w:t>
            </w:r>
          </w:p>
        </w:tc>
        <w:tc>
          <w:tcPr>
            <w:tcW w:w="5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1"/>
                <w:szCs w:val="11"/>
                <w:color w:val="131E29"/>
                <w:w w:val="90"/>
              </w:rPr>
              <w:t>—</w:t>
            </w:r>
          </w:p>
        </w:tc>
        <w:tc>
          <w:tcPr>
            <w:tcW w:w="600" w:type="dxa"/>
            <w:vAlign w:val="bottom"/>
            <w:tcBorders>
              <w:bottom w:val="single" w:sz="8" w:color="D2DCE5"/>
            </w:tcBorders>
            <w:shd w:val="clear" w:color="auto" w:fill="D2DCE5"/>
          </w:tcPr>
          <w:p>
            <w:pPr>
              <w:jc w:val="center"/>
              <w:ind w:right="50"/>
              <w:spacing w:after="0"/>
              <w:rPr>
                <w:sz w:val="20"/>
                <w:szCs w:val="20"/>
                <w:color w:val="auto"/>
              </w:rPr>
            </w:pPr>
            <w:r>
              <w:rPr>
                <w:rFonts w:ascii="Arial" w:cs="Arial" w:eastAsia="Arial" w:hAnsi="Arial"/>
                <w:sz w:val="18"/>
                <w:szCs w:val="18"/>
                <w:color w:val="131E29"/>
                <w:w w:val="99"/>
              </w:rPr>
              <w:t>9</w:t>
            </w: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25,209</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20,744</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131E29"/>
              </w:rPr>
              <w:t>Buildings</w:t>
            </w:r>
          </w:p>
        </w:tc>
        <w:tc>
          <w:tcPr>
            <w:tcW w:w="4600" w:type="dxa"/>
            <w:vAlign w:val="bottom"/>
            <w:gridSpan w:val="3"/>
          </w:tcPr>
          <w:p>
            <w:pPr>
              <w:jc w:val="center"/>
              <w:ind w:left="4078"/>
              <w:spacing w:after="0"/>
              <w:rPr>
                <w:sz w:val="20"/>
                <w:szCs w:val="20"/>
                <w:color w:val="auto"/>
              </w:rPr>
            </w:pPr>
            <w:r>
              <w:rPr>
                <w:rFonts w:ascii="Arial" w:cs="Arial" w:eastAsia="Arial" w:hAnsi="Arial"/>
                <w:sz w:val="18"/>
                <w:szCs w:val="18"/>
                <w:color w:val="131E29"/>
                <w:w w:val="99"/>
              </w:rPr>
              <w:t>10</w:t>
            </w:r>
          </w:p>
        </w:tc>
        <w:tc>
          <w:tcPr>
            <w:tcW w:w="540" w:type="dxa"/>
            <w:vAlign w:val="bottom"/>
          </w:tcPr>
          <w:p>
            <w:pPr>
              <w:jc w:val="center"/>
              <w:spacing w:after="0"/>
              <w:rPr>
                <w:sz w:val="20"/>
                <w:szCs w:val="20"/>
                <w:color w:val="auto"/>
              </w:rPr>
            </w:pPr>
            <w:r>
              <w:rPr>
                <w:rFonts w:ascii="Arial" w:cs="Arial" w:eastAsia="Arial" w:hAnsi="Arial"/>
                <w:sz w:val="11"/>
                <w:szCs w:val="11"/>
                <w:color w:val="131E29"/>
                <w:w w:val="90"/>
              </w:rPr>
              <w:t>—</w:t>
            </w:r>
          </w:p>
        </w:tc>
        <w:tc>
          <w:tcPr>
            <w:tcW w:w="600" w:type="dxa"/>
            <w:vAlign w:val="bottom"/>
          </w:tcPr>
          <w:p>
            <w:pPr>
              <w:jc w:val="center"/>
              <w:ind w:right="70"/>
              <w:spacing w:after="0"/>
              <w:rPr>
                <w:sz w:val="20"/>
                <w:szCs w:val="20"/>
                <w:color w:val="auto"/>
              </w:rPr>
            </w:pPr>
            <w:r>
              <w:rPr>
                <w:rFonts w:ascii="Arial" w:cs="Arial" w:eastAsia="Arial" w:hAnsi="Arial"/>
                <w:sz w:val="18"/>
                <w:szCs w:val="18"/>
                <w:color w:val="131E29"/>
                <w:w w:val="99"/>
              </w:rPr>
              <w:t>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131E29"/>
              </w:rPr>
              <w:t>124,783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168,395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Land</w:t>
            </w:r>
          </w:p>
        </w:tc>
        <w:tc>
          <w:tcPr>
            <w:tcW w:w="39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6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4,211</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5,242</w:t>
            </w:r>
          </w:p>
        </w:tc>
        <w:tc>
          <w:tcPr>
            <w:tcW w:w="0" w:type="dxa"/>
            <w:vAlign w:val="bottom"/>
          </w:tcPr>
          <w:p>
            <w:pPr>
              <w:spacing w:after="0"/>
              <w:rPr>
                <w:sz w:val="1"/>
                <w:szCs w:val="1"/>
                <w:color w:val="auto"/>
              </w:rPr>
            </w:pPr>
          </w:p>
        </w:tc>
      </w:tr>
      <w:tr>
        <w:trPr>
          <w:trHeight w:val="328"/>
        </w:trPr>
        <w:tc>
          <w:tcPr>
            <w:tcW w:w="2040" w:type="dxa"/>
            <w:vAlign w:val="bottom"/>
          </w:tcPr>
          <w:p>
            <w:pPr>
              <w:ind w:left="20"/>
              <w:spacing w:after="0"/>
              <w:rPr>
                <w:sz w:val="20"/>
                <w:szCs w:val="20"/>
                <w:color w:val="auto"/>
              </w:rPr>
            </w:pPr>
            <w:r>
              <w:rPr>
                <w:rFonts w:ascii="Arial" w:cs="Arial" w:eastAsia="Arial" w:hAnsi="Arial"/>
                <w:sz w:val="18"/>
                <w:szCs w:val="18"/>
                <w:color w:val="131E29"/>
              </w:rPr>
              <w:t xml:space="preserve">Aircraft </w:t>
            </w:r>
            <w:r>
              <w:rPr>
                <w:rFonts w:ascii="Arial" w:cs="Arial" w:eastAsia="Arial" w:hAnsi="Arial"/>
                <w:sz w:val="23"/>
                <w:szCs w:val="23"/>
                <w:color w:val="131E29"/>
                <w:vertAlign w:val="superscript"/>
              </w:rPr>
              <w:t>1</w:t>
            </w: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131E29"/>
                <w:w w:val="99"/>
              </w:rPr>
              <w:t>N/A</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131E29"/>
              </w:rPr>
              <w:t>9,195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131E29"/>
              </w:rPr>
              <w:t>9,531</w:t>
            </w:r>
          </w:p>
        </w:tc>
        <w:tc>
          <w:tcPr>
            <w:tcW w:w="0" w:type="dxa"/>
            <w:vAlign w:val="bottom"/>
          </w:tcPr>
          <w:p>
            <w:pPr>
              <w:spacing w:after="0"/>
              <w:rPr>
                <w:sz w:val="1"/>
                <w:szCs w:val="1"/>
                <w:color w:val="auto"/>
              </w:rPr>
            </w:pPr>
          </w:p>
        </w:tc>
      </w:tr>
      <w:tr>
        <w:trPr>
          <w:trHeight w:val="77"/>
        </w:trPr>
        <w:tc>
          <w:tcPr>
            <w:tcW w:w="20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Construction-in-progress</w:t>
            </w:r>
          </w:p>
        </w:tc>
        <w:tc>
          <w:tcPr>
            <w:tcW w:w="3920" w:type="dxa"/>
            <w:vAlign w:val="bottom"/>
            <w:shd w:val="clear" w:color="auto" w:fill="D2DCE5"/>
          </w:tcPr>
          <w:p>
            <w:pPr>
              <w:jc w:val="right"/>
              <w:ind w:right="3758"/>
              <w:spacing w:after="0"/>
              <w:rPr>
                <w:sz w:val="20"/>
                <w:szCs w:val="20"/>
                <w:color w:val="auto"/>
              </w:rPr>
            </w:pPr>
            <w:r>
              <w:rPr>
                <w:rFonts w:ascii="Arial" w:cs="Arial" w:eastAsia="Arial" w:hAnsi="Arial"/>
                <w:sz w:val="12"/>
                <w:szCs w:val="12"/>
                <w:color w:val="131E29"/>
                <w:w w:val="89"/>
              </w:rPr>
              <w:t>2</w:t>
            </w:r>
          </w:p>
        </w:tc>
        <w:tc>
          <w:tcPr>
            <w:tcW w:w="100" w:type="dxa"/>
            <w:vAlign w:val="bottom"/>
            <w:shd w:val="clear" w:color="auto" w:fill="D2DCE5"/>
          </w:tcPr>
          <w:p>
            <w:pPr>
              <w:spacing w:after="0"/>
              <w:rPr>
                <w:sz w:val="21"/>
                <w:szCs w:val="21"/>
                <w:color w:val="auto"/>
              </w:rPr>
            </w:pPr>
          </w:p>
        </w:tc>
        <w:tc>
          <w:tcPr>
            <w:tcW w:w="580" w:type="dxa"/>
            <w:vAlign w:val="bottom"/>
            <w:shd w:val="clear" w:color="auto" w:fill="D2DCE5"/>
          </w:tcPr>
          <w:p>
            <w:pPr>
              <w:spacing w:after="0"/>
              <w:rPr>
                <w:sz w:val="21"/>
                <w:szCs w:val="21"/>
                <w:color w:val="auto"/>
              </w:rPr>
            </w:pPr>
          </w:p>
        </w:tc>
        <w:tc>
          <w:tcPr>
            <w:tcW w:w="540" w:type="dxa"/>
            <w:vAlign w:val="bottom"/>
            <w:vMerge w:val="restart"/>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60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14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98,287</w:t>
            </w:r>
          </w:p>
        </w:tc>
        <w:tc>
          <w:tcPr>
            <w:tcW w:w="80" w:type="dxa"/>
            <w:vAlign w:val="bottom"/>
            <w:shd w:val="clear" w:color="auto" w:fill="D2DCE5"/>
          </w:tcPr>
          <w:p>
            <w:pPr>
              <w:spacing w:after="0"/>
              <w:rPr>
                <w:sz w:val="21"/>
                <w:szCs w:val="21"/>
                <w:color w:val="auto"/>
              </w:rPr>
            </w:pPr>
          </w:p>
        </w:tc>
        <w:tc>
          <w:tcPr>
            <w:tcW w:w="560" w:type="dxa"/>
            <w:vAlign w:val="bottom"/>
            <w:shd w:val="clear" w:color="auto" w:fill="D2DCE5"/>
          </w:tcPr>
          <w:p>
            <w:pPr>
              <w:spacing w:after="0"/>
              <w:rPr>
                <w:sz w:val="21"/>
                <w:szCs w:val="21"/>
                <w:color w:val="auto"/>
              </w:rPr>
            </w:pPr>
          </w:p>
        </w:tc>
        <w:tc>
          <w:tcPr>
            <w:tcW w:w="11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88,050</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D2DCE5"/>
            </w:tcBorders>
            <w:shd w:val="clear" w:color="auto" w:fill="D2DCE5"/>
          </w:tcPr>
          <w:p>
            <w:pPr>
              <w:spacing w:after="0"/>
              <w:rPr>
                <w:sz w:val="16"/>
                <w:szCs w:val="16"/>
                <w:color w:val="auto"/>
              </w:rPr>
            </w:pPr>
          </w:p>
        </w:tc>
        <w:tc>
          <w:tcPr>
            <w:tcW w:w="392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58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vMerge w:val="continue"/>
            <w:shd w:val="clear" w:color="auto" w:fill="D2DCE5"/>
          </w:tcPr>
          <w:p>
            <w:pPr>
              <w:spacing w:after="0"/>
              <w:rPr>
                <w:sz w:val="16"/>
                <w:szCs w:val="16"/>
                <w:color w:val="auto"/>
              </w:rPr>
            </w:pPr>
          </w:p>
        </w:tc>
        <w:tc>
          <w:tcPr>
            <w:tcW w:w="600" w:type="dxa"/>
            <w:vAlign w:val="bottom"/>
            <w:tcBorders>
              <w:bottom w:val="single" w:sz="8" w:color="D2DCE5"/>
            </w:tcBorders>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160" w:type="dxa"/>
            <w:vAlign w:val="bottom"/>
            <w:tcBorders>
              <w:bottom w:val="single" w:sz="8" w:color="D2DCE5"/>
            </w:tcBorders>
            <w:shd w:val="clear" w:color="auto" w:fill="D2DCE5"/>
          </w:tcPr>
          <w:p>
            <w:pPr>
              <w:spacing w:after="0"/>
              <w:rPr>
                <w:sz w:val="16"/>
                <w:szCs w:val="16"/>
                <w:color w:val="auto"/>
              </w:rPr>
            </w:pPr>
          </w:p>
        </w:tc>
        <w:tc>
          <w:tcPr>
            <w:tcW w:w="1420" w:type="dxa"/>
            <w:vAlign w:val="bottom"/>
            <w:tcBorders>
              <w:bottom w:val="single" w:sz="8" w:color="D2DCE5"/>
            </w:tcBorders>
            <w:vMerge w:val="continue"/>
            <w:shd w:val="clear" w:color="auto" w:fill="D2DCE5"/>
          </w:tcPr>
          <w:p>
            <w:pPr>
              <w:spacing w:after="0"/>
              <w:rPr>
                <w:sz w:val="16"/>
                <w:szCs w:val="16"/>
                <w:color w:val="auto"/>
              </w:rPr>
            </w:pPr>
          </w:p>
        </w:tc>
        <w:tc>
          <w:tcPr>
            <w:tcW w:w="80" w:type="dxa"/>
            <w:vAlign w:val="bottom"/>
            <w:tcBorders>
              <w:bottom w:val="single" w:sz="8" w:color="D2DCE5"/>
            </w:tcBorders>
            <w:shd w:val="clear" w:color="auto" w:fill="D2DCE5"/>
          </w:tcPr>
          <w:p>
            <w:pPr>
              <w:spacing w:after="0"/>
              <w:rPr>
                <w:sz w:val="16"/>
                <w:szCs w:val="16"/>
                <w:color w:val="auto"/>
              </w:rPr>
            </w:pPr>
          </w:p>
        </w:tc>
        <w:tc>
          <w:tcPr>
            <w:tcW w:w="560" w:type="dxa"/>
            <w:vAlign w:val="bottom"/>
            <w:tcBorders>
              <w:bottom w:val="single" w:sz="8" w:color="D2DCE5"/>
            </w:tcBorders>
            <w:shd w:val="clear" w:color="auto" w:fill="D2DCE5"/>
          </w:tcPr>
          <w:p>
            <w:pPr>
              <w:spacing w:after="0"/>
              <w:rPr>
                <w:sz w:val="16"/>
                <w:szCs w:val="16"/>
                <w:color w:val="auto"/>
              </w:rPr>
            </w:pPr>
          </w:p>
        </w:tc>
        <w:tc>
          <w:tcPr>
            <w:tcW w:w="1160" w:type="dxa"/>
            <w:vAlign w:val="bottom"/>
            <w:tcBorders>
              <w:bottom w:val="single" w:sz="8" w:color="D2DCE5"/>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40" w:type="dxa"/>
            <w:vAlign w:val="bottom"/>
            <w:gridSpan w:val="4"/>
          </w:tcPr>
          <w:p>
            <w:pPr>
              <w:ind w:left="20"/>
              <w:spacing w:after="0"/>
              <w:rPr>
                <w:sz w:val="20"/>
                <w:szCs w:val="20"/>
                <w:color w:val="auto"/>
              </w:rPr>
            </w:pPr>
            <w:r>
              <w:rPr>
                <w:rFonts w:ascii="Arial" w:cs="Arial" w:eastAsia="Arial" w:hAnsi="Arial"/>
                <w:sz w:val="18"/>
                <w:szCs w:val="18"/>
                <w:color w:val="131E29"/>
              </w:rPr>
              <w:t>Property and equipment, gross</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347,657</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357,046</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D2DCE5"/>
            </w:tcBorders>
            <w:gridSpan w:val="4"/>
            <w:shd w:val="clear" w:color="auto" w:fill="D2DCE5"/>
          </w:tcPr>
          <w:p>
            <w:pPr>
              <w:ind w:left="20"/>
              <w:spacing w:after="0"/>
              <w:rPr>
                <w:sz w:val="20"/>
                <w:szCs w:val="20"/>
                <w:color w:val="auto"/>
              </w:rPr>
            </w:pPr>
            <w:r>
              <w:rPr>
                <w:rFonts w:ascii="Arial" w:cs="Arial" w:eastAsia="Arial" w:hAnsi="Arial"/>
                <w:sz w:val="18"/>
                <w:szCs w:val="18"/>
                <w:color w:val="131E29"/>
              </w:rPr>
              <w:t>Less: accumulated depreciation</w:t>
            </w:r>
          </w:p>
        </w:tc>
        <w:tc>
          <w:tcPr>
            <w:tcW w:w="540" w:type="dxa"/>
            <w:vAlign w:val="bottom"/>
            <w:tcBorders>
              <w:bottom w:val="single" w:sz="8" w:color="D2DCE5"/>
            </w:tcBorders>
            <w:shd w:val="clear" w:color="auto" w:fill="D2DCE5"/>
          </w:tcPr>
          <w:p>
            <w:pPr>
              <w:spacing w:after="0"/>
              <w:rPr>
                <w:sz w:val="23"/>
                <w:szCs w:val="23"/>
                <w:color w:val="auto"/>
              </w:rPr>
            </w:pPr>
          </w:p>
        </w:tc>
        <w:tc>
          <w:tcPr>
            <w:tcW w:w="60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(56,936)</w:t>
            </w:r>
          </w:p>
        </w:tc>
        <w:tc>
          <w:tcPr>
            <w:tcW w:w="80" w:type="dxa"/>
            <w:vAlign w:val="bottom"/>
            <w:tcBorders>
              <w:bottom w:val="single" w:sz="8" w:color="D2DCE5"/>
            </w:tcBorders>
            <w:shd w:val="clear" w:color="auto" w:fill="D2DCE5"/>
          </w:tcPr>
          <w:p>
            <w:pPr>
              <w:spacing w:after="0"/>
              <w:rPr>
                <w:sz w:val="23"/>
                <w:szCs w:val="23"/>
                <w:color w:val="auto"/>
              </w:rPr>
            </w:pPr>
          </w:p>
        </w:tc>
        <w:tc>
          <w:tcPr>
            <w:tcW w:w="5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(55,048)</w:t>
            </w:r>
          </w:p>
        </w:tc>
        <w:tc>
          <w:tcPr>
            <w:tcW w:w="0" w:type="dxa"/>
            <w:vAlign w:val="bottom"/>
          </w:tcPr>
          <w:p>
            <w:pPr>
              <w:spacing w:after="0"/>
              <w:rPr>
                <w:sz w:val="1"/>
                <w:szCs w:val="1"/>
                <w:color w:val="auto"/>
              </w:rPr>
            </w:pPr>
          </w:p>
        </w:tc>
      </w:tr>
      <w:tr>
        <w:trPr>
          <w:trHeight w:val="263"/>
        </w:trPr>
        <w:tc>
          <w:tcPr>
            <w:tcW w:w="6640" w:type="dxa"/>
            <w:vAlign w:val="bottom"/>
            <w:gridSpan w:val="4"/>
          </w:tcPr>
          <w:p>
            <w:pPr>
              <w:ind w:left="140"/>
              <w:spacing w:after="0"/>
              <w:rPr>
                <w:sz w:val="20"/>
                <w:szCs w:val="20"/>
                <w:color w:val="auto"/>
              </w:rPr>
            </w:pPr>
            <w:r>
              <w:rPr>
                <w:rFonts w:ascii="Arial" w:cs="Arial" w:eastAsia="Arial" w:hAnsi="Arial"/>
                <w:sz w:val="18"/>
                <w:szCs w:val="18"/>
                <w:color w:val="131E29"/>
              </w:rPr>
              <w:t>Property and equipment, net</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290,721</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301,998</w:t>
            </w:r>
          </w:p>
        </w:tc>
        <w:tc>
          <w:tcPr>
            <w:tcW w:w="0" w:type="dxa"/>
            <w:vAlign w:val="bottom"/>
          </w:tcPr>
          <w:p>
            <w:pPr>
              <w:spacing w:after="0"/>
              <w:rPr>
                <w:sz w:val="1"/>
                <w:szCs w:val="1"/>
                <w:color w:val="auto"/>
              </w:rPr>
            </w:pPr>
          </w:p>
        </w:tc>
      </w:tr>
      <w:tr>
        <w:trPr>
          <w:trHeight w:val="21"/>
        </w:trPr>
        <w:tc>
          <w:tcPr>
            <w:tcW w:w="2040" w:type="dxa"/>
            <w:vAlign w:val="bottom"/>
            <w:vMerge w:val="restart"/>
          </w:tcPr>
          <w:p>
            <w:pPr>
              <w:spacing w:after="0"/>
              <w:rPr>
                <w:sz w:val="20"/>
                <w:szCs w:val="20"/>
                <w:color w:val="auto"/>
              </w:rPr>
            </w:pPr>
            <w:r>
              <w:rPr>
                <w:rFonts w:ascii="Arial" w:cs="Arial" w:eastAsia="Arial" w:hAnsi="Arial"/>
                <w:sz w:val="18"/>
                <w:szCs w:val="18"/>
                <w:color w:val="131E29"/>
              </w:rPr>
              <w:t>_______________</w:t>
            </w: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040" w:type="dxa"/>
            <w:vAlign w:val="bottom"/>
            <w:vMerge w:val="continue"/>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Aircraft is depreciated under the consumption method.</w:t>
      </w:r>
    </w:p>
    <w:p>
      <w:pPr>
        <w:spacing w:after="0" w:line="119"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9"/>
          <w:szCs w:val="19"/>
          <w:color w:val="131E29"/>
          <w:vertAlign w:val="superscript"/>
        </w:rPr>
      </w:pPr>
      <w:r>
        <w:rPr>
          <w:rFonts w:ascii="Arial" w:cs="Arial" w:eastAsia="Arial" w:hAnsi="Arial"/>
          <w:sz w:val="14"/>
          <w:szCs w:val="14"/>
          <w:color w:val="131E29"/>
        </w:rPr>
        <w:t>Construction-in-progress primarily consists of construction and equipment costs for new and existing shops.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131E29"/>
        </w:rPr>
        <w:t>Depreciation expense included in the Company’s condensed consolidated statements of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6,180</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4,163</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11,554</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8,138</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1,262</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depreciation expense</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6,893</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4,838</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12,966</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9,400</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No impairment charges were recognized for the six months ended June 30, 2022 and 2021.</w:t>
      </w:r>
    </w:p>
    <w:p>
      <w:pPr>
        <w:sectPr>
          <w:pgSz w:w="11900" w:h="16838" w:orient="portrait"/>
          <w:cols w:equalWidth="0" w:num="1">
            <w:col w:w="11240"/>
          </w:cols>
          <w:pgMar w:left="320" w:top="144"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00416B"/>
        </w:rPr>
        <w:t>NOTE 7 — Intangible Assets and Goodwill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The details of the intangible assets are as follows: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Reacquired franchise rights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accumulated amortization</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Intangibles,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9"/>
              </w:rPr>
              <w:t>Weighted-average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rPr>
              <w:t xml:space="preserve">amortization period </w:t>
            </w:r>
            <w:r>
              <w:rPr>
                <w:rFonts w:ascii="Arial" w:cs="Arial" w:eastAsia="Arial" w:hAnsi="Arial"/>
                <w:sz w:val="14"/>
                <w:szCs w:val="14"/>
                <w:color w:val="131E29"/>
              </w:rPr>
              <w:t>(in years)</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131E29"/>
              </w:rPr>
              <w:t>June 30, 2022</w:t>
            </w: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131E29"/>
              </w:rPr>
              <w:t>December 31, 2021</w:t>
            </w:r>
          </w:p>
        </w:tc>
      </w:tr>
      <w:tr>
        <w:trPr>
          <w:trHeight w:val="27"/>
        </w:trPr>
        <w:tc>
          <w:tcPr>
            <w:tcW w:w="2500" w:type="dxa"/>
            <w:vAlign w:val="bottom"/>
            <w:tcBorders>
              <w:bottom w:val="single" w:sz="8" w:color="131E29"/>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1420" w:type="dxa"/>
            <w:vAlign w:val="bottom"/>
            <w:tcBorders>
              <w:bottom w:val="single" w:sz="8" w:color="131E29"/>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131E29"/>
            </w:tcBorders>
          </w:tcPr>
          <w:p>
            <w:pPr>
              <w:spacing w:after="0"/>
              <w:rPr>
                <w:sz w:val="2"/>
                <w:szCs w:val="2"/>
                <w:color w:val="auto"/>
              </w:rPr>
            </w:pPr>
          </w:p>
        </w:tc>
        <w:tc>
          <w:tcPr>
            <w:tcW w:w="1160" w:type="dxa"/>
            <w:vAlign w:val="bottom"/>
            <w:tcBorders>
              <w:bottom w:val="single" w:sz="8" w:color="131E29"/>
            </w:tcBorders>
          </w:tcPr>
          <w:p>
            <w:pPr>
              <w:spacing w:after="0"/>
              <w:rPr>
                <w:sz w:val="2"/>
                <w:szCs w:val="2"/>
                <w:color w:val="auto"/>
              </w:rPr>
            </w:pPr>
          </w:p>
        </w:tc>
      </w:tr>
      <w:tr>
        <w:trPr>
          <w:trHeight w:val="236"/>
        </w:trPr>
        <w:tc>
          <w:tcPr>
            <w:tcW w:w="2500" w:type="dxa"/>
            <w:vAlign w:val="bottom"/>
          </w:tcPr>
          <w:p>
            <w:pPr>
              <w:jc w:val="center"/>
              <w:spacing w:after="0"/>
              <w:rPr>
                <w:sz w:val="20"/>
                <w:szCs w:val="20"/>
                <w:color w:val="auto"/>
              </w:rPr>
            </w:pPr>
            <w:r>
              <w:rPr>
                <w:rFonts w:ascii="Arial" w:cs="Arial" w:eastAsia="Arial" w:hAnsi="Arial"/>
                <w:sz w:val="18"/>
                <w:szCs w:val="18"/>
                <w:color w:val="131E29"/>
              </w:rPr>
              <w:t>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79"/>
              </w:rPr>
              <w:t>$</w:t>
            </w:r>
          </w:p>
        </w:tc>
        <w:tc>
          <w:tcPr>
            <w:tcW w:w="1420" w:type="dxa"/>
            <w:vAlign w:val="bottom"/>
          </w:tcPr>
          <w:p>
            <w:pPr>
              <w:jc w:val="center"/>
              <w:ind w:left="630"/>
              <w:spacing w:after="0"/>
              <w:rPr>
                <w:sz w:val="20"/>
                <w:szCs w:val="20"/>
                <w:color w:val="auto"/>
              </w:rPr>
            </w:pPr>
            <w:r>
              <w:rPr>
                <w:rFonts w:ascii="Arial" w:cs="Arial" w:eastAsia="Arial" w:hAnsi="Arial"/>
                <w:sz w:val="18"/>
                <w:szCs w:val="18"/>
                <w:color w:val="131E29"/>
                <w:w w:val="98"/>
              </w:rPr>
              <w:t>27,049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center"/>
              <w:ind w:left="370"/>
              <w:spacing w:after="0"/>
              <w:rPr>
                <w:sz w:val="20"/>
                <w:szCs w:val="20"/>
                <w:color w:val="auto"/>
              </w:rPr>
            </w:pPr>
            <w:r>
              <w:rPr>
                <w:rFonts w:ascii="Arial" w:cs="Arial" w:eastAsia="Arial" w:hAnsi="Arial"/>
                <w:sz w:val="18"/>
                <w:szCs w:val="18"/>
                <w:color w:val="131E29"/>
                <w:w w:val="98"/>
              </w:rPr>
              <w:t>25,314</w:t>
            </w:r>
          </w:p>
        </w:tc>
      </w:tr>
      <w:tr>
        <w:trPr>
          <w:trHeight w:val="270"/>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center"/>
              <w:ind w:left="610"/>
              <w:spacing w:after="0"/>
              <w:rPr>
                <w:sz w:val="20"/>
                <w:szCs w:val="20"/>
                <w:color w:val="auto"/>
              </w:rPr>
            </w:pPr>
            <w:r>
              <w:rPr>
                <w:rFonts w:ascii="Arial" w:cs="Arial" w:eastAsia="Arial" w:hAnsi="Arial"/>
                <w:sz w:val="18"/>
                <w:szCs w:val="18"/>
                <w:color w:val="131E29"/>
              </w:rPr>
              <w:t>(16,168)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color w:val="131E29"/>
              </w:rPr>
              <w:t>(14,211)</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79"/>
              </w:rPr>
              <w:t>$</w:t>
            </w:r>
          </w:p>
        </w:tc>
        <w:tc>
          <w:tcPr>
            <w:tcW w:w="1420" w:type="dxa"/>
            <w:vAlign w:val="bottom"/>
          </w:tcPr>
          <w:p>
            <w:pPr>
              <w:jc w:val="center"/>
              <w:ind w:left="630"/>
              <w:spacing w:after="0"/>
              <w:rPr>
                <w:sz w:val="20"/>
                <w:szCs w:val="20"/>
                <w:color w:val="auto"/>
              </w:rPr>
            </w:pPr>
            <w:r>
              <w:rPr>
                <w:rFonts w:ascii="Arial" w:cs="Arial" w:eastAsia="Arial" w:hAnsi="Arial"/>
                <w:sz w:val="18"/>
                <w:szCs w:val="18"/>
                <w:color w:val="131E29"/>
                <w:w w:val="98"/>
              </w:rPr>
              <w:t>10,881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center"/>
              <w:ind w:left="370"/>
              <w:spacing w:after="0"/>
              <w:rPr>
                <w:sz w:val="20"/>
                <w:szCs w:val="20"/>
                <w:color w:val="auto"/>
              </w:rPr>
            </w:pPr>
            <w:r>
              <w:rPr>
                <w:rFonts w:ascii="Arial" w:cs="Arial" w:eastAsia="Arial" w:hAnsi="Arial"/>
                <w:sz w:val="18"/>
                <w:szCs w:val="18"/>
                <w:color w:val="131E29"/>
                <w:w w:val="98"/>
              </w:rPr>
              <w:t>11,103</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-213995</wp:posOffset>
            </wp:positionV>
            <wp:extent cx="713232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-565150</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98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Amortization expense included in the Company’s condensed consolidated statements of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1,042</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843</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1,957</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1,631</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r>
        <w:trPr>
          <w:trHeight w:val="419"/>
        </w:trPr>
        <w:tc>
          <w:tcPr>
            <w:tcW w:w="9920" w:type="dxa"/>
            <w:vAlign w:val="bottom"/>
            <w:gridSpan w:val="13"/>
          </w:tcPr>
          <w:p>
            <w:pPr>
              <w:spacing w:after="0"/>
              <w:rPr>
                <w:sz w:val="20"/>
                <w:szCs w:val="20"/>
                <w:color w:val="auto"/>
              </w:rPr>
            </w:pPr>
            <w:r>
              <w:rPr>
                <w:rFonts w:ascii="Arial" w:cs="Arial" w:eastAsia="Arial" w:hAnsi="Arial"/>
                <w:sz w:val="18"/>
                <w:szCs w:val="18"/>
                <w:color w:val="131E29"/>
              </w:rPr>
              <w:t>The estimated future amortization expense of the reacquired franchise rights as of June 30, 2022 is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3"/>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
        </w:trPr>
        <w:tc>
          <w:tcPr>
            <w:tcW w:w="5660" w:type="dxa"/>
            <w:vAlign w:val="bottom"/>
            <w:tcBorders>
              <w:bottom w:val="single" w:sz="8" w:color="131E29"/>
            </w:tcBorders>
            <w:gridSpan w:val="2"/>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9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2,077</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3,389</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2,469</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1,435</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9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681</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830</w:t>
            </w:r>
          </w:p>
        </w:tc>
      </w:tr>
      <w:tr>
        <w:trPr>
          <w:trHeight w:val="27"/>
        </w:trPr>
        <w:tc>
          <w:tcPr>
            <w:tcW w:w="5660" w:type="dxa"/>
            <w:vAlign w:val="bottom"/>
            <w:tcBorders>
              <w:bottom w:val="single" w:sz="8" w:color="D2DCE5"/>
            </w:tcBorders>
            <w:gridSpan w:val="2"/>
          </w:tcPr>
          <w:p>
            <w:pPr>
              <w:spacing w:after="0"/>
              <w:rPr>
                <w:sz w:val="2"/>
                <w:szCs w:val="2"/>
                <w:color w:val="auto"/>
              </w:rPr>
            </w:pPr>
          </w:p>
        </w:tc>
        <w:tc>
          <w:tcPr>
            <w:tcW w:w="300" w:type="dxa"/>
            <w:vAlign w:val="bottom"/>
            <w:tcBorders>
              <w:bottom w:val="single" w:sz="8" w:color="D2DCE5"/>
            </w:tcBorders>
          </w:tcPr>
          <w:p>
            <w:pPr>
              <w:spacing w:after="0"/>
              <w:rPr>
                <w:sz w:val="2"/>
                <w:szCs w:val="2"/>
                <w:color w:val="auto"/>
              </w:rPr>
            </w:pPr>
          </w:p>
        </w:tc>
        <w:tc>
          <w:tcPr>
            <w:tcW w:w="10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D2DCE5"/>
            </w:tcBorders>
          </w:tcPr>
          <w:p>
            <w:pPr>
              <w:spacing w:after="0"/>
              <w:rPr>
                <w:sz w:val="2"/>
                <w:szCs w:val="2"/>
                <w:color w:val="auto"/>
              </w:rPr>
            </w:pPr>
          </w:p>
        </w:tc>
        <w:tc>
          <w:tcPr>
            <w:tcW w:w="10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D2DCE5"/>
            </w:tcBorders>
          </w:tcPr>
          <w:p>
            <w:pPr>
              <w:spacing w:after="0"/>
              <w:rPr>
                <w:sz w:val="2"/>
                <w:szCs w:val="2"/>
                <w:color w:val="auto"/>
              </w:rPr>
            </w:pPr>
          </w:p>
        </w:tc>
        <w:tc>
          <w:tcPr>
            <w:tcW w:w="9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8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83"/>
        </w:trPr>
        <w:tc>
          <w:tcPr>
            <w:tcW w:w="566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Total</w:t>
            </w:r>
          </w:p>
        </w:tc>
        <w:tc>
          <w:tcPr>
            <w:tcW w:w="300" w:type="dxa"/>
            <w:vAlign w:val="bottom"/>
            <w:shd w:val="clear" w:color="auto" w:fill="D2DCE5"/>
          </w:tcPr>
          <w:p>
            <w:pPr>
              <w:spacing w:after="0"/>
              <w:rPr>
                <w:sz w:val="24"/>
                <w:szCs w:val="24"/>
                <w:color w:val="auto"/>
              </w:rPr>
            </w:pPr>
          </w:p>
        </w:tc>
        <w:tc>
          <w:tcPr>
            <w:tcW w:w="10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spacing w:after="0"/>
              <w:rPr>
                <w:sz w:val="24"/>
                <w:szCs w:val="24"/>
                <w:color w:val="auto"/>
              </w:rPr>
            </w:pPr>
          </w:p>
        </w:tc>
        <w:tc>
          <w:tcPr>
            <w:tcW w:w="102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160" w:type="dxa"/>
            <w:vAlign w:val="bottom"/>
            <w:shd w:val="clear" w:color="auto" w:fill="D2DCE5"/>
          </w:tcPr>
          <w:p>
            <w:pPr>
              <w:spacing w:after="0"/>
              <w:rPr>
                <w:sz w:val="24"/>
                <w:szCs w:val="24"/>
                <w:color w:val="auto"/>
              </w:rPr>
            </w:pPr>
          </w:p>
        </w:tc>
        <w:tc>
          <w:tcPr>
            <w:tcW w:w="1160" w:type="dxa"/>
            <w:vAlign w:val="bottom"/>
            <w:gridSpan w:val="3"/>
            <w:shd w:val="clear" w:color="auto" w:fill="D2DCE5"/>
          </w:tcPr>
          <w:p>
            <w:pPr>
              <w:jc w:val="right"/>
              <w:ind w:right="40"/>
              <w:spacing w:after="0"/>
              <w:rPr>
                <w:sz w:val="20"/>
                <w:szCs w:val="20"/>
                <w:color w:val="auto"/>
              </w:rPr>
            </w:pPr>
            <w:r>
              <w:rPr>
                <w:rFonts w:ascii="Arial" w:cs="Arial" w:eastAsia="Arial" w:hAnsi="Arial"/>
                <w:sz w:val="18"/>
                <w:szCs w:val="18"/>
                <w:color w:val="131E29"/>
              </w:rPr>
              <w:t>$</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spacing w:after="0"/>
              <w:rPr>
                <w:sz w:val="24"/>
                <w:szCs w:val="24"/>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10,881</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10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131E29"/>
              <w:bottom w:val="single" w:sz="8" w:color="131E29"/>
            </w:tcBorders>
          </w:tcPr>
          <w:p>
            <w:pPr>
              <w:spacing w:after="0" w:line="20" w:lineRule="exact"/>
              <w:rPr>
                <w:sz w:val="1"/>
                <w:szCs w:val="1"/>
                <w:color w:val="auto"/>
              </w:rPr>
            </w:pPr>
          </w:p>
        </w:tc>
        <w:tc>
          <w:tcPr>
            <w:tcW w:w="100" w:type="dxa"/>
            <w:vAlign w:val="bottom"/>
            <w:tcBorders>
              <w:top w:val="single" w:sz="8" w:color="131E29"/>
              <w:bottom w:val="single" w:sz="8" w:color="131E29"/>
            </w:tcBorders>
          </w:tcPr>
          <w:p>
            <w:pPr>
              <w:spacing w:after="0" w:line="20" w:lineRule="exact"/>
              <w:rPr>
                <w:sz w:val="1"/>
                <w:szCs w:val="1"/>
                <w:color w:val="auto"/>
              </w:rPr>
            </w:pPr>
          </w:p>
        </w:tc>
        <w:tc>
          <w:tcPr>
            <w:tcW w:w="280" w:type="dxa"/>
            <w:vAlign w:val="bottom"/>
            <w:tcBorders>
              <w:top w:val="single" w:sz="8" w:color="131E29"/>
              <w:bottom w:val="single" w:sz="8" w:color="131E29"/>
            </w:tcBorders>
          </w:tcPr>
          <w:p>
            <w:pPr>
              <w:spacing w:after="0" w:line="20" w:lineRule="exact"/>
              <w:rPr>
                <w:sz w:val="1"/>
                <w:szCs w:val="1"/>
                <w:color w:val="auto"/>
              </w:rPr>
            </w:pPr>
          </w:p>
        </w:tc>
        <w:tc>
          <w:tcPr>
            <w:tcW w:w="1040" w:type="dxa"/>
            <w:vAlign w:val="bottom"/>
            <w:tcBorders>
              <w:top w:val="single" w:sz="8" w:color="131E29"/>
              <w:bottom w:val="single" w:sz="8" w:color="131E29"/>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Goodwill is allocated entirely to the Company-operated shops segment. The carrying amount and activity of goodwill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2021</w:t>
            </w:r>
          </w:p>
        </w:tc>
        <w:tc>
          <w:tcPr>
            <w:tcW w:w="54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18,715</w:t>
            </w: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Business combinations</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2,914</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June 30, 2022</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21,629</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No impairment charges were recognized for the six months ended June 30, 2022 and 2021.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8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Adoption of ASC 842</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Company adopted ASC 842, as amended, using the modified retrospective transition method with an effective date of January 1, 2022. The modified retrospective approach permits a company to use its effective date as the date of initial application to apply the standard to its leases, and, therefore, not restate comparative prior period financial information. As such, results for reporting periods beginning on or after January 1, 2022 are presented under ASC 842. Prior period amounts were not revised and continue to be reported in accordance with ASC Topic 840 (ASC 840). Further, disclosures required under the new standard will not be provided for dates and periods prior to January 1, 2022. The adoption of the lease standard resulted in a cumulative adjustment to opening equity of $1.3 million.</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Upon adoption, the Company recognized additional operating lease liabilities of $152.8 million based on the present value of the remaining lease payments for existing operating leases, and right-of-use assets of $150.7 million, net of reductions for the impacts of deferred rents. As part of the transition, the Company derecognized all landlord funded lease incentives and deemed landlord financing liabilities, including capital assets related to previous sale and leaseback transactions which were remeasured under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standard provides several optional practical expedients in transition. The Company elected the package of practical expedients, which permits it to not reassess, under the new standard, the Company's prior conclusions about lease identification, lease classification and initial direct costs. As such, the Company applied the modified retrospective transition method as of the adoption date to those lease contracts for which it had taken possession of the property as of January 1, 2022.</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Company also elected the practical expedient pertaining to land easements and did not elect the practical expedient related to use-of-hindsight. The new standard also provides practical expedients for an entity’s ongoing accounting. The Company elected the short-term lease recognition exemption and also the practical expedient to not separate lease and non-lease components for all its leases.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Upon transition, on January 1, 2022, the Company recorded the following increases (decreases) to the respective line items on its condensed consolidated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ind w:right="258"/>
              <w:spacing w:after="0"/>
              <w:rPr>
                <w:sz w:val="20"/>
                <w:szCs w:val="20"/>
                <w:color w:val="auto"/>
              </w:rPr>
            </w:pPr>
            <w:r>
              <w:rPr>
                <w:rFonts w:ascii="Arial" w:cs="Arial" w:eastAsia="Arial" w:hAnsi="Arial"/>
                <w:sz w:val="18"/>
                <w:szCs w:val="18"/>
                <w:b w:val="1"/>
                <w:bCs w:val="1"/>
                <w:color w:val="131E29"/>
              </w:rPr>
              <w:t>Adjustments as of</w:t>
            </w:r>
          </w:p>
        </w:tc>
      </w:tr>
      <w:tr>
        <w:trPr>
          <w:trHeight w:val="240"/>
        </w:trPr>
        <w:tc>
          <w:tcPr>
            <w:tcW w:w="89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40" w:type="dxa"/>
            <w:vAlign w:val="bottom"/>
          </w:tcPr>
          <w:p>
            <w:pPr>
              <w:spacing w:after="0"/>
              <w:rPr>
                <w:sz w:val="20"/>
                <w:szCs w:val="20"/>
                <w:color w:val="auto"/>
              </w:rPr>
            </w:pPr>
          </w:p>
        </w:tc>
        <w:tc>
          <w:tcPr>
            <w:tcW w:w="2020" w:type="dxa"/>
            <w:vAlign w:val="bottom"/>
          </w:tcPr>
          <w:p>
            <w:pPr>
              <w:jc w:val="right"/>
              <w:ind w:right="378"/>
              <w:spacing w:after="0"/>
              <w:rPr>
                <w:sz w:val="20"/>
                <w:szCs w:val="20"/>
                <w:color w:val="auto"/>
              </w:rPr>
            </w:pPr>
            <w:r>
              <w:rPr>
                <w:rFonts w:ascii="Arial" w:cs="Arial" w:eastAsia="Arial" w:hAnsi="Arial"/>
                <w:sz w:val="18"/>
                <w:szCs w:val="18"/>
                <w:b w:val="1"/>
                <w:bCs w:val="1"/>
                <w:color w:val="131E29"/>
              </w:rPr>
              <w:t>January 1, 2022</w:t>
            </w:r>
          </w:p>
        </w:tc>
      </w:tr>
      <w:tr>
        <w:trPr>
          <w:trHeight w:val="26"/>
        </w:trPr>
        <w:tc>
          <w:tcPr>
            <w:tcW w:w="89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2020" w:type="dxa"/>
            <w:vAlign w:val="bottom"/>
            <w:tcBorders>
              <w:bottom w:val="single" w:sz="8" w:color="131E29"/>
            </w:tcBorders>
          </w:tcPr>
          <w:p>
            <w:pPr>
              <w:spacing w:after="0"/>
              <w:rPr>
                <w:sz w:val="2"/>
                <w:szCs w:val="2"/>
                <w:color w:val="auto"/>
              </w:rPr>
            </w:pPr>
          </w:p>
        </w:tc>
      </w:tr>
      <w:tr>
        <w:trPr>
          <w:trHeight w:val="236"/>
        </w:trPr>
        <w:tc>
          <w:tcPr>
            <w:tcW w:w="8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Property and equipment, net</w:t>
            </w:r>
          </w:p>
        </w:tc>
        <w:tc>
          <w:tcPr>
            <w:tcW w:w="24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(79,821)</w:t>
            </w:r>
          </w:p>
        </w:tc>
      </w:tr>
      <w:tr>
        <w:trPr>
          <w:trHeight w:val="233"/>
        </w:trPr>
        <w:tc>
          <w:tcPr>
            <w:tcW w:w="8980" w:type="dxa"/>
            <w:vAlign w:val="bottom"/>
            <w:gridSpan w:val="2"/>
          </w:tcPr>
          <w:p>
            <w:pPr>
              <w:ind w:left="20"/>
              <w:spacing w:after="0"/>
              <w:rPr>
                <w:sz w:val="20"/>
                <w:szCs w:val="20"/>
                <w:color w:val="auto"/>
              </w:rPr>
            </w:pPr>
            <w:r>
              <w:rPr>
                <w:rFonts w:ascii="Arial" w:cs="Arial" w:eastAsia="Arial" w:hAnsi="Arial"/>
                <w:sz w:val="16"/>
                <w:szCs w:val="16"/>
                <w:color w:val="131E29"/>
              </w:rPr>
              <w:t>Finance lease right-of-use assets</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111,826</w:t>
            </w:r>
          </w:p>
        </w:tc>
      </w:tr>
      <w:tr>
        <w:trPr>
          <w:trHeight w:val="253"/>
        </w:trPr>
        <w:tc>
          <w:tcPr>
            <w:tcW w:w="8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Operating lease right-of-use assets</w:t>
            </w:r>
          </w:p>
        </w:tc>
        <w:tc>
          <w:tcPr>
            <w:tcW w:w="24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150,689</w:t>
            </w:r>
          </w:p>
        </w:tc>
      </w:tr>
      <w:tr>
        <w:trPr>
          <w:trHeight w:val="233"/>
        </w:trPr>
        <w:tc>
          <w:tcPr>
            <w:tcW w:w="8980" w:type="dxa"/>
            <w:vAlign w:val="bottom"/>
            <w:gridSpan w:val="2"/>
          </w:tcPr>
          <w:p>
            <w:pPr>
              <w:ind w:left="20"/>
              <w:spacing w:after="0"/>
              <w:rPr>
                <w:sz w:val="20"/>
                <w:szCs w:val="20"/>
                <w:color w:val="auto"/>
              </w:rPr>
            </w:pPr>
            <w:r>
              <w:rPr>
                <w:rFonts w:ascii="Arial" w:cs="Arial" w:eastAsia="Arial" w:hAnsi="Arial"/>
                <w:sz w:val="16"/>
                <w:szCs w:val="16"/>
                <w:color w:val="131E29"/>
              </w:rPr>
              <w:t>Deferred rent</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(3,153)</w:t>
            </w:r>
          </w:p>
        </w:tc>
      </w:tr>
      <w:tr>
        <w:trPr>
          <w:trHeight w:val="253"/>
        </w:trPr>
        <w:tc>
          <w:tcPr>
            <w:tcW w:w="8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Current portion of finance lease obligations</w:t>
            </w:r>
          </w:p>
        </w:tc>
        <w:tc>
          <w:tcPr>
            <w:tcW w:w="24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607</w:t>
            </w:r>
          </w:p>
        </w:tc>
      </w:tr>
      <w:tr>
        <w:trPr>
          <w:trHeight w:val="233"/>
        </w:trPr>
        <w:tc>
          <w:tcPr>
            <w:tcW w:w="8980" w:type="dxa"/>
            <w:vAlign w:val="bottom"/>
            <w:gridSpan w:val="2"/>
          </w:tcPr>
          <w:p>
            <w:pPr>
              <w:ind w:left="20"/>
              <w:spacing w:after="0"/>
              <w:rPr>
                <w:sz w:val="20"/>
                <w:szCs w:val="20"/>
                <w:color w:val="auto"/>
              </w:rPr>
            </w:pPr>
            <w:r>
              <w:rPr>
                <w:rFonts w:ascii="Arial" w:cs="Arial" w:eastAsia="Arial" w:hAnsi="Arial"/>
                <w:sz w:val="16"/>
                <w:szCs w:val="16"/>
                <w:color w:val="131E29"/>
              </w:rPr>
              <w:t>Current portion of operating lease obligations</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8,430</w:t>
            </w:r>
          </w:p>
        </w:tc>
      </w:tr>
      <w:tr>
        <w:trPr>
          <w:trHeight w:val="253"/>
        </w:trPr>
        <w:tc>
          <w:tcPr>
            <w:tcW w:w="8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Current portion of long-term debt</w:t>
            </w:r>
          </w:p>
        </w:tc>
        <w:tc>
          <w:tcPr>
            <w:tcW w:w="24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(46)</w:t>
            </w:r>
          </w:p>
        </w:tc>
      </w:tr>
      <w:tr>
        <w:trPr>
          <w:trHeight w:val="233"/>
        </w:trPr>
        <w:tc>
          <w:tcPr>
            <w:tcW w:w="8980" w:type="dxa"/>
            <w:vAlign w:val="bottom"/>
            <w:gridSpan w:val="2"/>
          </w:tcPr>
          <w:p>
            <w:pPr>
              <w:ind w:left="20"/>
              <w:spacing w:after="0"/>
              <w:rPr>
                <w:sz w:val="20"/>
                <w:szCs w:val="20"/>
                <w:color w:val="auto"/>
              </w:rPr>
            </w:pPr>
            <w:r>
              <w:rPr>
                <w:rFonts w:ascii="Arial" w:cs="Arial" w:eastAsia="Arial" w:hAnsi="Arial"/>
                <w:sz w:val="16"/>
                <w:szCs w:val="16"/>
                <w:color w:val="131E29"/>
              </w:rPr>
              <w:t>Finance lease obligations, net of current portion</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32,534</w:t>
            </w:r>
          </w:p>
        </w:tc>
      </w:tr>
      <w:tr>
        <w:trPr>
          <w:trHeight w:val="253"/>
        </w:trPr>
        <w:tc>
          <w:tcPr>
            <w:tcW w:w="8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Operating lease obligations, net of current portion</w:t>
            </w:r>
          </w:p>
        </w:tc>
        <w:tc>
          <w:tcPr>
            <w:tcW w:w="24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144,405</w:t>
            </w:r>
          </w:p>
        </w:tc>
      </w:tr>
      <w:tr>
        <w:trPr>
          <w:trHeight w:val="233"/>
        </w:trPr>
        <w:tc>
          <w:tcPr>
            <w:tcW w:w="8980" w:type="dxa"/>
            <w:vAlign w:val="bottom"/>
            <w:gridSpan w:val="2"/>
          </w:tcPr>
          <w:p>
            <w:pPr>
              <w:ind w:left="20"/>
              <w:spacing w:after="0"/>
              <w:rPr>
                <w:sz w:val="20"/>
                <w:szCs w:val="20"/>
                <w:color w:val="auto"/>
              </w:rPr>
            </w:pPr>
            <w:r>
              <w:rPr>
                <w:rFonts w:ascii="Arial" w:cs="Arial" w:eastAsia="Arial" w:hAnsi="Arial"/>
                <w:sz w:val="16"/>
                <w:szCs w:val="16"/>
                <w:color w:val="131E29"/>
              </w:rPr>
              <w:t>Long-term debt, net of current portion</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(1,426)</w:t>
            </w:r>
          </w:p>
        </w:tc>
      </w:tr>
      <w:tr>
        <w:trPr>
          <w:trHeight w:val="253"/>
        </w:trPr>
        <w:tc>
          <w:tcPr>
            <w:tcW w:w="89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Accumulated deficit</w:t>
            </w:r>
          </w:p>
        </w:tc>
        <w:tc>
          <w:tcPr>
            <w:tcW w:w="240" w:type="dxa"/>
            <w:vAlign w:val="bottom"/>
            <w:shd w:val="clear" w:color="auto" w:fill="D2DCE5"/>
          </w:tcPr>
          <w:p>
            <w:pPr>
              <w:spacing w:after="0"/>
              <w:rPr>
                <w:sz w:val="21"/>
                <w:szCs w:val="21"/>
                <w:color w:val="auto"/>
              </w:rPr>
            </w:pPr>
          </w:p>
        </w:tc>
        <w:tc>
          <w:tcPr>
            <w:tcW w:w="2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386</w:t>
            </w:r>
          </w:p>
        </w:tc>
      </w:tr>
      <w:tr>
        <w:trPr>
          <w:trHeight w:val="223"/>
        </w:trPr>
        <w:tc>
          <w:tcPr>
            <w:tcW w:w="8980" w:type="dxa"/>
            <w:vAlign w:val="bottom"/>
            <w:gridSpan w:val="2"/>
          </w:tcPr>
          <w:p>
            <w:pPr>
              <w:ind w:left="20"/>
              <w:spacing w:after="0"/>
              <w:rPr>
                <w:sz w:val="20"/>
                <w:szCs w:val="20"/>
                <w:color w:val="auto"/>
              </w:rPr>
            </w:pPr>
            <w:r>
              <w:rPr>
                <w:rFonts w:ascii="Arial" w:cs="Arial" w:eastAsia="Arial" w:hAnsi="Arial"/>
                <w:sz w:val="16"/>
                <w:szCs w:val="16"/>
                <w:color w:val="131E29"/>
              </w:rPr>
              <w:t>Non-controlling interests</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131E29"/>
              </w:rPr>
              <w:t>957</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Nature of Leases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Company leases all of its domestic company-operated shops, warehouse facilities, headquarters buildings, and certain equipment under various non-cancelable lease agreements that expire on various dates through 2041. The Company evaluates contracts entered into to determine whether the contract involves the use of property or equipment, which is either explicitly or implicitly identified in the contract. The Company evaluates whether it controls the use of the asset, which is determined by assessing whether it obtains substantially all economic benefits from the use of the asset, and whether the Company has the right to direct the use of the asset. If these criteria are met and a lease has been identified, the Company accounts for the contract under the requirements of ASC 842.</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Lease commencement is determined when the Company takes possession of a leased asset, at which time the Company also determines the lease classification as an operating or finance lease. The Company’s real estate leases consist of commercial ground leases (land only) and build-to-suit leases (land and building).</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real estate leases are a combination of both operating and finance leases, depending on evaluation of the lease terms. Generally, the Company’s real estate leases have an initial term of 15 years and typically include two to three renewal options at five-years each. These renewal options are included in the lease term when it is reasonably certain that the option will be exercised. For commercial ground leases, one five-year renewal is included in the Company’s initial lease term calculations. The Company’s real estate leases typically provide for fixed minimum rent payments. For operating leases, the Company recognizes lease expense on a straight-line basis over the lease term from the date the Company takes possession of the leased property. Lease expense incurred before a lease commences is included in the calculation of the right-of-use asset. Once a lease commences, the Company records lease expense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cost of sales or selling, general and administrative expense on the Company’s condensed consolidated statements of operations, depending on the lease classification. Variable lease costs generally include payments for additional rent such as real estate taxes, insurance, and common area maintenance, and are excluded from the measurement of the lease liability. Variable lease costs are included in cost of sales on the condensed consolidated statements of operations.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calculates right-of-use assets and lease liabilities based on the present value of the fixed lease payments, including any estimated lease incentives, at lease commencement using its incremental borrowing rate, applied on a portfolio basis. As the rate implicit in the Company’s leases cannot be readily determined, the discount rate used to measure the lease liability is equal to the rate the Company would pay on a collateralized basis to borrow an amount equal to the lease payments under similar terms.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Company expends cash for leasehold improvements to build out and equip its leased premises. For certain leases, a portion of the leasehold improvements and building costs are reimbursed by landlords as landlord incentives pursuant to agreed-upon terms in the Company’s lease agreements. Landlord incentives, if obtained, are received in cash after the Company takes possession of the property, and as the Company meets required milestones during the construction of the property. The Company includes these amounts in the measurement of the initial right-of-use asset and lease liability.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131E29"/>
        </w:rPr>
        <w:t>A summary of finance and operating lease right-of-use assets and lease liabilities as of June 30, 2022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0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600" w:type="dxa"/>
            <w:vAlign w:val="bottom"/>
            <w:gridSpan w:val="2"/>
          </w:tcPr>
          <w:p>
            <w:pPr>
              <w:ind w:left="1520"/>
              <w:spacing w:after="0"/>
              <w:rPr>
                <w:sz w:val="20"/>
                <w:szCs w:val="20"/>
                <w:color w:val="auto"/>
              </w:rPr>
            </w:pPr>
            <w:r>
              <w:rPr>
                <w:rFonts w:ascii="Arial" w:cs="Arial" w:eastAsia="Arial" w:hAnsi="Arial"/>
                <w:sz w:val="18"/>
                <w:szCs w:val="18"/>
                <w:b w:val="1"/>
                <w:bCs w:val="1"/>
                <w:color w:val="131E29"/>
              </w:rPr>
              <w:t>Balance Sheet Classification</w:t>
            </w:r>
          </w:p>
        </w:tc>
        <w:tc>
          <w:tcPr>
            <w:tcW w:w="240" w:type="dxa"/>
            <w:vAlign w:val="bottom"/>
          </w:tcPr>
          <w:p>
            <w:pPr>
              <w:spacing w:after="0"/>
              <w:rPr>
                <w:sz w:val="20"/>
                <w:szCs w:val="20"/>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131E29"/>
              </w:rPr>
              <w:t>June 30, 2022</w:t>
            </w:r>
          </w:p>
        </w:tc>
      </w:tr>
      <w:tr>
        <w:trPr>
          <w:trHeight w:val="26"/>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Right-of-use assets</w:t>
            </w:r>
          </w:p>
        </w:tc>
        <w:tc>
          <w:tcPr>
            <w:tcW w:w="55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spacing w:after="0"/>
              <w:rPr>
                <w:sz w:val="21"/>
                <w:szCs w:val="21"/>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5600" w:type="dxa"/>
            <w:vAlign w:val="bottom"/>
            <w:gridSpan w:val="2"/>
          </w:tcPr>
          <w:p>
            <w:pPr>
              <w:ind w:left="20"/>
              <w:spacing w:after="0"/>
              <w:rPr>
                <w:sz w:val="20"/>
                <w:szCs w:val="20"/>
                <w:color w:val="auto"/>
              </w:rPr>
            </w:pPr>
            <w:r>
              <w:rPr>
                <w:rFonts w:ascii="Arial" w:cs="Arial" w:eastAsia="Arial" w:hAnsi="Arial"/>
                <w:sz w:val="18"/>
                <w:szCs w:val="18"/>
                <w:color w:val="131E29"/>
              </w:rPr>
              <w:t>Finance lease right-of-use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131E29"/>
              </w:rPr>
              <w:t>167,220</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Operating lease right-of-use assets</w:t>
            </w:r>
          </w:p>
        </w:tc>
        <w:tc>
          <w:tcPr>
            <w:tcW w:w="240" w:type="dxa"/>
            <w:vAlign w:val="bottom"/>
            <w:tcBorders>
              <w:bottom w:val="single" w:sz="8" w:color="D2DCE5"/>
            </w:tcBorders>
            <w:shd w:val="clear" w:color="auto" w:fill="D2DCE5"/>
          </w:tcPr>
          <w:p>
            <w:pPr>
              <w:spacing w:after="0"/>
              <w:rPr>
                <w:sz w:val="23"/>
                <w:szCs w:val="23"/>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159,680</w:t>
            </w:r>
          </w:p>
        </w:tc>
      </w:tr>
      <w:tr>
        <w:trPr>
          <w:trHeight w:val="26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131E29"/>
              </w:rPr>
              <w:t>Total right-of-use assets</w:t>
            </w:r>
          </w:p>
        </w:tc>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131E29"/>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326,900</w:t>
            </w:r>
          </w:p>
        </w:tc>
      </w:tr>
      <w:tr>
        <w:trPr>
          <w:trHeight w:val="20"/>
        </w:trPr>
        <w:tc>
          <w:tcPr>
            <w:tcW w:w="36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55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4"/>
        </w:trPr>
        <w:tc>
          <w:tcPr>
            <w:tcW w:w="36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55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700" w:type="dxa"/>
            <w:vAlign w:val="bottom"/>
            <w:shd w:val="clear" w:color="auto" w:fill="D2DCE5"/>
          </w:tcPr>
          <w:p>
            <w:pPr>
              <w:spacing w:after="0"/>
              <w:rPr>
                <w:sz w:val="19"/>
                <w:szCs w:val="19"/>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131E29"/>
              </w:rPr>
              <w:t>Lease liabilities</w:t>
            </w: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Finance leases</w:t>
            </w:r>
          </w:p>
        </w:tc>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Current portion of finance lease obligations</w:t>
            </w: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5,340</w:t>
            </w:r>
          </w:p>
        </w:tc>
      </w:tr>
      <w:tr>
        <w:trPr>
          <w:trHeight w:val="243"/>
        </w:trPr>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131E29"/>
              </w:rPr>
              <w:t>Finance lease obligations, net of current portion</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167,236</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62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55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40" w:type="dxa"/>
            <w:vAlign w:val="bottom"/>
            <w:shd w:val="clear" w:color="auto" w:fill="D2DCE5"/>
          </w:tcPr>
          <w:p>
            <w:pPr>
              <w:spacing w:after="0"/>
              <w:rPr>
                <w:sz w:val="23"/>
                <w:szCs w:val="23"/>
                <w:color w:val="auto"/>
              </w:rPr>
            </w:pPr>
          </w:p>
        </w:tc>
        <w:tc>
          <w:tcPr>
            <w:tcW w:w="1700" w:type="dxa"/>
            <w:vAlign w:val="bottom"/>
            <w:shd w:val="clear" w:color="auto" w:fill="D2DCE5"/>
          </w:tcPr>
          <w:p>
            <w:pPr>
              <w:spacing w:after="0"/>
              <w:rPr>
                <w:sz w:val="23"/>
                <w:szCs w:val="23"/>
                <w:color w:val="auto"/>
              </w:rPr>
            </w:pPr>
          </w:p>
        </w:tc>
      </w:tr>
      <w:tr>
        <w:trPr>
          <w:trHeight w:val="243"/>
        </w:trPr>
        <w:tc>
          <w:tcPr>
            <w:tcW w:w="3700" w:type="dxa"/>
            <w:vAlign w:val="bottom"/>
            <w:gridSpan w:val="2"/>
          </w:tcPr>
          <w:p>
            <w:pPr>
              <w:ind w:left="180"/>
              <w:spacing w:after="0"/>
              <w:rPr>
                <w:sz w:val="20"/>
                <w:szCs w:val="20"/>
                <w:color w:val="auto"/>
              </w:rPr>
            </w:pPr>
            <w:r>
              <w:rPr>
                <w:rFonts w:ascii="Arial" w:cs="Arial" w:eastAsia="Arial" w:hAnsi="Arial"/>
                <w:sz w:val="18"/>
                <w:szCs w:val="18"/>
                <w:color w:val="131E29"/>
              </w:rPr>
              <w:t>Operating leases</w:t>
            </w:r>
          </w:p>
        </w:tc>
        <w:tc>
          <w:tcPr>
            <w:tcW w:w="5600" w:type="dxa"/>
            <w:vAlign w:val="bottom"/>
            <w:gridSpan w:val="2"/>
          </w:tcPr>
          <w:p>
            <w:pPr>
              <w:ind w:left="20"/>
              <w:spacing w:after="0"/>
              <w:rPr>
                <w:sz w:val="20"/>
                <w:szCs w:val="20"/>
                <w:color w:val="auto"/>
              </w:rPr>
            </w:pPr>
            <w:r>
              <w:rPr>
                <w:rFonts w:ascii="Arial" w:cs="Arial" w:eastAsia="Arial" w:hAnsi="Arial"/>
                <w:sz w:val="18"/>
                <w:szCs w:val="18"/>
                <w:color w:val="131E29"/>
              </w:rPr>
              <w:t>Current portion of operating lease obligations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9,042</w:t>
            </w: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62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5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Operating lease obligations, net of current portion</w:t>
            </w:r>
          </w:p>
        </w:tc>
        <w:tc>
          <w:tcPr>
            <w:tcW w:w="240" w:type="dxa"/>
            <w:vAlign w:val="bottom"/>
            <w:tcBorders>
              <w:bottom w:val="single" w:sz="8" w:color="D2DCE5"/>
            </w:tcBorders>
            <w:shd w:val="clear" w:color="auto" w:fill="D2DCE5"/>
          </w:tcPr>
          <w:p>
            <w:pPr>
              <w:spacing w:after="0"/>
              <w:rPr>
                <w:sz w:val="23"/>
                <w:szCs w:val="23"/>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152,277</w:t>
            </w:r>
          </w:p>
        </w:tc>
      </w:tr>
      <w:tr>
        <w:trPr>
          <w:trHeight w:val="264"/>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131E29"/>
              </w:rPr>
              <w:t>Total lease liabilities</w:t>
            </w:r>
          </w:p>
        </w:tc>
        <w:tc>
          <w:tcPr>
            <w:tcW w:w="5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131E29"/>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333,895</w:t>
            </w:r>
          </w:p>
        </w:tc>
      </w:tr>
      <w:tr>
        <w:trPr>
          <w:trHeight w:val="20"/>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The components of lease cost were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2"/>
          </w:tcPr>
          <w:p>
            <w:pPr>
              <w:ind w:left="480"/>
              <w:spacing w:after="0"/>
              <w:rPr>
                <w:sz w:val="20"/>
                <w:szCs w:val="20"/>
                <w:color w:val="auto"/>
              </w:rPr>
            </w:pPr>
            <w:r>
              <w:rPr>
                <w:rFonts w:ascii="Arial" w:cs="Arial" w:eastAsia="Arial" w:hAnsi="Arial"/>
                <w:sz w:val="18"/>
                <w:szCs w:val="18"/>
                <w:b w:val="1"/>
                <w:bCs w:val="1"/>
                <w:color w:val="131E29"/>
              </w:rPr>
              <w:t>Statement of Operations</w:t>
            </w: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131E29"/>
                <w:w w:val="99"/>
              </w:rPr>
              <w:t>Three Months Ended</w:t>
            </w:r>
          </w:p>
        </w:tc>
        <w:tc>
          <w:tcPr>
            <w:tcW w:w="16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131E29"/>
              </w:rPr>
              <w:t>Six Months Ended</w:t>
            </w:r>
          </w:p>
        </w:tc>
      </w:tr>
      <w:tr>
        <w:trPr>
          <w:trHeight w:val="240"/>
        </w:trPr>
        <w:tc>
          <w:tcPr>
            <w:tcW w:w="41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140" w:type="dxa"/>
            <w:vAlign w:val="bottom"/>
            <w:gridSpan w:val="2"/>
          </w:tcPr>
          <w:p>
            <w:pPr>
              <w:ind w:left="940"/>
              <w:spacing w:after="0"/>
              <w:rPr>
                <w:sz w:val="20"/>
                <w:szCs w:val="20"/>
                <w:color w:val="auto"/>
              </w:rPr>
            </w:pPr>
            <w:r>
              <w:rPr>
                <w:rFonts w:ascii="Arial" w:cs="Arial" w:eastAsia="Arial" w:hAnsi="Arial"/>
                <w:sz w:val="18"/>
                <w:szCs w:val="18"/>
                <w:b w:val="1"/>
                <w:bCs w:val="1"/>
                <w:color w:val="131E29"/>
              </w:rPr>
              <w:t>Classification</w:t>
            </w:r>
          </w:p>
        </w:tc>
        <w:tc>
          <w:tcPr>
            <w:tcW w:w="260" w:type="dxa"/>
            <w:vAlign w:val="bottom"/>
          </w:tcPr>
          <w:p>
            <w:pPr>
              <w:spacing w:after="0"/>
              <w:rPr>
                <w:sz w:val="20"/>
                <w:szCs w:val="20"/>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131E29"/>
              </w:rPr>
              <w:t>June 30, 2022</w:t>
            </w:r>
          </w:p>
        </w:tc>
        <w:tc>
          <w:tcPr>
            <w:tcW w:w="16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b w:val="1"/>
                <w:bCs w:val="1"/>
                <w:color w:val="131E29"/>
              </w:rPr>
              <w:t>June 30, 2022</w:t>
            </w:r>
          </w:p>
        </w:tc>
      </w:tr>
      <w:tr>
        <w:trPr>
          <w:trHeight w:val="25"/>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4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cost</w:t>
            </w:r>
          </w:p>
        </w:tc>
        <w:tc>
          <w:tcPr>
            <w:tcW w:w="3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780" w:type="dxa"/>
            <w:vAlign w:val="bottom"/>
            <w:tcBorders>
              <w:bottom w:val="single" w:sz="8" w:color="D2DCE5"/>
            </w:tcBorders>
            <w:shd w:val="clear" w:color="auto" w:fill="D2DCE5"/>
          </w:tcPr>
          <w:p>
            <w:pPr>
              <w:spacing w:after="0"/>
              <w:rPr>
                <w:sz w:val="21"/>
                <w:szCs w:val="21"/>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131E29"/>
              </w:rPr>
              <w:t>Amortization of right-of-use assets</w:t>
            </w:r>
          </w:p>
        </w:tc>
        <w:tc>
          <w:tcPr>
            <w:tcW w:w="31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2,604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131E29"/>
              </w:rPr>
              <w:t>4,798</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41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 on lease liabilities</w:t>
            </w:r>
          </w:p>
        </w:tc>
        <w:tc>
          <w:tcPr>
            <w:tcW w:w="3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w:t>
            </w:r>
          </w:p>
        </w:tc>
        <w:tc>
          <w:tcPr>
            <w:tcW w:w="260" w:type="dxa"/>
            <w:vAlign w:val="bottom"/>
            <w:tcBorders>
              <w:bottom w:val="single" w:sz="8" w:color="D2DCE5"/>
            </w:tcBorders>
            <w:shd w:val="clear" w:color="auto" w:fill="D2DCE5"/>
          </w:tcPr>
          <w:p>
            <w:pPr>
              <w:spacing w:after="0"/>
              <w:rPr>
                <w:sz w:val="23"/>
                <w:szCs w:val="23"/>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2,056</w:t>
            </w:r>
          </w:p>
        </w:tc>
        <w:tc>
          <w:tcPr>
            <w:tcW w:w="8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3,779</w:t>
            </w:r>
          </w:p>
        </w:tc>
      </w:tr>
      <w:tr>
        <w:trPr>
          <w:trHeight w:val="237"/>
        </w:trPr>
        <w:tc>
          <w:tcPr>
            <w:tcW w:w="4140" w:type="dxa"/>
            <w:vAlign w:val="bottom"/>
            <w:gridSpan w:val="2"/>
          </w:tcPr>
          <w:p>
            <w:pPr>
              <w:ind w:left="360"/>
              <w:spacing w:after="0"/>
              <w:rPr>
                <w:sz w:val="20"/>
                <w:szCs w:val="20"/>
                <w:color w:val="auto"/>
              </w:rPr>
            </w:pPr>
            <w:r>
              <w:rPr>
                <w:rFonts w:ascii="Arial" w:cs="Arial" w:eastAsia="Arial" w:hAnsi="Arial"/>
                <w:sz w:val="18"/>
                <w:szCs w:val="18"/>
                <w:color w:val="131E29"/>
              </w:rPr>
              <w:t>Total finance lease cost</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4,660</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8,577</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6"/>
        </w:trPr>
        <w:tc>
          <w:tcPr>
            <w:tcW w:w="40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0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60" w:type="dxa"/>
            <w:vAlign w:val="bottom"/>
            <w:shd w:val="clear" w:color="auto" w:fill="D2DCE5"/>
          </w:tcPr>
          <w:p>
            <w:pPr>
              <w:spacing w:after="0"/>
              <w:rPr>
                <w:sz w:val="22"/>
                <w:szCs w:val="22"/>
                <w:color w:val="auto"/>
              </w:rPr>
            </w:pPr>
          </w:p>
        </w:tc>
        <w:tc>
          <w:tcPr>
            <w:tcW w:w="168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1780" w:type="dxa"/>
            <w:vAlign w:val="bottom"/>
            <w:shd w:val="clear" w:color="auto" w:fill="D2DCE5"/>
          </w:tcPr>
          <w:p>
            <w:pPr>
              <w:spacing w:after="0"/>
              <w:rPr>
                <w:sz w:val="22"/>
                <w:szCs w:val="22"/>
                <w:color w:val="auto"/>
              </w:rPr>
            </w:pPr>
          </w:p>
        </w:tc>
      </w:tr>
      <w:tr>
        <w:trPr>
          <w:trHeight w:val="243"/>
        </w:trPr>
        <w:tc>
          <w:tcPr>
            <w:tcW w:w="4140" w:type="dxa"/>
            <w:vAlign w:val="bottom"/>
            <w:gridSpan w:val="2"/>
          </w:tcPr>
          <w:p>
            <w:pPr>
              <w:ind w:left="20"/>
              <w:spacing w:after="0"/>
              <w:rPr>
                <w:sz w:val="20"/>
                <w:szCs w:val="20"/>
                <w:color w:val="auto"/>
              </w:rPr>
            </w:pPr>
            <w:r>
              <w:rPr>
                <w:rFonts w:ascii="Arial" w:cs="Arial" w:eastAsia="Arial" w:hAnsi="Arial"/>
                <w:sz w:val="18"/>
                <w:szCs w:val="18"/>
                <w:color w:val="131E29"/>
              </w:rPr>
              <w:t>Operating lease cost</w:t>
            </w:r>
          </w:p>
        </w:tc>
        <w:tc>
          <w:tcPr>
            <w:tcW w:w="31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4,034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131E29"/>
              </w:rPr>
              <w:t>7,881</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4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780" w:type="dxa"/>
            <w:vAlign w:val="bottom"/>
            <w:shd w:val="clear" w:color="auto" w:fill="D2DCE5"/>
          </w:tcPr>
          <w:p>
            <w:pPr>
              <w:spacing w:after="0"/>
              <w:rPr>
                <w:sz w:val="23"/>
                <w:szCs w:val="23"/>
                <w:color w:val="auto"/>
              </w:rPr>
            </w:pPr>
          </w:p>
        </w:tc>
      </w:tr>
      <w:tr>
        <w:trPr>
          <w:trHeight w:val="243"/>
        </w:trPr>
        <w:tc>
          <w:tcPr>
            <w:tcW w:w="4140" w:type="dxa"/>
            <w:vAlign w:val="bottom"/>
            <w:gridSpan w:val="2"/>
          </w:tcPr>
          <w:p>
            <w:pPr>
              <w:ind w:left="20"/>
              <w:spacing w:after="0"/>
              <w:rPr>
                <w:sz w:val="20"/>
                <w:szCs w:val="20"/>
                <w:color w:val="auto"/>
              </w:rPr>
            </w:pPr>
            <w:r>
              <w:rPr>
                <w:rFonts w:ascii="Arial" w:cs="Arial" w:eastAsia="Arial" w:hAnsi="Arial"/>
                <w:sz w:val="18"/>
                <w:szCs w:val="18"/>
                <w:color w:val="131E29"/>
              </w:rPr>
              <w:t>Variable lease cost</w:t>
            </w:r>
          </w:p>
        </w:tc>
        <w:tc>
          <w:tcPr>
            <w:tcW w:w="314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566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131E29"/>
              </w:rPr>
              <w:t>1,059</w:t>
            </w:r>
          </w:p>
        </w:tc>
      </w:tr>
      <w:tr>
        <w:trPr>
          <w:trHeight w:val="27"/>
        </w:trPr>
        <w:tc>
          <w:tcPr>
            <w:tcW w:w="40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9"/>
        </w:trPr>
        <w:tc>
          <w:tcPr>
            <w:tcW w:w="41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Total lease cost</w:t>
            </w:r>
          </w:p>
        </w:tc>
        <w:tc>
          <w:tcPr>
            <w:tcW w:w="3040" w:type="dxa"/>
            <w:vAlign w:val="bottom"/>
            <w:tcBorders>
              <w:bottom w:val="single" w:sz="8" w:color="D2DCE5"/>
            </w:tcBorders>
            <w:shd w:val="clear" w:color="auto" w:fill="D2DCE5"/>
          </w:tcPr>
          <w:p>
            <w:pPr>
              <w:spacing w:after="0"/>
              <w:rPr>
                <w:sz w:val="24"/>
                <w:szCs w:val="24"/>
                <w:color w:val="auto"/>
              </w:rPr>
            </w:pP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9,260</w:t>
            </w:r>
          </w:p>
        </w:tc>
        <w:tc>
          <w:tcPr>
            <w:tcW w:w="8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17,517</w:t>
            </w:r>
          </w:p>
        </w:tc>
      </w:tr>
      <w:tr>
        <w:trPr>
          <w:trHeight w:val="20"/>
        </w:trPr>
        <w:tc>
          <w:tcPr>
            <w:tcW w:w="40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6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78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Future minimum lease payments for finance and operating lease liabilities as of June 30, 2022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80" w:type="dxa"/>
            <w:vAlign w:val="bottom"/>
          </w:tcPr>
          <w:p>
            <w:pPr>
              <w:spacing w:after="0"/>
              <w:rPr>
                <w:sz w:val="20"/>
                <w:szCs w:val="20"/>
                <w:color w:val="auto"/>
              </w:rPr>
            </w:pPr>
          </w:p>
        </w:tc>
        <w:tc>
          <w:tcPr>
            <w:tcW w:w="1660" w:type="dxa"/>
            <w:vAlign w:val="bottom"/>
            <w:gridSpan w:val="2"/>
          </w:tcPr>
          <w:p>
            <w:pPr>
              <w:ind w:left="240"/>
              <w:spacing w:after="0"/>
              <w:rPr>
                <w:sz w:val="20"/>
                <w:szCs w:val="20"/>
                <w:color w:val="auto"/>
              </w:rPr>
            </w:pPr>
            <w:r>
              <w:rPr>
                <w:rFonts w:ascii="Arial" w:cs="Arial" w:eastAsia="Arial" w:hAnsi="Arial"/>
                <w:sz w:val="18"/>
                <w:szCs w:val="18"/>
                <w:b w:val="1"/>
                <w:bCs w:val="1"/>
                <w:color w:val="131E29"/>
              </w:rPr>
              <w:t>Finance</w:t>
            </w:r>
          </w:p>
        </w:tc>
        <w:tc>
          <w:tcPr>
            <w:tcW w:w="320" w:type="dxa"/>
            <w:vAlign w:val="bottom"/>
          </w:tcPr>
          <w:p>
            <w:pPr>
              <w:spacing w:after="0"/>
              <w:rPr>
                <w:sz w:val="20"/>
                <w:szCs w:val="20"/>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131E29"/>
              </w:rPr>
              <w:t>Operating</w:t>
            </w:r>
          </w:p>
        </w:tc>
      </w:tr>
      <w:tr>
        <w:trPr>
          <w:trHeight w:val="26"/>
        </w:trPr>
        <w:tc>
          <w:tcPr>
            <w:tcW w:w="7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6,865</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7,755</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14,488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15,100</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14,785</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14,633</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15,012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14,355</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15,336</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14,244</w:t>
            </w: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188,722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152,905</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9"/>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380" w:type="dxa"/>
            <w:vAlign w:val="bottom"/>
            <w:tcBorders>
              <w:bottom w:val="single" w:sz="8" w:color="auto"/>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255,208</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218,992</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r>
        <w:trPr>
          <w:trHeight w:val="217"/>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imputed interest</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(82,632)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(57,673)</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Present value of minimum lease payments</w:t>
            </w:r>
          </w:p>
        </w:tc>
        <w:tc>
          <w:tcPr>
            <w:tcW w:w="380" w:type="dxa"/>
            <w:vAlign w:val="bottom"/>
            <w:tcBorders>
              <w:bottom w:val="single" w:sz="8" w:color="D2DCE5"/>
            </w:tcBorders>
            <w:shd w:val="clear" w:color="auto" w:fill="D2DCE5"/>
          </w:tcPr>
          <w:p>
            <w:pPr>
              <w:spacing w:after="0"/>
              <w:rPr>
                <w:sz w:val="21"/>
                <w:szCs w:val="21"/>
                <w:color w:val="auto"/>
              </w:rPr>
            </w:pPr>
          </w:p>
        </w:tc>
        <w:tc>
          <w:tcPr>
            <w:tcW w:w="1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172,576</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6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161,319</w:t>
            </w: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131E29"/>
              </w:rPr>
              <w:t>(5,340)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131E29"/>
              </w:rPr>
              <w:t>(9,042)</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Lease liabilities, net of current portion</w:t>
            </w:r>
          </w:p>
        </w:tc>
        <w:tc>
          <w:tcPr>
            <w:tcW w:w="380" w:type="dxa"/>
            <w:vAlign w:val="bottom"/>
            <w:tcBorders>
              <w:bottom w:val="single" w:sz="8" w:color="auto"/>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167,236</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152,277</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131E29"/>
        </w:rPr>
        <w:t>Future minimum lease payments under noncancellable operating leases and capital lease liabilities as of December 31,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40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131E29"/>
              </w:rPr>
              <w:t>Capital</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ind w:right="450"/>
              <w:spacing w:after="0"/>
              <w:rPr>
                <w:sz w:val="20"/>
                <w:szCs w:val="20"/>
                <w:color w:val="auto"/>
              </w:rPr>
            </w:pPr>
            <w:r>
              <w:rPr>
                <w:rFonts w:ascii="Arial" w:cs="Arial" w:eastAsia="Arial" w:hAnsi="Arial"/>
                <w:sz w:val="18"/>
                <w:szCs w:val="18"/>
                <w:b w:val="1"/>
                <w:bCs w:val="1"/>
                <w:color w:val="131E29"/>
              </w:rPr>
              <w:t>Operating</w:t>
            </w:r>
          </w:p>
        </w:tc>
      </w:tr>
      <w:tr>
        <w:trPr>
          <w:trHeight w:val="26"/>
        </w:trPr>
        <w:tc>
          <w:tcPr>
            <w:tcW w:w="7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2022</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8,824</w:t>
            </w:r>
          </w:p>
        </w:tc>
        <w:tc>
          <w:tcPr>
            <w:tcW w:w="360" w:type="dxa"/>
            <w:vAlign w:val="bottom"/>
            <w:tcBorders>
              <w:bottom w:val="single" w:sz="8" w:color="D2DCE5"/>
            </w:tcBorders>
            <w:gridSpan w:val="4"/>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12,398</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8,672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12,002</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8,743</w:t>
            </w: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11,699</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8,926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11,420</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9,229</w:t>
            </w: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11,297</w:t>
            </w: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85,985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125,774</w:t>
            </w: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3"/>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400" w:type="dxa"/>
            <w:vAlign w:val="bottom"/>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5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130,379</w:t>
            </w:r>
          </w:p>
        </w:tc>
        <w:tc>
          <w:tcPr>
            <w:tcW w:w="360" w:type="dxa"/>
            <w:vAlign w:val="bottom"/>
            <w:gridSpan w:val="4"/>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16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184,590</w:t>
            </w: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imputed interest</w:t>
            </w:r>
          </w:p>
        </w:tc>
        <w:tc>
          <w:tcPr>
            <w:tcW w:w="4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(47,402)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20" w:type="dxa"/>
            <w:vAlign w:val="bottom"/>
            <w:tcBorders>
              <w:bottom w:val="single" w:sz="8" w:color="D2DCE5"/>
            </w:tcBorders>
          </w:tcPr>
          <w:p>
            <w:pPr>
              <w:spacing w:after="0"/>
              <w:rPr>
                <w:sz w:val="2"/>
                <w:szCs w:val="2"/>
                <w:color w:val="auto"/>
              </w:rPr>
            </w:pPr>
          </w:p>
        </w:tc>
        <w:tc>
          <w:tcPr>
            <w:tcW w:w="1680" w:type="dxa"/>
            <w:vAlign w:val="bottom"/>
            <w:tcBorders>
              <w:bottom w:val="single" w:sz="8" w:color="D2DCE5"/>
            </w:tcBorders>
          </w:tcPr>
          <w:p>
            <w:pPr>
              <w:spacing w:after="0"/>
              <w:rPr>
                <w:sz w:val="2"/>
                <w:szCs w:val="2"/>
                <w:color w:val="auto"/>
              </w:rPr>
            </w:pPr>
          </w:p>
        </w:tc>
      </w:tr>
      <w:tr>
        <w:trPr>
          <w:trHeight w:val="243"/>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Present value of minimum lease payments</w:t>
            </w: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82,977</w:t>
            </w: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spacing w:after="0"/>
              <w:rPr>
                <w:sz w:val="21"/>
                <w:szCs w:val="21"/>
                <w:color w:val="auto"/>
              </w:rPr>
            </w:pP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131E29"/>
              </w:rPr>
              <w:t>(3,389)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20" w:type="dxa"/>
            <w:vAlign w:val="bottom"/>
            <w:tcBorders>
              <w:bottom w:val="single" w:sz="8" w:color="D2DCE5"/>
            </w:tcBorders>
          </w:tcPr>
          <w:p>
            <w:pPr>
              <w:spacing w:after="0"/>
              <w:rPr>
                <w:sz w:val="2"/>
                <w:szCs w:val="2"/>
                <w:color w:val="auto"/>
              </w:rPr>
            </w:pPr>
          </w:p>
        </w:tc>
        <w:tc>
          <w:tcPr>
            <w:tcW w:w="1680" w:type="dxa"/>
            <w:vAlign w:val="bottom"/>
            <w:tcBorders>
              <w:bottom w:val="single" w:sz="8" w:color="D2DCE5"/>
            </w:tcBorders>
          </w:tcPr>
          <w:p>
            <w:pPr>
              <w:spacing w:after="0"/>
              <w:rPr>
                <w:sz w:val="2"/>
                <w:szCs w:val="2"/>
                <w:color w:val="auto"/>
              </w:rPr>
            </w:pPr>
          </w:p>
        </w:tc>
      </w:tr>
      <w:tr>
        <w:trPr>
          <w:trHeight w:val="288"/>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Lease liabilities, net of current portion</w:t>
            </w:r>
          </w:p>
        </w:tc>
        <w:tc>
          <w:tcPr>
            <w:tcW w:w="400" w:type="dxa"/>
            <w:vAlign w:val="bottom"/>
            <w:tcBorders>
              <w:bottom w:val="single" w:sz="8" w:color="auto"/>
            </w:tcBorders>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79,588</w:t>
            </w:r>
          </w:p>
        </w:tc>
        <w:tc>
          <w:tcPr>
            <w:tcW w:w="60" w:type="dxa"/>
            <w:vAlign w:val="bottom"/>
            <w:tcBorders>
              <w:bottom w:val="single" w:sz="8" w:color="D2DCE5"/>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4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D2DCE5"/>
            </w:tcBorders>
            <w:shd w:val="clear" w:color="auto" w:fill="D2DCE5"/>
          </w:tcPr>
          <w:p>
            <w:pPr>
              <w:spacing w:after="0"/>
              <w:rPr>
                <w:sz w:val="24"/>
                <w:szCs w:val="24"/>
                <w:color w:val="auto"/>
              </w:rPr>
            </w:pPr>
          </w:p>
        </w:tc>
        <w:tc>
          <w:tcPr>
            <w:tcW w:w="1680" w:type="dxa"/>
            <w:vAlign w:val="bottom"/>
            <w:tcBorders>
              <w:bottom w:val="single" w:sz="8" w:color="D2DCE5"/>
            </w:tcBorders>
            <w:shd w:val="clear" w:color="auto" w:fill="D2DCE5"/>
          </w:tcPr>
          <w:p>
            <w:pPr>
              <w:spacing w:after="0"/>
              <w:rPr>
                <w:sz w:val="24"/>
                <w:szCs w:val="24"/>
                <w:color w:val="auto"/>
              </w:rPr>
            </w:pPr>
          </w:p>
        </w:tc>
      </w:tr>
      <w:tr>
        <w:trPr>
          <w:trHeight w:val="20"/>
        </w:trPr>
        <w:tc>
          <w:tcPr>
            <w:tcW w:w="7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940" w:type="dxa"/>
            <w:vAlign w:val="bottom"/>
            <w:tcBorders>
              <w:top w:val="single" w:sz="8" w:color="D2DCE5"/>
              <w:bottom w:val="single" w:sz="8" w:color="auto"/>
            </w:tcBorders>
            <w:gridSpan w:val="2"/>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4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tcBorders>
          </w:tcPr>
          <w:p>
            <w:pPr>
              <w:spacing w:after="0" w:line="20" w:lineRule="exact"/>
              <w:rPr>
                <w:sz w:val="1"/>
                <w:szCs w:val="1"/>
                <w:color w:val="auto"/>
              </w:rPr>
            </w:pPr>
          </w:p>
        </w:tc>
        <w:tc>
          <w:tcPr>
            <w:tcW w:w="1680" w:type="dxa"/>
            <w:vAlign w:val="bottom"/>
            <w:tcBorders>
              <w:top w:val="single" w:sz="8" w:color="D2DCE5"/>
            </w:tcBorders>
          </w:tcPr>
          <w:p>
            <w:pPr>
              <w:spacing w:after="0" w:line="20" w:lineRule="exact"/>
              <w:rPr>
                <w:sz w:val="1"/>
                <w:szCs w:val="1"/>
                <w:color w:val="auto"/>
              </w:rPr>
            </w:pPr>
          </w:p>
        </w:tc>
      </w:tr>
      <w:tr>
        <w:trPr>
          <w:trHeight w:val="433"/>
        </w:trPr>
        <w:tc>
          <w:tcPr>
            <w:tcW w:w="9200" w:type="dxa"/>
            <w:vAlign w:val="bottom"/>
            <w:gridSpan w:val="4"/>
          </w:tcPr>
          <w:p>
            <w:pPr>
              <w:spacing w:after="0"/>
              <w:rPr>
                <w:sz w:val="20"/>
                <w:szCs w:val="20"/>
                <w:color w:val="auto"/>
              </w:rPr>
            </w:pPr>
            <w:r>
              <w:rPr>
                <w:rFonts w:ascii="Arial" w:cs="Arial" w:eastAsia="Arial" w:hAnsi="Arial"/>
                <w:sz w:val="18"/>
                <w:szCs w:val="18"/>
                <w:color w:val="131E29"/>
              </w:rPr>
              <w:t>A summary of lease terms and discount rates for finance and operating leases as of June 30, 2022 is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131E29"/>
              </w:rPr>
              <w:t>June 30, 2022</w:t>
            </w:r>
          </w:p>
        </w:tc>
      </w:tr>
      <w:tr>
        <w:trPr>
          <w:trHeight w:val="27"/>
        </w:trPr>
        <w:tc>
          <w:tcPr>
            <w:tcW w:w="7260" w:type="dxa"/>
            <w:vAlign w:val="bottom"/>
            <w:tcBorders>
              <w:bottom w:val="single" w:sz="8" w:color="131E29"/>
            </w:tcBorders>
            <w:gridSpan w:val="2"/>
          </w:tcPr>
          <w:p>
            <w:pPr>
              <w:spacing w:after="0"/>
              <w:rPr>
                <w:sz w:val="2"/>
                <w:szCs w:val="2"/>
                <w:color w:val="auto"/>
              </w:rPr>
            </w:pPr>
          </w:p>
        </w:tc>
        <w:tc>
          <w:tcPr>
            <w:tcW w:w="400" w:type="dxa"/>
            <w:vAlign w:val="bottom"/>
            <w:tcBorders>
              <w:bottom w:val="single" w:sz="8" w:color="131E29"/>
            </w:tcBorders>
          </w:tcPr>
          <w:p>
            <w:pPr>
              <w:spacing w:after="0"/>
              <w:rPr>
                <w:sz w:val="2"/>
                <w:szCs w:val="2"/>
                <w:color w:val="auto"/>
              </w:rPr>
            </w:pPr>
          </w:p>
        </w:tc>
        <w:tc>
          <w:tcPr>
            <w:tcW w:w="1540" w:type="dxa"/>
            <w:vAlign w:val="bottom"/>
            <w:tcBorders>
              <w:bottom w:val="single" w:sz="8" w:color="131E29"/>
            </w:tcBorders>
          </w:tcPr>
          <w:p>
            <w:pPr>
              <w:spacing w:after="0"/>
              <w:rPr>
                <w:sz w:val="2"/>
                <w:szCs w:val="2"/>
                <w:color w:val="auto"/>
              </w:rPr>
            </w:pPr>
          </w:p>
        </w:tc>
        <w:tc>
          <w:tcPr>
            <w:tcW w:w="60" w:type="dxa"/>
            <w:vAlign w:val="bottom"/>
            <w:tcBorders>
              <w:bottom w:val="single" w:sz="8" w:color="131E29"/>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Weighted-average remaining lease term (years)</w:t>
            </w: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spacing w:after="0"/>
              <w:rPr>
                <w:sz w:val="21"/>
                <w:szCs w:val="21"/>
                <w:color w:val="auto"/>
              </w:rPr>
            </w:pPr>
          </w:p>
        </w:tc>
      </w:tr>
      <w:tr>
        <w:trPr>
          <w:trHeight w:val="243"/>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color w:val="131E29"/>
              </w:rPr>
              <w:t>15.9</w:t>
            </w:r>
          </w:p>
        </w:tc>
      </w:tr>
      <w:tr>
        <w:trPr>
          <w:trHeight w:val="27"/>
        </w:trPr>
        <w:tc>
          <w:tcPr>
            <w:tcW w:w="7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center"/>
              <w:ind w:right="110"/>
              <w:spacing w:after="0"/>
              <w:rPr>
                <w:sz w:val="20"/>
                <w:szCs w:val="20"/>
                <w:color w:val="auto"/>
              </w:rPr>
            </w:pPr>
            <w:r>
              <w:rPr>
                <w:rFonts w:ascii="Arial" w:cs="Arial" w:eastAsia="Arial" w:hAnsi="Arial"/>
                <w:sz w:val="18"/>
                <w:szCs w:val="18"/>
                <w:color w:val="131E29"/>
              </w:rPr>
              <w:t>15.2</w:t>
            </w:r>
          </w:p>
        </w:tc>
      </w:tr>
      <w:tr>
        <w:trPr>
          <w:trHeight w:val="270"/>
        </w:trPr>
        <w:tc>
          <w:tcPr>
            <w:tcW w:w="7260" w:type="dxa"/>
            <w:vAlign w:val="bottom"/>
            <w:gridSpan w:val="2"/>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7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Weighted-average discount rate (percentages)</w:t>
            </w:r>
          </w:p>
        </w:tc>
        <w:tc>
          <w:tcPr>
            <w:tcW w:w="400" w:type="dxa"/>
            <w:vAlign w:val="bottom"/>
            <w:tcBorders>
              <w:bottom w:val="single" w:sz="8" w:color="D2DCE5"/>
            </w:tcBorders>
            <w:shd w:val="clear" w:color="auto" w:fill="D2DCE5"/>
          </w:tcPr>
          <w:p>
            <w:pPr>
              <w:spacing w:after="0"/>
              <w:rPr>
                <w:sz w:val="21"/>
                <w:szCs w:val="21"/>
                <w:color w:val="auto"/>
              </w:rPr>
            </w:pPr>
          </w:p>
        </w:tc>
        <w:tc>
          <w:tcPr>
            <w:tcW w:w="1540" w:type="dxa"/>
            <w:vAlign w:val="bottom"/>
            <w:tcBorders>
              <w:bottom w:val="single" w:sz="8" w:color="D2DCE5"/>
            </w:tcBorders>
            <w:shd w:val="clear" w:color="auto" w:fill="D2DCE5"/>
          </w:tcPr>
          <w:p>
            <w:pPr>
              <w:spacing w:after="0"/>
              <w:rPr>
                <w:sz w:val="21"/>
                <w:szCs w:val="21"/>
                <w:color w:val="auto"/>
              </w:rPr>
            </w:pPr>
          </w:p>
        </w:tc>
        <w:tc>
          <w:tcPr>
            <w:tcW w:w="6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4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spacing w:after="0"/>
              <w:rPr>
                <w:sz w:val="21"/>
                <w:szCs w:val="21"/>
                <w:color w:val="auto"/>
              </w:rPr>
            </w:pPr>
          </w:p>
        </w:tc>
      </w:tr>
      <w:tr>
        <w:trPr>
          <w:trHeight w:val="243"/>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color w:val="131E29"/>
                <w:w w:val="97"/>
              </w:rPr>
              <w:t>5.1%</w:t>
            </w:r>
          </w:p>
        </w:tc>
      </w:tr>
      <w:tr>
        <w:trPr>
          <w:trHeight w:val="27"/>
        </w:trPr>
        <w:tc>
          <w:tcPr>
            <w:tcW w:w="7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400" w:type="dxa"/>
            <w:vAlign w:val="bottom"/>
            <w:shd w:val="clear" w:color="auto" w:fill="D2DCE5"/>
          </w:tcPr>
          <w:p>
            <w:pPr>
              <w:spacing w:after="0"/>
              <w:rPr>
                <w:sz w:val="21"/>
                <w:szCs w:val="21"/>
                <w:color w:val="auto"/>
              </w:rPr>
            </w:pPr>
          </w:p>
        </w:tc>
        <w:tc>
          <w:tcPr>
            <w:tcW w:w="1540" w:type="dxa"/>
            <w:vAlign w:val="bottom"/>
            <w:shd w:val="clear" w:color="auto" w:fill="D2DCE5"/>
          </w:tcPr>
          <w:p>
            <w:pPr>
              <w:spacing w:after="0"/>
              <w:rPr>
                <w:sz w:val="21"/>
                <w:szCs w:val="21"/>
                <w:color w:val="auto"/>
              </w:rPr>
            </w:pPr>
          </w:p>
        </w:tc>
        <w:tc>
          <w:tcPr>
            <w:tcW w:w="6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680" w:type="dxa"/>
            <w:vAlign w:val="bottom"/>
            <w:shd w:val="clear" w:color="auto" w:fill="D2DCE5"/>
          </w:tcPr>
          <w:p>
            <w:pPr>
              <w:jc w:val="center"/>
              <w:ind w:right="110"/>
              <w:spacing w:after="0"/>
              <w:rPr>
                <w:sz w:val="20"/>
                <w:szCs w:val="20"/>
                <w:color w:val="auto"/>
              </w:rPr>
            </w:pPr>
            <w:r>
              <w:rPr>
                <w:rFonts w:ascii="Arial" w:cs="Arial" w:eastAsia="Arial" w:hAnsi="Arial"/>
                <w:sz w:val="18"/>
                <w:szCs w:val="18"/>
                <w:color w:val="131E29"/>
                <w:w w:val="97"/>
              </w:rPr>
              <w:t>4.1%</w:t>
            </w:r>
          </w:p>
        </w:tc>
      </w:tr>
      <w:tr>
        <w:trPr>
          <w:trHeight w:val="27"/>
        </w:trPr>
        <w:tc>
          <w:tcPr>
            <w:tcW w:w="71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400" w:type="dxa"/>
            <w:vAlign w:val="bottom"/>
            <w:shd w:val="clear" w:color="auto" w:fill="D2DCE5"/>
          </w:tcPr>
          <w:p>
            <w:pPr>
              <w:spacing w:after="0"/>
              <w:rPr>
                <w:sz w:val="2"/>
                <w:szCs w:val="2"/>
                <w:color w:val="auto"/>
              </w:rPr>
            </w:pPr>
          </w:p>
        </w:tc>
        <w:tc>
          <w:tcPr>
            <w:tcW w:w="1540" w:type="dxa"/>
            <w:vAlign w:val="bottom"/>
            <w:shd w:val="clear" w:color="auto" w:fill="D2DCE5"/>
          </w:tcPr>
          <w:p>
            <w:pPr>
              <w:spacing w:after="0"/>
              <w:rPr>
                <w:sz w:val="2"/>
                <w:szCs w:val="2"/>
                <w:color w:val="auto"/>
              </w:rPr>
            </w:pPr>
          </w:p>
        </w:tc>
        <w:tc>
          <w:tcPr>
            <w:tcW w:w="60" w:type="dxa"/>
            <w:vAlign w:val="bottom"/>
            <w:shd w:val="clear" w:color="auto" w:fill="D2DCE5"/>
          </w:tcPr>
          <w:p>
            <w:pPr>
              <w:spacing w:after="0"/>
              <w:rPr>
                <w:sz w:val="2"/>
                <w:szCs w:val="2"/>
                <w:color w:val="auto"/>
              </w:rPr>
            </w:pPr>
          </w:p>
        </w:tc>
        <w:tc>
          <w:tcPr>
            <w:tcW w:w="40" w:type="dxa"/>
            <w:vAlign w:val="bottom"/>
            <w:shd w:val="clear" w:color="auto" w:fill="D2DCE5"/>
          </w:tcPr>
          <w:p>
            <w:pPr>
              <w:spacing w:after="0"/>
              <w:rPr>
                <w:sz w:val="2"/>
                <w:szCs w:val="2"/>
                <w:color w:val="auto"/>
              </w:rPr>
            </w:pPr>
          </w:p>
        </w:tc>
        <w:tc>
          <w:tcPr>
            <w:tcW w:w="4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168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Supplemental cash flow information related to leases as of June 30, 2022 is as follows for the period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b w:val="1"/>
                <w:bCs w:val="1"/>
                <w:color w:val="131E29"/>
                <w:w w:val="99"/>
              </w:rPr>
              <w:t>Six Months Ended June</w:t>
            </w:r>
          </w:p>
        </w:tc>
      </w:tr>
      <w:tr>
        <w:trPr>
          <w:trHeight w:val="222"/>
        </w:trPr>
        <w:tc>
          <w:tcPr>
            <w:tcW w:w="91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20" w:type="dxa"/>
            <w:vAlign w:val="bottom"/>
          </w:tcPr>
          <w:p>
            <w:pPr>
              <w:spacing w:after="0"/>
              <w:rPr>
                <w:sz w:val="19"/>
                <w:szCs w:val="19"/>
                <w:color w:val="auto"/>
              </w:rPr>
            </w:pPr>
          </w:p>
        </w:tc>
        <w:tc>
          <w:tcPr>
            <w:tcW w:w="1940" w:type="dxa"/>
            <w:vAlign w:val="bottom"/>
          </w:tcPr>
          <w:p>
            <w:pPr>
              <w:jc w:val="right"/>
              <w:ind w:right="639"/>
              <w:spacing w:after="0"/>
              <w:rPr>
                <w:sz w:val="20"/>
                <w:szCs w:val="20"/>
                <w:color w:val="auto"/>
              </w:rPr>
            </w:pPr>
            <w:r>
              <w:rPr>
                <w:rFonts w:ascii="Arial" w:cs="Arial" w:eastAsia="Arial" w:hAnsi="Arial"/>
                <w:sz w:val="16"/>
                <w:szCs w:val="16"/>
                <w:b w:val="1"/>
                <w:bCs w:val="1"/>
                <w:color w:val="131E29"/>
              </w:rPr>
              <w:t>30, 2022</w:t>
            </w:r>
          </w:p>
        </w:tc>
      </w:tr>
      <w:tr>
        <w:trPr>
          <w:trHeight w:val="26"/>
        </w:trPr>
        <w:tc>
          <w:tcPr>
            <w:tcW w:w="91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91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Cash paid for amounts included in the measurement of lease liabilities</w:t>
            </w:r>
          </w:p>
        </w:tc>
        <w:tc>
          <w:tcPr>
            <w:tcW w:w="120" w:type="dxa"/>
            <w:vAlign w:val="bottom"/>
            <w:shd w:val="clear" w:color="auto" w:fill="D2DCE5"/>
          </w:tcPr>
          <w:p>
            <w:pPr>
              <w:spacing w:after="0"/>
              <w:rPr>
                <w:sz w:val="20"/>
                <w:szCs w:val="20"/>
                <w:color w:val="auto"/>
              </w:rPr>
            </w:pPr>
          </w:p>
        </w:tc>
        <w:tc>
          <w:tcPr>
            <w:tcW w:w="1940" w:type="dxa"/>
            <w:vAlign w:val="bottom"/>
            <w:shd w:val="clear" w:color="auto" w:fill="D2DCE5"/>
          </w:tcPr>
          <w:p>
            <w:pPr>
              <w:spacing w:after="0"/>
              <w:rPr>
                <w:sz w:val="20"/>
                <w:szCs w:val="20"/>
                <w:color w:val="auto"/>
              </w:rPr>
            </w:pPr>
          </w:p>
        </w:tc>
      </w:tr>
      <w:tr>
        <w:trPr>
          <w:trHeight w:val="233"/>
        </w:trPr>
        <w:tc>
          <w:tcPr>
            <w:tcW w:w="9180" w:type="dxa"/>
            <w:vAlign w:val="bottom"/>
            <w:gridSpan w:val="2"/>
          </w:tcPr>
          <w:p>
            <w:pPr>
              <w:ind w:left="180"/>
              <w:spacing w:after="0"/>
              <w:rPr>
                <w:sz w:val="20"/>
                <w:szCs w:val="20"/>
                <w:color w:val="auto"/>
              </w:rPr>
            </w:pPr>
            <w:r>
              <w:rPr>
                <w:rFonts w:ascii="Arial" w:cs="Arial" w:eastAsia="Arial" w:hAnsi="Arial"/>
                <w:sz w:val="16"/>
                <w:szCs w:val="16"/>
                <w:color w:val="131E29"/>
              </w:rPr>
              <w:t>Operating cash flows from finance leases</w:t>
            </w:r>
          </w:p>
        </w:tc>
        <w:tc>
          <w:tcPr>
            <w:tcW w:w="120" w:type="dxa"/>
            <w:vAlign w:val="bottom"/>
          </w:tcPr>
          <w:p>
            <w:pPr>
              <w:jc w:val="right"/>
              <w:spacing w:after="0"/>
              <w:rPr>
                <w:sz w:val="20"/>
                <w:szCs w:val="20"/>
                <w:color w:val="auto"/>
              </w:rPr>
            </w:pPr>
            <w:r>
              <w:rPr>
                <w:rFonts w:ascii="Arial" w:cs="Arial" w:eastAsia="Arial" w:hAnsi="Arial"/>
                <w:sz w:val="16"/>
                <w:szCs w:val="16"/>
                <w:color w:val="131E29"/>
              </w:rPr>
              <w:t>$</w:t>
            </w:r>
          </w:p>
        </w:tc>
        <w:tc>
          <w:tcPr>
            <w:tcW w:w="1940" w:type="dxa"/>
            <w:vAlign w:val="bottom"/>
          </w:tcPr>
          <w:p>
            <w:pPr>
              <w:jc w:val="right"/>
              <w:spacing w:after="0"/>
              <w:rPr>
                <w:sz w:val="20"/>
                <w:szCs w:val="20"/>
                <w:color w:val="auto"/>
              </w:rPr>
            </w:pPr>
            <w:r>
              <w:rPr>
                <w:rFonts w:ascii="Arial" w:cs="Arial" w:eastAsia="Arial" w:hAnsi="Arial"/>
                <w:sz w:val="16"/>
                <w:szCs w:val="16"/>
                <w:color w:val="131E29"/>
              </w:rPr>
              <w:t>3,779</w:t>
            </w:r>
          </w:p>
        </w:tc>
      </w:tr>
      <w:tr>
        <w:trPr>
          <w:trHeight w:val="253"/>
        </w:trPr>
        <w:tc>
          <w:tcPr>
            <w:tcW w:w="91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Operating cash flows from operating leases</w:t>
            </w:r>
          </w:p>
        </w:tc>
        <w:tc>
          <w:tcPr>
            <w:tcW w:w="120" w:type="dxa"/>
            <w:vAlign w:val="bottom"/>
            <w:shd w:val="clear" w:color="auto" w:fill="D2DCE5"/>
          </w:tcPr>
          <w:p>
            <w:pPr>
              <w:spacing w:after="0"/>
              <w:rPr>
                <w:sz w:val="21"/>
                <w:szCs w:val="21"/>
                <w:color w:val="auto"/>
              </w:rPr>
            </w:pPr>
          </w:p>
        </w:tc>
        <w:tc>
          <w:tcPr>
            <w:tcW w:w="19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7,471</w:t>
            </w:r>
          </w:p>
        </w:tc>
      </w:tr>
      <w:tr>
        <w:trPr>
          <w:trHeight w:val="233"/>
        </w:trPr>
        <w:tc>
          <w:tcPr>
            <w:tcW w:w="9180" w:type="dxa"/>
            <w:vAlign w:val="bottom"/>
            <w:gridSpan w:val="2"/>
          </w:tcPr>
          <w:p>
            <w:pPr>
              <w:ind w:left="180"/>
              <w:spacing w:after="0"/>
              <w:rPr>
                <w:sz w:val="20"/>
                <w:szCs w:val="20"/>
                <w:color w:val="auto"/>
              </w:rPr>
            </w:pPr>
            <w:r>
              <w:rPr>
                <w:rFonts w:ascii="Arial" w:cs="Arial" w:eastAsia="Arial" w:hAnsi="Arial"/>
                <w:sz w:val="16"/>
                <w:szCs w:val="16"/>
                <w:color w:val="131E29"/>
              </w:rPr>
              <w:t>Financing cash flows from finance leases</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131E29"/>
              </w:rPr>
              <w:t>1,789</w:t>
            </w:r>
          </w:p>
        </w:tc>
      </w:tr>
      <w:tr>
        <w:trPr>
          <w:trHeight w:val="304"/>
        </w:trPr>
        <w:tc>
          <w:tcPr>
            <w:tcW w:w="918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 xml:space="preserve">Right-of-use assets obtained in exchange for lease obligations </w:t>
            </w:r>
            <w:r>
              <w:rPr>
                <w:rFonts w:ascii="Arial" w:cs="Arial" w:eastAsia="Arial" w:hAnsi="Arial"/>
                <w:sz w:val="21"/>
                <w:szCs w:val="21"/>
                <w:b w:val="1"/>
                <w:bCs w:val="1"/>
                <w:color w:val="131E29"/>
                <w:vertAlign w:val="superscript"/>
              </w:rPr>
              <w:t>1</w:t>
            </w:r>
          </w:p>
        </w:tc>
        <w:tc>
          <w:tcPr>
            <w:tcW w:w="120" w:type="dxa"/>
            <w:vAlign w:val="bottom"/>
            <w:shd w:val="clear" w:color="auto" w:fill="D2DCE5"/>
          </w:tcPr>
          <w:p>
            <w:pPr>
              <w:spacing w:after="0"/>
              <w:rPr>
                <w:sz w:val="24"/>
                <w:szCs w:val="24"/>
                <w:color w:val="auto"/>
              </w:rPr>
            </w:pPr>
          </w:p>
        </w:tc>
        <w:tc>
          <w:tcPr>
            <w:tcW w:w="1940" w:type="dxa"/>
            <w:vAlign w:val="bottom"/>
            <w:shd w:val="clear" w:color="auto" w:fill="D2DCE5"/>
          </w:tcPr>
          <w:p>
            <w:pPr>
              <w:spacing w:after="0"/>
              <w:rPr>
                <w:sz w:val="24"/>
                <w:szCs w:val="24"/>
                <w:color w:val="auto"/>
              </w:rPr>
            </w:pPr>
          </w:p>
        </w:tc>
      </w:tr>
      <w:tr>
        <w:trPr>
          <w:trHeight w:val="111"/>
        </w:trPr>
        <w:tc>
          <w:tcPr>
            <w:tcW w:w="9100" w:type="dxa"/>
            <w:vAlign w:val="bottom"/>
            <w:shd w:val="clear" w:color="auto" w:fill="D2DCE5"/>
          </w:tcPr>
          <w:p>
            <w:pPr>
              <w:spacing w:after="0"/>
              <w:rPr>
                <w:sz w:val="9"/>
                <w:szCs w:val="9"/>
                <w:color w:val="auto"/>
              </w:rPr>
            </w:pPr>
          </w:p>
        </w:tc>
        <w:tc>
          <w:tcPr>
            <w:tcW w:w="80" w:type="dxa"/>
            <w:vAlign w:val="bottom"/>
            <w:shd w:val="clear" w:color="auto" w:fill="D2DCE5"/>
          </w:tcPr>
          <w:p>
            <w:pPr>
              <w:spacing w:after="0"/>
              <w:rPr>
                <w:sz w:val="9"/>
                <w:szCs w:val="9"/>
                <w:color w:val="auto"/>
              </w:rPr>
            </w:pPr>
          </w:p>
        </w:tc>
        <w:tc>
          <w:tcPr>
            <w:tcW w:w="120" w:type="dxa"/>
            <w:vAlign w:val="bottom"/>
            <w:shd w:val="clear" w:color="auto" w:fill="D2DCE5"/>
          </w:tcPr>
          <w:p>
            <w:pPr>
              <w:spacing w:after="0"/>
              <w:rPr>
                <w:sz w:val="9"/>
                <w:szCs w:val="9"/>
                <w:color w:val="auto"/>
              </w:rPr>
            </w:pPr>
          </w:p>
        </w:tc>
        <w:tc>
          <w:tcPr>
            <w:tcW w:w="1940" w:type="dxa"/>
            <w:vAlign w:val="bottom"/>
            <w:shd w:val="clear" w:color="auto" w:fill="D2DCE5"/>
          </w:tcPr>
          <w:p>
            <w:pPr>
              <w:spacing w:after="0"/>
              <w:rPr>
                <w:sz w:val="9"/>
                <w:szCs w:val="9"/>
                <w:color w:val="auto"/>
              </w:rPr>
            </w:pPr>
          </w:p>
        </w:tc>
      </w:tr>
      <w:tr>
        <w:trPr>
          <w:trHeight w:val="233"/>
        </w:trPr>
        <w:tc>
          <w:tcPr>
            <w:tcW w:w="9180" w:type="dxa"/>
            <w:vAlign w:val="bottom"/>
            <w:gridSpan w:val="2"/>
          </w:tcPr>
          <w:p>
            <w:pPr>
              <w:ind w:left="180"/>
              <w:spacing w:after="0"/>
              <w:rPr>
                <w:sz w:val="20"/>
                <w:szCs w:val="20"/>
                <w:color w:val="auto"/>
              </w:rPr>
            </w:pPr>
            <w:r>
              <w:rPr>
                <w:rFonts w:ascii="Arial" w:cs="Arial" w:eastAsia="Arial" w:hAnsi="Arial"/>
                <w:sz w:val="16"/>
                <w:szCs w:val="16"/>
                <w:color w:val="131E29"/>
              </w:rPr>
              <w:t>Finance leases</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131E29"/>
              </w:rPr>
              <w:t>90,947</w:t>
            </w:r>
          </w:p>
        </w:tc>
      </w:tr>
      <w:tr>
        <w:trPr>
          <w:trHeight w:val="253"/>
        </w:trPr>
        <w:tc>
          <w:tcPr>
            <w:tcW w:w="918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Operating leases</w:t>
            </w:r>
          </w:p>
        </w:tc>
        <w:tc>
          <w:tcPr>
            <w:tcW w:w="120" w:type="dxa"/>
            <w:vAlign w:val="bottom"/>
            <w:shd w:val="clear" w:color="auto" w:fill="D2DCE5"/>
          </w:tcPr>
          <w:p>
            <w:pPr>
              <w:spacing w:after="0"/>
              <w:rPr>
                <w:sz w:val="21"/>
                <w:szCs w:val="21"/>
                <w:color w:val="auto"/>
              </w:rPr>
            </w:pPr>
          </w:p>
        </w:tc>
        <w:tc>
          <w:tcPr>
            <w:tcW w:w="19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163,511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30"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include the transition adjustment for the adoption of ASU 2016-02, as amended.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9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Senior Secured Credit Facility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On February 28, 2022 (the Effective Date) the Company amended its credit facility entered into on May 12, 2021 with JPMorgan Chase, N.A. (the Senior Secured Credit Facility). The amended facility (the 2022 Credit Facility) has a total capacity of $500 million, consisting of a $250 million revolving credit facility, a delayed draw term loan facility of up to $150 million, and a term loan facility of up to $100 million. The revolving credit facility includes sub-limits for issuance of letters of credit and swing line loans of up to $50 million and $15 million, respectively. It also contains an option allowing the Company to increase the size of the 2022 Credit Facility by up to an additional $150 million, with the agreement of the committing lenders. The 2022 Credit Facility expires five years after the Effective Date.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Upon entering into the 2022 Credit Facility, in February 2022, the Company drew the full $100 million term loan facility and approximately $28 million in revolving loans, and the existing credit facility was repaid and terminated.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enter into sale and leaseback transactions and swap agreements. Obligations under the 2022 Credit Facility are guaranteed by Dutch Bros OpCo and its subsidiaries, and secured by a first priority perfected security interest in substantially all of the assets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As of June 30, 2022, $100 million and approximately $48 million was outstanding on the term loan and revolving loans, respectively, and $202 million was available for borrowing on the revolving loans. The term loan bears interest at 3.88% and revolving loans bear interest at approximately 3.87% as of June 30, 2022. The Company was in compliance with its financial covenants as of that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Long-Term Debt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840" w:type="dxa"/>
            <w:vAlign w:val="bottom"/>
            <w:gridSpan w:val="2"/>
          </w:tcPr>
          <w:p>
            <w:pPr>
              <w:spacing w:after="0"/>
              <w:rPr>
                <w:sz w:val="20"/>
                <w:szCs w:val="20"/>
                <w:color w:val="auto"/>
              </w:rPr>
            </w:pPr>
            <w:r>
              <w:rPr>
                <w:rFonts w:ascii="Arial" w:cs="Arial" w:eastAsia="Arial" w:hAnsi="Arial"/>
                <w:sz w:val="18"/>
                <w:szCs w:val="18"/>
                <w:color w:val="131E29"/>
              </w:rPr>
              <w:t>The Company’s long-term debt consisted of the following for the periods presented:</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8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131E29"/>
              </w:rPr>
              <w:t>June 30, 2022</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26"/>
        </w:trPr>
        <w:tc>
          <w:tcPr>
            <w:tcW w:w="77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14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131E29"/>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Terms loan under credit facility</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99,375</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7840" w:type="dxa"/>
            <w:vAlign w:val="bottom"/>
            <w:gridSpan w:val="2"/>
          </w:tcPr>
          <w:p>
            <w:pPr>
              <w:ind w:left="20"/>
              <w:spacing w:after="0"/>
              <w:rPr>
                <w:sz w:val="20"/>
                <w:szCs w:val="20"/>
                <w:color w:val="auto"/>
              </w:rPr>
            </w:pPr>
            <w:r>
              <w:rPr>
                <w:rFonts w:ascii="Arial" w:cs="Arial" w:eastAsia="Arial" w:hAnsi="Arial"/>
                <w:sz w:val="18"/>
                <w:szCs w:val="18"/>
                <w:color w:val="131E29"/>
              </w:rPr>
              <w:t>Finance lease obligation</w:t>
            </w:r>
            <w:r>
              <w:rPr>
                <w:rFonts w:ascii="Arial" w:cs="Arial" w:eastAsia="Arial" w:hAnsi="Arial"/>
                <w:sz w:val="23"/>
                <w:szCs w:val="23"/>
                <w:color w:val="131E29"/>
                <w:vertAlign w:val="superscript"/>
              </w:rPr>
              <w:t>1</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131E29"/>
              </w:rPr>
              <w:t>1,375</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2,978</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Unsecured note payable</w:t>
            </w:r>
          </w:p>
        </w:tc>
        <w:tc>
          <w:tcPr>
            <w:tcW w:w="160" w:type="dxa"/>
            <w:vAlign w:val="bottom"/>
            <w:tcBorders>
              <w:bottom w:val="single" w:sz="8" w:color="D2DCE5"/>
            </w:tcBorders>
            <w:shd w:val="clear" w:color="auto" w:fill="D2DCE5"/>
          </w:tcPr>
          <w:p>
            <w:pPr>
              <w:spacing w:after="0"/>
              <w:rPr>
                <w:sz w:val="23"/>
                <w:szCs w:val="23"/>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577</w:t>
            </w:r>
          </w:p>
        </w:tc>
        <w:tc>
          <w:tcPr>
            <w:tcW w:w="100" w:type="dxa"/>
            <w:vAlign w:val="bottom"/>
            <w:tcBorders>
              <w:bottom w:val="single" w:sz="8" w:color="D2DCE5"/>
            </w:tcBorders>
            <w:shd w:val="clear" w:color="auto" w:fill="D2DCE5"/>
          </w:tcPr>
          <w:p>
            <w:pPr>
              <w:spacing w:after="0"/>
              <w:rPr>
                <w:sz w:val="23"/>
                <w:szCs w:val="23"/>
                <w:color w:val="auto"/>
              </w:rPr>
            </w:pPr>
          </w:p>
        </w:tc>
        <w:tc>
          <w:tcPr>
            <w:tcW w:w="66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628</w:t>
            </w:r>
          </w:p>
        </w:tc>
        <w:tc>
          <w:tcPr>
            <w:tcW w:w="0" w:type="dxa"/>
            <w:vAlign w:val="bottom"/>
          </w:tcPr>
          <w:p>
            <w:pPr>
              <w:spacing w:after="0"/>
              <w:rPr>
                <w:sz w:val="1"/>
                <w:szCs w:val="1"/>
                <w:color w:val="auto"/>
              </w:rPr>
            </w:pPr>
          </w:p>
        </w:tc>
      </w:tr>
      <w:tr>
        <w:trPr>
          <w:trHeight w:val="237"/>
        </w:trPr>
        <w:tc>
          <w:tcPr>
            <w:tcW w:w="7840" w:type="dxa"/>
            <w:vAlign w:val="bottom"/>
            <w:gridSpan w:val="2"/>
          </w:tcPr>
          <w:p>
            <w:pPr>
              <w:ind w:left="180"/>
              <w:spacing w:after="0"/>
              <w:rPr>
                <w:sz w:val="20"/>
                <w:szCs w:val="20"/>
                <w:color w:val="auto"/>
              </w:rPr>
            </w:pPr>
            <w:r>
              <w:rPr>
                <w:rFonts w:ascii="Arial" w:cs="Arial" w:eastAsia="Arial" w:hAnsi="Arial"/>
                <w:sz w:val="18"/>
                <w:szCs w:val="18"/>
                <w:color w:val="131E29"/>
              </w:rPr>
              <w:t>Total debt</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101,327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3,606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loan origination fees</w:t>
            </w:r>
          </w:p>
        </w:tc>
        <w:tc>
          <w:tcPr>
            <w:tcW w:w="160" w:type="dxa"/>
            <w:vAlign w:val="bottom"/>
            <w:tcBorders>
              <w:bottom w:val="single" w:sz="8" w:color="D2DCE5"/>
            </w:tcBorders>
            <w:shd w:val="clear" w:color="auto" w:fill="D2DCE5"/>
          </w:tcPr>
          <w:p>
            <w:pPr>
              <w:spacing w:after="0"/>
              <w:rPr>
                <w:sz w:val="21"/>
                <w:szCs w:val="21"/>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(1,260)</w:t>
            </w:r>
          </w:p>
        </w:tc>
        <w:tc>
          <w:tcPr>
            <w:tcW w:w="100" w:type="dxa"/>
            <w:vAlign w:val="bottom"/>
            <w:tcBorders>
              <w:bottom w:val="single" w:sz="8" w:color="D2DCE5"/>
            </w:tcBorders>
            <w:shd w:val="clear" w:color="auto" w:fill="D2DCE5"/>
          </w:tcPr>
          <w:p>
            <w:pPr>
              <w:spacing w:after="0"/>
              <w:rPr>
                <w:sz w:val="21"/>
                <w:szCs w:val="21"/>
                <w:color w:val="auto"/>
              </w:rPr>
            </w:pPr>
          </w:p>
        </w:tc>
        <w:tc>
          <w:tcPr>
            <w:tcW w:w="66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131E29"/>
              </w:rPr>
              <w:t>(2,606)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(103)</w:t>
            </w:r>
          </w:p>
        </w:tc>
        <w:tc>
          <w:tcPr>
            <w:tcW w:w="0" w:type="dxa"/>
            <w:vAlign w:val="bottom"/>
          </w:tcPr>
          <w:p>
            <w:pPr>
              <w:spacing w:after="0"/>
              <w:rPr>
                <w:sz w:val="1"/>
                <w:szCs w:val="1"/>
                <w:color w:val="auto"/>
              </w:rPr>
            </w:pPr>
          </w:p>
        </w:tc>
      </w:tr>
      <w:tr>
        <w:trPr>
          <w:trHeight w:val="27"/>
        </w:trPr>
        <w:tc>
          <w:tcPr>
            <w:tcW w:w="77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long-term debt, net of current portion</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97,461</w:t>
            </w:r>
          </w:p>
        </w:tc>
        <w:tc>
          <w:tcPr>
            <w:tcW w:w="10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3,503</w:t>
            </w:r>
          </w:p>
        </w:tc>
        <w:tc>
          <w:tcPr>
            <w:tcW w:w="0" w:type="dxa"/>
            <w:vAlign w:val="bottom"/>
          </w:tcPr>
          <w:p>
            <w:pPr>
              <w:spacing w:after="0"/>
              <w:rPr>
                <w:sz w:val="1"/>
                <w:szCs w:val="1"/>
                <w:color w:val="auto"/>
              </w:rPr>
            </w:pPr>
          </w:p>
        </w:tc>
      </w:tr>
      <w:tr>
        <w:trPr>
          <w:trHeight w:val="20"/>
        </w:trPr>
        <w:tc>
          <w:tcPr>
            <w:tcW w:w="774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8"/>
                <w:szCs w:val="18"/>
                <w:color w:val="131E29"/>
              </w:rPr>
              <w:t>_______________</w:t>
            </w: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4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2022, with our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the 2021 sales-leaseback transaction was remeasured and included in our lease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131E29"/>
        </w:rPr>
        <w:t>Future annual maturities of long-term debt as of June 30, 2022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480" w:type="dxa"/>
            <w:vAlign w:val="bottom"/>
            <w:tcBorders>
              <w:bottom w:val="single" w:sz="8" w:color="D2DCE5"/>
            </w:tcBorders>
            <w:shd w:val="clear" w:color="auto" w:fill="D2DCE5"/>
          </w:tcPr>
          <w:p>
            <w:pPr>
              <w:jc w:val="right"/>
              <w:ind w:right="27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1,331</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2,667</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4,549</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7,056</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13,313</w:t>
            </w:r>
          </w:p>
        </w:tc>
      </w:tr>
      <w:tr>
        <w:trPr>
          <w:trHeight w:val="243"/>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72,411</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480" w:type="dxa"/>
            <w:vAlign w:val="bottom"/>
            <w:tcBorders>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101,327</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10 — Fair Value Measurements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Company’s condensed consolidated financial statements include cash and cash equivalents, accounts receivable, accounts payable, accrued expenses and other current liabilities, for which the carrying amounts approximate fair value due to their short-term maturity. The fair value of the Company’s variable-rate term loan and revolving loans approximate their carrying amounts; these debt instruments are designated as Level 2 within the fair value hierarchy, as the Company’s cost of borrowing is variable and approximates current market rates.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Company has an interest rate swap, which is required to be measured at fair value on a recurring basis. Designated as a Level 2 instrument within the fair value hierarchy, the interest rate swap as of June 30, 2022 had a fair value of $0.6 million, recorded as an asset on the Company’s condensed consolidated balance sheet.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fair value of the Company’s interest rate swap was determined based on the present value of expected future cash flows considering the risks involved, including nonperformance risk, and using discount rates appropriate for the duration based on observable inputs.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See NOTE 11 — Derivative Financial Instruments for additional details related to the interest rate swap.</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11 — Derivative Financial Instruments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From time to time, the Company may enter into interest rate swaps to fix a portion of interest expense. The Company does not enter into derivative instruments for any other purpose other than to manage its risks related to fluctuations in interest rates, and does not engage in interest rate speculation using derivative instruments.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June 30, 2022, the Company had a $70 million receive-variable, pay-fixed interest rate swap outstanding with JPMorgan Chase Bank, N.A. This interest rate swap matures on February 28, 2027 and has a fixed rate of 2.67% per annum. The variable rate on the interest rate swap is the one-month adjusted term SOFR rate plus an applicable margin. As of June 30, 2022, the one-month adjusted term SOFR rate was 1.63%.</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June 30, 2022, the Company expects to reclassify a gain of approximately $0.2 million from AOCI to earnings within the next twelve months.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31E29"/>
        </w:rPr>
        <w:t>The fair value of the Company’s derivative instrument was included in the condensed consolidated balance sheet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0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380" w:type="dxa"/>
            <w:vAlign w:val="bottom"/>
            <w:gridSpan w:val="2"/>
          </w:tcPr>
          <w:p>
            <w:pPr>
              <w:ind w:left="420"/>
              <w:spacing w:after="0"/>
              <w:rPr>
                <w:sz w:val="20"/>
                <w:szCs w:val="20"/>
                <w:color w:val="auto"/>
              </w:rPr>
            </w:pPr>
            <w:r>
              <w:rPr>
                <w:rFonts w:ascii="Arial" w:cs="Arial" w:eastAsia="Arial" w:hAnsi="Arial"/>
                <w:sz w:val="18"/>
                <w:szCs w:val="18"/>
                <w:b w:val="1"/>
                <w:bCs w:val="1"/>
                <w:color w:val="131E29"/>
              </w:rPr>
              <w:t>Balance Sheet Classification</w:t>
            </w: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131E29"/>
              </w:rPr>
              <w:t>June 30, 2022</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131E29"/>
              </w:rPr>
              <w:t>December 31, 2021</w:t>
            </w:r>
          </w:p>
        </w:tc>
        <w:tc>
          <w:tcPr>
            <w:tcW w:w="0" w:type="dxa"/>
            <w:vAlign w:val="bottom"/>
          </w:tcPr>
          <w:p>
            <w:pPr>
              <w:spacing w:after="0"/>
              <w:rPr>
                <w:sz w:val="1"/>
                <w:szCs w:val="1"/>
                <w:color w:val="auto"/>
              </w:rPr>
            </w:pPr>
          </w:p>
        </w:tc>
      </w:tr>
      <w:tr>
        <w:trPr>
          <w:trHeight w:val="26"/>
        </w:trPr>
        <w:tc>
          <w:tcPr>
            <w:tcW w:w="42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3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 cash flow</w:t>
            </w:r>
          </w:p>
        </w:tc>
        <w:tc>
          <w:tcPr>
            <w:tcW w:w="330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42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40" w:type="dxa"/>
            <w:vAlign w:val="bottom"/>
            <w:shd w:val="clear" w:color="auto" w:fill="D2DCE5"/>
          </w:tcPr>
          <w:p>
            <w:pPr>
              <w:spacing w:after="0"/>
              <w:rPr>
                <w:sz w:val="20"/>
                <w:szCs w:val="20"/>
                <w:color w:val="auto"/>
              </w:rPr>
            </w:pPr>
          </w:p>
        </w:tc>
        <w:tc>
          <w:tcPr>
            <w:tcW w:w="176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3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hedge:</w:t>
            </w:r>
          </w:p>
        </w:tc>
        <w:tc>
          <w:tcPr>
            <w:tcW w:w="330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spacing w:after="0"/>
              <w:rPr>
                <w:sz w:val="19"/>
                <w:szCs w:val="19"/>
                <w:color w:val="auto"/>
              </w:rPr>
            </w:pPr>
          </w:p>
        </w:tc>
        <w:tc>
          <w:tcPr>
            <w:tcW w:w="142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40" w:type="dxa"/>
            <w:vAlign w:val="bottom"/>
            <w:tcBorders>
              <w:bottom w:val="single" w:sz="8" w:color="D2DCE5"/>
            </w:tcBorders>
            <w:shd w:val="clear" w:color="auto" w:fill="D2DCE5"/>
          </w:tcPr>
          <w:p>
            <w:pPr>
              <w:spacing w:after="0"/>
              <w:rPr>
                <w:sz w:val="19"/>
                <w:szCs w:val="19"/>
                <w:color w:val="auto"/>
              </w:rPr>
            </w:pPr>
          </w:p>
        </w:tc>
        <w:tc>
          <w:tcPr>
            <w:tcW w:w="1760" w:type="dxa"/>
            <w:vAlign w:val="bottom"/>
            <w:tcBorders>
              <w:bottom w:val="single" w:sz="8" w:color="D2DCE5"/>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color w:val="131E29"/>
              </w:rPr>
              <w:t>Prepaid expenses and other current</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300" w:type="dxa"/>
            <w:vAlign w:val="bottom"/>
            <w:gridSpan w:val="2"/>
          </w:tcPr>
          <w:p>
            <w:pPr>
              <w:ind w:left="140"/>
              <w:spacing w:after="0"/>
              <w:rPr>
                <w:sz w:val="20"/>
                <w:szCs w:val="20"/>
                <w:color w:val="auto"/>
              </w:rPr>
            </w:pPr>
            <w:r>
              <w:rPr>
                <w:rFonts w:ascii="Arial" w:cs="Arial" w:eastAsia="Arial" w:hAnsi="Arial"/>
                <w:sz w:val="18"/>
                <w:szCs w:val="18"/>
                <w:color w:val="131E29"/>
              </w:rPr>
              <w:t>Interest rate swap contract</w:t>
            </w:r>
          </w:p>
        </w:tc>
        <w:tc>
          <w:tcPr>
            <w:tcW w:w="3380" w:type="dxa"/>
            <w:vAlign w:val="bottom"/>
            <w:gridSpan w:val="2"/>
          </w:tcPr>
          <w:p>
            <w:pPr>
              <w:ind w:left="20"/>
              <w:spacing w:after="0"/>
              <w:rPr>
                <w:sz w:val="20"/>
                <w:szCs w:val="20"/>
                <w:color w:val="auto"/>
              </w:rPr>
            </w:pPr>
            <w:r>
              <w:rPr>
                <w:rFonts w:ascii="Arial" w:cs="Arial" w:eastAsia="Arial" w:hAnsi="Arial"/>
                <w:sz w:val="18"/>
                <w:szCs w:val="18"/>
                <w:color w:val="131E29"/>
              </w:rPr>
              <w:t>assets</w:t>
            </w: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131E29"/>
              </w:rPr>
              <w:t>222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760" w:type="dxa"/>
            <w:vAlign w:val="bottom"/>
          </w:tcPr>
          <w:p>
            <w:pPr>
              <w:ind w:left="150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33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long-term assets</w:t>
            </w:r>
          </w:p>
        </w:tc>
        <w:tc>
          <w:tcPr>
            <w:tcW w:w="160" w:type="dxa"/>
            <w:vAlign w:val="bottom"/>
            <w:tcBorders>
              <w:bottom w:val="single" w:sz="8" w:color="D2DCE5"/>
            </w:tcBorders>
            <w:shd w:val="clear" w:color="auto" w:fill="D2DCE5"/>
          </w:tcPr>
          <w:p>
            <w:pPr>
              <w:spacing w:after="0"/>
              <w:rPr>
                <w:sz w:val="23"/>
                <w:szCs w:val="23"/>
                <w:color w:val="auto"/>
              </w:rPr>
            </w:pPr>
          </w:p>
        </w:tc>
        <w:tc>
          <w:tcPr>
            <w:tcW w:w="14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394</w:t>
            </w:r>
          </w:p>
        </w:tc>
        <w:tc>
          <w:tcPr>
            <w:tcW w:w="80" w:type="dxa"/>
            <w:vAlign w:val="bottom"/>
            <w:tcBorders>
              <w:bottom w:val="single" w:sz="8" w:color="D2DCE5"/>
            </w:tcBorders>
            <w:shd w:val="clear" w:color="auto" w:fill="D2DCE5"/>
          </w:tcPr>
          <w:p>
            <w:pPr>
              <w:spacing w:after="0"/>
              <w:rPr>
                <w:sz w:val="23"/>
                <w:szCs w:val="23"/>
                <w:color w:val="auto"/>
              </w:rPr>
            </w:pPr>
          </w:p>
        </w:tc>
        <w:tc>
          <w:tcPr>
            <w:tcW w:w="140" w:type="dxa"/>
            <w:vAlign w:val="bottom"/>
            <w:tcBorders>
              <w:bottom w:val="single" w:sz="8" w:color="D2DCE5"/>
            </w:tcBorders>
            <w:shd w:val="clear" w:color="auto" w:fill="D2DCE5"/>
          </w:tcPr>
          <w:p>
            <w:pPr>
              <w:spacing w:after="0"/>
              <w:rPr>
                <w:sz w:val="23"/>
                <w:szCs w:val="23"/>
                <w:color w:val="auto"/>
              </w:rPr>
            </w:pPr>
          </w:p>
        </w:tc>
        <w:tc>
          <w:tcPr>
            <w:tcW w:w="1760" w:type="dxa"/>
            <w:vAlign w:val="bottom"/>
            <w:tcBorders>
              <w:bottom w:val="single" w:sz="8" w:color="D2DCE5"/>
            </w:tcBorders>
            <w:shd w:val="clear" w:color="auto" w:fill="D2DCE5"/>
          </w:tcPr>
          <w:p>
            <w:pPr>
              <w:ind w:left="150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00"/>
        </w:trPr>
        <w:tc>
          <w:tcPr>
            <w:tcW w:w="430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131E29"/>
              </w:rPr>
              <w:t>Total derivative instrument designated as cash</w:t>
            </w:r>
          </w:p>
        </w:tc>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w w:val="99"/>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616</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w w:val="99"/>
              </w:rPr>
              <w:t>$</w:t>
            </w:r>
          </w:p>
        </w:tc>
        <w:tc>
          <w:tcPr>
            <w:tcW w:w="1760" w:type="dxa"/>
            <w:vAlign w:val="bottom"/>
            <w:tcBorders>
              <w:top w:val="single" w:sz="8" w:color="auto"/>
            </w:tcBorders>
            <w:vMerge w:val="restart"/>
          </w:tcPr>
          <w:p>
            <w:pPr>
              <w:ind w:left="150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4"/>
        </w:trPr>
        <w:tc>
          <w:tcPr>
            <w:tcW w:w="4300" w:type="dxa"/>
            <w:vAlign w:val="bottom"/>
            <w:gridSpan w:val="2"/>
          </w:tcPr>
          <w:p>
            <w:pPr>
              <w:ind w:left="20"/>
              <w:spacing w:after="0"/>
              <w:rPr>
                <w:sz w:val="20"/>
                <w:szCs w:val="20"/>
                <w:color w:val="auto"/>
              </w:rPr>
            </w:pPr>
            <w:r>
              <w:rPr>
                <w:rFonts w:ascii="Arial" w:cs="Arial" w:eastAsia="Arial" w:hAnsi="Arial"/>
                <w:sz w:val="18"/>
                <w:szCs w:val="18"/>
                <w:b w:val="1"/>
                <w:bCs w:val="1"/>
                <w:color w:val="131E29"/>
              </w:rPr>
              <w:t>flow hedge</w:t>
            </w:r>
          </w:p>
        </w:tc>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131E29"/>
        </w:rPr>
        <w:t>The effect of its derivative instrument on the Company’s condensed consolidated statements of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131E29"/>
              </w:rPr>
              <w:t>Three Months Ended June</w:t>
            </w:r>
          </w:p>
        </w:tc>
        <w:tc>
          <w:tcPr>
            <w:tcW w:w="2340" w:type="dxa"/>
            <w:vAlign w:val="bottom"/>
            <w:gridSpan w:val="4"/>
          </w:tcPr>
          <w:p>
            <w:pPr>
              <w:jc w:val="center"/>
              <w:spacing w:after="0"/>
              <w:rPr>
                <w:sz w:val="20"/>
                <w:szCs w:val="20"/>
                <w:color w:val="auto"/>
              </w:rPr>
            </w:pPr>
            <w:r>
              <w:rPr>
                <w:rFonts w:ascii="Arial" w:cs="Arial" w:eastAsia="Arial" w:hAnsi="Arial"/>
                <w:sz w:val="18"/>
                <w:szCs w:val="18"/>
                <w:b w:val="1"/>
                <w:bCs w:val="1"/>
                <w:color w:val="131E29"/>
                <w:w w:val="99"/>
              </w:rPr>
              <w:t>Six Months Ended June</w:t>
            </w: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131E29"/>
              </w:rPr>
              <w:t>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131E29"/>
              </w:rPr>
              <w:t>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131E29"/>
                <w:w w:val="99"/>
              </w:rPr>
              <w:t>Statement of Operations</w:t>
            </w: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84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131E29"/>
                <w:w w:val="99"/>
              </w:rPr>
              <w:t>Classification</w:t>
            </w: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5"/>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 cash flow</w:t>
            </w:r>
          </w:p>
        </w:tc>
        <w:tc>
          <w:tcPr>
            <w:tcW w:w="23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32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1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920" w:type="dxa"/>
            <w:vAlign w:val="bottom"/>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hedge:</w:t>
            </w:r>
          </w:p>
        </w:tc>
        <w:tc>
          <w:tcPr>
            <w:tcW w:w="236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32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12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108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920" w:type="dxa"/>
            <w:vAlign w:val="bottom"/>
            <w:tcBorders>
              <w:bottom w:val="single" w:sz="8" w:color="D2DCE5"/>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40" w:type="dxa"/>
            <w:vAlign w:val="bottom"/>
            <w:gridSpan w:val="2"/>
          </w:tcPr>
          <w:p>
            <w:pPr>
              <w:ind w:left="140"/>
              <w:spacing w:after="0"/>
              <w:rPr>
                <w:sz w:val="20"/>
                <w:szCs w:val="20"/>
                <w:color w:val="auto"/>
              </w:rPr>
            </w:pPr>
            <w:r>
              <w:rPr>
                <w:rFonts w:ascii="Arial" w:cs="Arial" w:eastAsia="Arial" w:hAnsi="Arial"/>
                <w:sz w:val="18"/>
                <w:szCs w:val="18"/>
                <w:color w:val="131E29"/>
              </w:rPr>
              <w:t>Income recognized in other comprehensive</w:t>
            </w: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840" w:type="dxa"/>
            <w:vAlign w:val="bottom"/>
            <w:gridSpan w:val="2"/>
          </w:tcPr>
          <w:p>
            <w:pPr>
              <w:ind w:left="140"/>
              <w:spacing w:after="0"/>
              <w:rPr>
                <w:sz w:val="20"/>
                <w:szCs w:val="20"/>
                <w:color w:val="auto"/>
              </w:rPr>
            </w:pPr>
            <w:r>
              <w:rPr>
                <w:rFonts w:ascii="Arial" w:cs="Arial" w:eastAsia="Arial" w:hAnsi="Arial"/>
                <w:sz w:val="18"/>
                <w:szCs w:val="18"/>
                <w:color w:val="131E29"/>
              </w:rPr>
              <w:t>income before reclassifications, net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131E29"/>
              </w:rPr>
              <w:t>284</w:t>
            </w:r>
          </w:p>
        </w:tc>
        <w:tc>
          <w:tcPr>
            <w:tcW w:w="8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131E29"/>
              </w:rPr>
              <w:t>—</w:t>
            </w:r>
          </w:p>
        </w:tc>
        <w:tc>
          <w:tcPr>
            <w:tcW w:w="1080" w:type="dxa"/>
            <w:vAlign w:val="bottom"/>
          </w:tcPr>
          <w:p>
            <w:pPr>
              <w:jc w:val="right"/>
              <w:spacing w:after="0"/>
              <w:rPr>
                <w:sz w:val="20"/>
                <w:szCs w:val="20"/>
                <w:color w:val="auto"/>
              </w:rPr>
            </w:pPr>
            <w:r>
              <w:rPr>
                <w:rFonts w:ascii="Arial" w:cs="Arial" w:eastAsia="Arial" w:hAnsi="Arial"/>
                <w:sz w:val="18"/>
                <w:szCs w:val="18"/>
                <w:color w:val="131E29"/>
              </w:rPr>
              <w:t>284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84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Reclassification from accumulated other</w:t>
            </w:r>
          </w:p>
        </w:tc>
        <w:tc>
          <w:tcPr>
            <w:tcW w:w="23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3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1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comprehensive income to earnings for the</w:t>
            </w:r>
          </w:p>
        </w:tc>
        <w:tc>
          <w:tcPr>
            <w:tcW w:w="23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3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9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effective portion</w:t>
            </w:r>
          </w:p>
        </w:tc>
        <w:tc>
          <w:tcPr>
            <w:tcW w:w="24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332</w:t>
            </w:r>
          </w:p>
        </w:tc>
        <w:tc>
          <w:tcPr>
            <w:tcW w:w="80" w:type="dxa"/>
            <w:vAlign w:val="bottom"/>
            <w:tcBorders>
              <w:bottom w:val="single" w:sz="8" w:color="D2DCE5"/>
            </w:tcBorders>
            <w:shd w:val="clear" w:color="auto" w:fill="D2DCE5"/>
          </w:tcPr>
          <w:p>
            <w:pPr>
              <w:spacing w:after="0"/>
              <w:rPr>
                <w:sz w:val="19"/>
                <w:szCs w:val="19"/>
                <w:color w:val="auto"/>
              </w:rPr>
            </w:pPr>
          </w:p>
        </w:tc>
        <w:tc>
          <w:tcPr>
            <w:tcW w:w="1220" w:type="dxa"/>
            <w:vAlign w:val="bottom"/>
            <w:tcBorders>
              <w:bottom w:val="single" w:sz="8" w:color="D2DCE5"/>
            </w:tcBorders>
            <w:gridSpan w:val="2"/>
            <w:shd w:val="clear" w:color="auto" w:fill="D2DCE5"/>
          </w:tcPr>
          <w:p>
            <w:pPr>
              <w:ind w:left="880"/>
              <w:spacing w:after="0"/>
              <w:rPr>
                <w:sz w:val="20"/>
                <w:szCs w:val="20"/>
                <w:color w:val="auto"/>
              </w:rPr>
            </w:pPr>
            <w:r>
              <w:rPr>
                <w:rFonts w:ascii="Arial" w:cs="Arial" w:eastAsia="Arial" w:hAnsi="Arial"/>
                <w:sz w:val="18"/>
                <w:szCs w:val="18"/>
                <w:color w:val="131E29"/>
              </w:rPr>
              <w:t>—</w:t>
            </w: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332</w:t>
            </w: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spacing w:after="0"/>
              <w:rPr>
                <w:sz w:val="19"/>
                <w:szCs w:val="19"/>
                <w:color w:val="auto"/>
              </w:rPr>
            </w:pPr>
          </w:p>
        </w:tc>
        <w:tc>
          <w:tcPr>
            <w:tcW w:w="920" w:type="dxa"/>
            <w:vAlign w:val="bottom"/>
            <w:tcBorders>
              <w:bottom w:val="single" w:sz="8" w:color="D2DCE5"/>
            </w:tcBorders>
            <w:shd w:val="clear" w:color="auto" w:fill="D2DCE5"/>
          </w:tcPr>
          <w:p>
            <w:pPr>
              <w:ind w:left="66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43"/>
        </w:trPr>
        <w:tc>
          <w:tcPr>
            <w:tcW w:w="3840" w:type="dxa"/>
            <w:vAlign w:val="bottom"/>
            <w:gridSpan w:val="2"/>
          </w:tcPr>
          <w:p>
            <w:pPr>
              <w:ind w:left="140"/>
              <w:spacing w:after="0"/>
              <w:rPr>
                <w:sz w:val="20"/>
                <w:szCs w:val="20"/>
                <w:color w:val="auto"/>
              </w:rPr>
            </w:pPr>
            <w:r>
              <w:rPr>
                <w:rFonts w:ascii="Arial" w:cs="Arial" w:eastAsia="Arial" w:hAnsi="Arial"/>
                <w:sz w:val="18"/>
                <w:szCs w:val="18"/>
                <w:color w:val="131E29"/>
              </w:rPr>
              <w:t>Income tax expense</w:t>
            </w:r>
          </w:p>
        </w:tc>
        <w:tc>
          <w:tcPr>
            <w:tcW w:w="2440" w:type="dxa"/>
            <w:vAlign w:val="bottom"/>
            <w:gridSpan w:val="2"/>
          </w:tcPr>
          <w:p>
            <w:pPr>
              <w:ind w:left="20"/>
              <w:spacing w:after="0"/>
              <w:rPr>
                <w:sz w:val="20"/>
                <w:szCs w:val="20"/>
                <w:color w:val="auto"/>
              </w:rPr>
            </w:pPr>
            <w:r>
              <w:rPr>
                <w:rFonts w:ascii="Arial" w:cs="Arial" w:eastAsia="Arial" w:hAnsi="Arial"/>
                <w:sz w:val="18"/>
                <w:szCs w:val="18"/>
                <w:color w:val="131E29"/>
              </w:rPr>
              <w:t>Income tax expense</w:t>
            </w:r>
          </w:p>
        </w:tc>
        <w:tc>
          <w:tcPr>
            <w:tcW w:w="1320" w:type="dxa"/>
            <w:vAlign w:val="bottom"/>
          </w:tcPr>
          <w:p>
            <w:pPr>
              <w:jc w:val="right"/>
              <w:spacing w:after="0"/>
              <w:rPr>
                <w:sz w:val="20"/>
                <w:szCs w:val="20"/>
                <w:color w:val="auto"/>
              </w:rPr>
            </w:pPr>
            <w:r>
              <w:rPr>
                <w:rFonts w:ascii="Arial" w:cs="Arial" w:eastAsia="Arial" w:hAnsi="Arial"/>
                <w:sz w:val="18"/>
                <w:szCs w:val="18"/>
                <w:color w:val="131E29"/>
              </w:rPr>
              <w:t>(50)</w:t>
            </w:r>
          </w:p>
        </w:tc>
        <w:tc>
          <w:tcPr>
            <w:tcW w:w="8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131E29"/>
              </w:rPr>
              <w:t>—</w:t>
            </w:r>
          </w:p>
        </w:tc>
        <w:tc>
          <w:tcPr>
            <w:tcW w:w="1080" w:type="dxa"/>
            <w:vAlign w:val="bottom"/>
          </w:tcPr>
          <w:p>
            <w:pPr>
              <w:jc w:val="right"/>
              <w:spacing w:after="0"/>
              <w:rPr>
                <w:sz w:val="20"/>
                <w:szCs w:val="20"/>
                <w:color w:val="auto"/>
              </w:rPr>
            </w:pPr>
            <w:r>
              <w:rPr>
                <w:rFonts w:ascii="Arial" w:cs="Arial" w:eastAsia="Arial" w:hAnsi="Arial"/>
                <w:sz w:val="18"/>
                <w:szCs w:val="18"/>
                <w:color w:val="131E29"/>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131E29"/>
        </w:rPr>
        <w:t>For additional information related to the Company’s derivative, see NOTE 2 — Basis of Presentation and Summary of Significant Accounting Policies and NOTE 10 —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12 — Income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5"/>
          </w:tcPr>
          <w:p>
            <w:pPr>
              <w:ind w:left="20"/>
              <w:spacing w:after="0"/>
              <w:rPr>
                <w:sz w:val="20"/>
                <w:szCs w:val="20"/>
                <w:color w:val="auto"/>
              </w:rPr>
            </w:pPr>
            <w:r>
              <w:rPr>
                <w:rFonts w:ascii="Arial" w:cs="Arial" w:eastAsia="Arial" w:hAnsi="Arial"/>
                <w:sz w:val="18"/>
                <w:szCs w:val="18"/>
                <w:b w:val="1"/>
                <w:bCs w:val="1"/>
                <w:color w:val="131E29"/>
              </w:rPr>
              <w:t>Three Months Ended June 30,</w:t>
            </w:r>
          </w:p>
        </w:tc>
        <w:tc>
          <w:tcPr>
            <w:tcW w:w="200" w:type="dxa"/>
            <w:vAlign w:val="bottom"/>
          </w:tcPr>
          <w:p>
            <w:pPr>
              <w:spacing w:after="0"/>
              <w:rPr>
                <w:sz w:val="20"/>
                <w:szCs w:val="20"/>
                <w:color w:val="auto"/>
              </w:rPr>
            </w:pPr>
          </w:p>
        </w:tc>
        <w:tc>
          <w:tcPr>
            <w:tcW w:w="27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2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131E29"/>
              </w:rPr>
              <w:t>2021</w:t>
            </w:r>
          </w:p>
        </w:tc>
      </w:tr>
      <w:tr>
        <w:trPr>
          <w:trHeight w:val="26"/>
        </w:trPr>
        <w:tc>
          <w:tcPr>
            <w:tcW w:w="51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131E29"/>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131E29"/>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r>
      <w:tr>
        <w:trPr>
          <w:trHeight w:val="243"/>
        </w:trPr>
        <w:tc>
          <w:tcPr>
            <w:tcW w:w="52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2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885</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521</w:t>
            </w:r>
          </w:p>
        </w:tc>
        <w:tc>
          <w:tcPr>
            <w:tcW w:w="100" w:type="dxa"/>
            <w:vAlign w:val="bottom"/>
            <w:tcBorders>
              <w:bottom w:val="single" w:sz="8" w:color="D2DCE5"/>
            </w:tcBorders>
            <w:shd w:val="clear" w:color="auto" w:fill="D2DCE5"/>
          </w:tcPr>
          <w:p>
            <w:pPr>
              <w:spacing w:after="0"/>
              <w:rPr>
                <w:sz w:val="21"/>
                <w:szCs w:val="21"/>
                <w:color w:val="auto"/>
              </w:rPr>
            </w:pPr>
          </w:p>
        </w:tc>
        <w:tc>
          <w:tcPr>
            <w:tcW w:w="20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79"/>
              </w:rPr>
              <w:t>$</w:t>
            </w:r>
          </w:p>
        </w:tc>
        <w:tc>
          <w:tcPr>
            <w:tcW w:w="1200" w:type="dxa"/>
            <w:vAlign w:val="bottom"/>
            <w:tcBorders>
              <w:bottom w:val="single" w:sz="8" w:color="D2DCE5"/>
            </w:tcBorders>
            <w:shd w:val="clear" w:color="auto" w:fill="D2DCE5"/>
          </w:tcPr>
          <w:p>
            <w:pPr>
              <w:ind w:left="660"/>
              <w:spacing w:after="0"/>
              <w:rPr>
                <w:sz w:val="20"/>
                <w:szCs w:val="20"/>
                <w:color w:val="auto"/>
              </w:rPr>
            </w:pPr>
            <w:r>
              <w:rPr>
                <w:rFonts w:ascii="Arial" w:cs="Arial" w:eastAsia="Arial" w:hAnsi="Arial"/>
                <w:sz w:val="18"/>
                <w:szCs w:val="18"/>
                <w:color w:val="131E29"/>
              </w:rPr>
              <w:t>671</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564</w:t>
            </w: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31E29"/>
              </w:rPr>
              <w:t>(102.2)%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4.2 %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ind w:left="640"/>
              <w:spacing w:after="0"/>
              <w:rPr>
                <w:sz w:val="20"/>
                <w:szCs w:val="20"/>
                <w:color w:val="auto"/>
              </w:rPr>
            </w:pPr>
            <w:r>
              <w:rPr>
                <w:rFonts w:ascii="Arial" w:cs="Arial" w:eastAsia="Arial" w:hAnsi="Arial"/>
                <w:sz w:val="18"/>
                <w:szCs w:val="18"/>
                <w:color w:val="131E29"/>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7.4 %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2022 v 2021</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The tax expense was primarily driven by state taxes, a change in valuation allowance, and the tax expense of the corporate subsidiary, partially offset by the losses allocated from Dutch Bros OpCo to the Company.</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Company’s estimated annual effective tax rate is less than the statutory rate of 21%, primarily because the Company is not liable for income taxes on the portion of earnings that are attributable to non-controlling interests.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 xml:space="preserve">As a result of the Secondary Offering, the Company recorded an additional deferred tax asset, net of valuation allowance, of </w:t>
      </w:r>
      <w:r>
        <w:rPr>
          <w:rFonts w:ascii="Arial" w:cs="Arial" w:eastAsia="Arial" w:hAnsi="Arial"/>
          <w:sz w:val="18"/>
          <w:szCs w:val="18"/>
          <w:color w:val="000000"/>
        </w:rPr>
        <w:t>$64.4 million</w:t>
      </w:r>
      <w:r>
        <w:rPr>
          <w:rFonts w:ascii="Arial" w:cs="Arial" w:eastAsia="Arial" w:hAnsi="Arial"/>
          <w:sz w:val="18"/>
          <w:szCs w:val="18"/>
          <w:color w:val="131E29"/>
        </w:rPr>
        <w:t>, which primarily consists of the Company’s outside basis differences in its limited liability company subsidiaries. As of June 30, 2022, the Company recognized deferred tax assets of approximately $223.3 million, net of a valuation allowance of approximately $1.6 million.</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 xml:space="preserve">The Secondary Offering also resulted in the Company recording an additional TRA liability of </w:t>
      </w:r>
      <w:r>
        <w:rPr>
          <w:rFonts w:ascii="Arial" w:cs="Arial" w:eastAsia="Arial" w:hAnsi="Arial"/>
          <w:sz w:val="18"/>
          <w:szCs w:val="18"/>
          <w:color w:val="000000"/>
        </w:rPr>
        <w:t>$ 55.2 million</w:t>
      </w:r>
      <w:r>
        <w:rPr>
          <w:rFonts w:ascii="Arial" w:cs="Arial" w:eastAsia="Arial" w:hAnsi="Arial"/>
          <w:sz w:val="18"/>
          <w:szCs w:val="18"/>
          <w:color w:val="131E29"/>
        </w:rPr>
        <w:t>. As of June 30, 2022, the Company had a liability of approximat</w:t>
      </w:r>
      <w:r>
        <w:rPr>
          <w:rFonts w:ascii="Arial" w:cs="Arial" w:eastAsia="Arial" w:hAnsi="Arial"/>
          <w:sz w:val="18"/>
          <w:szCs w:val="18"/>
          <w:color w:val="000000"/>
        </w:rPr>
        <w:t>ely $164.9 million re</w:t>
      </w:r>
      <w:r>
        <w:rPr>
          <w:rFonts w:ascii="Arial" w:cs="Arial" w:eastAsia="Arial" w:hAnsi="Arial"/>
          <w:sz w:val="18"/>
          <w:szCs w:val="18"/>
          <w:color w:val="131E29"/>
        </w:rPr>
        <w:t>lated to its projected obligations under the TRAs in connection with the Secondary Offering and 2021 reorganization and exchange transactions. TRAs-related liabilities are classified as current or non-current based on the expected date of payment and are included in the Company’s condensed consolidated balance sheets under the captions “Current portion of tax receivable agreements liability” and “Tax receivable agreements liability, net of current portion,” respectively. For additional information, refer to NOTE 1 — Organization and Background.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13 — Equity and Equity-Based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As of June 30, 2022, the Company had equity-based compensation awards outstanding consisting of RSAs and RSUs.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Unless indicated otherwise, the equity-based compensation awards described below are subject to time-based service requirements. The service vesting condition is currently a period of three years. For awards granted prior to 2022, vesting occurs in equal one-third installments on each anniversary of the vesting commencement date, subject to grantee’s continued service to the Company through each vesting date. Beginning with awards granted in 2022, vesting may occur as either (i) 50% each of the total award on the second and third anniversaries of the vesting commencement date, or (ii) 100% cliff vesting of the total award on the third anniversary of the vesting commencement date, subject to grantee’s continued service to the Company through the applicable vesting date(s).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During the six months ended June 30, 2022, the total weighted-average grant date fair value of RSAs and RSUs vested was approximately $30.7 million and $8.7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Activity for the Company’s RSAs was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June 30, 2022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131E29"/>
        </w:rPr>
        <w:t>Activity for the Company’s RSUs was as follows: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New grants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Forfeitures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June 30, 2022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Weighted-average</w:t>
            </w:r>
          </w:p>
        </w:tc>
      </w:tr>
      <w:tr>
        <w:trPr>
          <w:trHeight w:val="216"/>
        </w:trPr>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Restricted Stock</w:t>
            </w: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grant date fair value</w:t>
            </w:r>
          </w:p>
        </w:tc>
      </w:tr>
      <w:tr>
        <w:trPr>
          <w:trHeight w:val="239"/>
        </w:trPr>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8"/>
              </w:rPr>
              <w:t>Awards</w:t>
            </w:r>
          </w:p>
        </w:tc>
        <w:tc>
          <w:tcPr>
            <w:tcW w:w="120" w:type="dxa"/>
            <w:vAlign w:val="bottom"/>
          </w:tcPr>
          <w:p>
            <w:pPr>
              <w:spacing w:after="0"/>
              <w:rPr>
                <w:sz w:val="20"/>
                <w:szCs w:val="20"/>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rPr>
              <w:t>per share</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center"/>
              <w:ind w:left="1230"/>
              <w:spacing w:after="0"/>
              <w:rPr>
                <w:sz w:val="20"/>
                <w:szCs w:val="20"/>
                <w:color w:val="auto"/>
              </w:rPr>
            </w:pPr>
            <w:r>
              <w:rPr>
                <w:rFonts w:ascii="Arial" w:cs="Arial" w:eastAsia="Arial" w:hAnsi="Arial"/>
                <w:sz w:val="18"/>
                <w:szCs w:val="18"/>
                <w:color w:val="131E29"/>
                <w:w w:val="97"/>
              </w:rPr>
              <w:t>4,000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70"/>
        </w:trPr>
        <w:tc>
          <w:tcPr>
            <w:tcW w:w="1920" w:type="dxa"/>
            <w:vAlign w:val="bottom"/>
          </w:tcPr>
          <w:p>
            <w:pPr>
              <w:jc w:val="center"/>
              <w:ind w:left="1210"/>
              <w:spacing w:after="0"/>
              <w:rPr>
                <w:sz w:val="20"/>
                <w:szCs w:val="20"/>
                <w:color w:val="auto"/>
              </w:rPr>
            </w:pPr>
            <w:r>
              <w:rPr>
                <w:rFonts w:ascii="Arial" w:cs="Arial" w:eastAsia="Arial" w:hAnsi="Arial"/>
                <w:sz w:val="18"/>
                <w:szCs w:val="18"/>
                <w:color w:val="131E29"/>
              </w:rPr>
              <w:t>(1,333)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center"/>
              <w:ind w:left="1230"/>
              <w:spacing w:after="0"/>
              <w:rPr>
                <w:sz w:val="20"/>
                <w:szCs w:val="20"/>
                <w:color w:val="auto"/>
              </w:rPr>
            </w:pPr>
            <w:r>
              <w:rPr>
                <w:rFonts w:ascii="Arial" w:cs="Arial" w:eastAsia="Arial" w:hAnsi="Arial"/>
                <w:sz w:val="18"/>
                <w:szCs w:val="18"/>
                <w:color w:val="131E29"/>
                <w:w w:val="97"/>
              </w:rPr>
              <w:t>2,667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-213995</wp:posOffset>
            </wp:positionV>
            <wp:extent cx="7132320"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-565150</wp:posOffset>
            </wp:positionV>
            <wp:extent cx="71323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Weighted-average</w:t>
            </w:r>
          </w:p>
        </w:tc>
      </w:tr>
      <w:tr>
        <w:trPr>
          <w:trHeight w:val="216"/>
        </w:trPr>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Restricted Stock</w:t>
            </w:r>
          </w:p>
        </w:tc>
        <w:tc>
          <w:tcPr>
            <w:tcW w:w="1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grant date fair value</w:t>
            </w:r>
          </w:p>
        </w:tc>
      </w:tr>
      <w:tr>
        <w:trPr>
          <w:trHeight w:val="239"/>
        </w:trPr>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7"/>
              </w:rPr>
              <w:t>Units</w:t>
            </w:r>
          </w:p>
        </w:tc>
        <w:tc>
          <w:tcPr>
            <w:tcW w:w="120" w:type="dxa"/>
            <w:vAlign w:val="bottom"/>
          </w:tcPr>
          <w:p>
            <w:pPr>
              <w:spacing w:after="0"/>
              <w:rPr>
                <w:sz w:val="20"/>
                <w:szCs w:val="20"/>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131E29"/>
              </w:rPr>
              <w:t>per share</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right"/>
              <w:spacing w:after="0"/>
              <w:rPr>
                <w:sz w:val="20"/>
                <w:szCs w:val="20"/>
                <w:color w:val="auto"/>
              </w:rPr>
            </w:pPr>
            <w:r>
              <w:rPr>
                <w:rFonts w:ascii="Arial" w:cs="Arial" w:eastAsia="Arial" w:hAnsi="Arial"/>
                <w:sz w:val="18"/>
                <w:szCs w:val="18"/>
                <w:color w:val="131E29"/>
              </w:rPr>
              <w:t>596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43.55</w:t>
            </w: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131E29"/>
              </w:rPr>
              <w:t>155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48.76</w:t>
            </w: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131E29"/>
              </w:rPr>
              <w:t>(199)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43.55</w:t>
            </w: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131E29"/>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31E29"/>
              </w:rPr>
              <w:t>49.37</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jc w:val="right"/>
              <w:spacing w:after="0"/>
              <w:rPr>
                <w:sz w:val="20"/>
                <w:szCs w:val="20"/>
                <w:color w:val="auto"/>
              </w:rPr>
            </w:pPr>
            <w:r>
              <w:rPr>
                <w:rFonts w:ascii="Arial" w:cs="Arial" w:eastAsia="Arial" w:hAnsi="Arial"/>
                <w:sz w:val="18"/>
                <w:szCs w:val="18"/>
                <w:color w:val="131E29"/>
              </w:rPr>
              <w:t>550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131E29"/>
              </w:rPr>
              <w:t>45.01</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-556895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-213995</wp:posOffset>
            </wp:positionV>
            <wp:extent cx="713232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-908050</wp:posOffset>
            </wp:positionV>
            <wp:extent cx="71323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6560" w:space="720"/>
            <w:col w:w="3960"/>
          </w:cols>
          <w:pgMar w:left="320" w:top="144" w:right="339" w:bottom="1440" w:gutter="0" w:footer="0" w:header="0"/>
        </w:sectPr>
      </w:pPr>
    </w:p>
    <w:p>
      <w:pPr>
        <w:spacing w:after="0" w:line="261" w:lineRule="auto"/>
        <w:rPr>
          <w:sz w:val="20"/>
          <w:szCs w:val="20"/>
          <w:color w:val="auto"/>
        </w:rPr>
      </w:pPr>
      <w:r>
        <w:rPr>
          <w:rFonts w:ascii="Arial" w:cs="Arial" w:eastAsia="Arial" w:hAnsi="Arial"/>
          <w:sz w:val="18"/>
          <w:szCs w:val="18"/>
          <w:color w:val="131E29"/>
        </w:rPr>
        <w:t>Equity-based compensation expense is recognized on a straight-line basis and is included in the Company’s condensed consolidated statements of operations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10,446</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8,332</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20,346</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22,982</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As of June 30, 2022, total unrecognized stock-based compensation related to unvested stock awards was $66.5 million, which will be recognized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44"/>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2022</w:t>
            </w:r>
          </w:p>
        </w:tc>
        <w:tc>
          <w:tcPr>
            <w:tcW w:w="54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21,217</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41,821</w:t>
            </w:r>
          </w:p>
        </w:tc>
      </w:tr>
      <w:tr>
        <w:trPr>
          <w:trHeight w:val="27"/>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2024</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3,042</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390</w:t>
            </w:r>
          </w:p>
        </w:tc>
      </w:tr>
      <w:tr>
        <w:trPr>
          <w:trHeight w:val="27"/>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Total unrecognized stock-based compensation expense</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66,470</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14 — Non-Controlling Interests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Company is the sole managing member of Dutch Bros OpCo, and, as a result, consolidates the financial results of Dutch Bros OpCo. The Company reports a non-controlling interest representing the economic interest in the Dutch Bros OpCo held by the other members of Dutch Bros OpCo. The Dutch Bros OpCo Agreement provides that holders of OpCo Units may, from time to time, require Dutch Bros OpCo to redeem all or a portion of its OpCo Units for newly-issued shares of Class A common shares on a one-for-one basis. In connection with any redemption or exchange, the Company will receive a corresponding number of OpCo Units, increasing the Company’s total ownership in Dutch Bros OpCo. Changes in the Company’s ownership in Dutch Bros OpCo, while the Company retains its controlling interest in Dutch Bros OpCo, will be accounted for as equity transactions. As such, future redemptions or direct exchanges of OpCo Units in Dutch Bros OpCo by the other members of Dutch Bros OpCo will result in a change in ownership and reduce the amount recorded as non-controlling interest and increase additional paid-in-capital.</w:t>
      </w:r>
    </w:p>
    <w:p>
      <w:pPr>
        <w:sectPr>
          <w:pgSz w:w="11900" w:h="16838" w:orient="portrait"/>
          <w:cols w:equalWidth="0" w:num="1">
            <w:col w:w="11240"/>
          </w:cols>
          <w:pgMar w:left="320" w:top="144" w:right="3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ownership interest in Dutch Bros OpCo:</w:t>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Class A common units held by Dutch Bros Inc.</w:t>
      </w:r>
      <w:r>
        <w:rPr>
          <w:rFonts w:ascii="Arial" w:cs="Arial" w:eastAsia="Arial" w:hAnsi="Arial"/>
          <w:sz w:val="23"/>
          <w:szCs w:val="23"/>
          <w:color w:val="131E29"/>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Class A common units held by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Total Class A common units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131E29"/>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37465</wp:posOffset>
            </wp:positionV>
            <wp:extent cx="24345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131E29"/>
        </w:rPr>
        <w:t>OpCo Units</w:t>
      </w:r>
      <w:r>
        <w:rPr>
          <w:sz w:val="20"/>
          <w:szCs w:val="20"/>
          <w:color w:val="auto"/>
        </w:rPr>
        <w:tab/>
      </w:r>
      <w:r>
        <w:rPr>
          <w:rFonts w:ascii="Arial" w:cs="Arial" w:eastAsia="Arial" w:hAnsi="Arial"/>
          <w:sz w:val="17"/>
          <w:szCs w:val="17"/>
          <w:b w:val="1"/>
          <w:bCs w:val="1"/>
          <w:color w:val="131E29"/>
        </w:rPr>
        <w:t>Ownership %</w:t>
      </w:r>
    </w:p>
    <w:p>
      <w:pPr>
        <w:spacing w:after="0" w:line="99" w:lineRule="exact"/>
        <w:rPr>
          <w:sz w:val="20"/>
          <w:szCs w:val="20"/>
          <w:color w:val="auto"/>
        </w:rPr>
      </w:pPr>
    </w:p>
    <w:p>
      <w:pPr>
        <w:jc w:val="both"/>
        <w:ind w:left="760"/>
        <w:spacing w:after="0"/>
        <w:tabs>
          <w:tab w:leader="none" w:pos="2840" w:val="left"/>
        </w:tabs>
        <w:rPr>
          <w:sz w:val="20"/>
          <w:szCs w:val="20"/>
          <w:color w:val="auto"/>
        </w:rPr>
      </w:pPr>
      <w:r>
        <w:rPr>
          <w:rFonts w:ascii="Arial" w:cs="Arial" w:eastAsia="Arial" w:hAnsi="Arial"/>
          <w:sz w:val="18"/>
          <w:szCs w:val="18"/>
          <w:color w:val="131E29"/>
        </w:rPr>
        <w:t>53,620</w:t>
      </w:r>
      <w:r>
        <w:rPr>
          <w:sz w:val="20"/>
          <w:szCs w:val="20"/>
          <w:color w:val="auto"/>
        </w:rPr>
        <w:tab/>
      </w:r>
      <w:r>
        <w:rPr>
          <w:rFonts w:ascii="Arial" w:cs="Arial" w:eastAsia="Arial" w:hAnsi="Arial"/>
          <w:sz w:val="18"/>
          <w:szCs w:val="18"/>
          <w:color w:val="131E29"/>
        </w:rPr>
        <w:t>32.8 %</w:t>
      </w:r>
    </w:p>
    <w:p>
      <w:pPr>
        <w:spacing w:after="0" w:line="63" w:lineRule="exact"/>
        <w:rPr>
          <w:sz w:val="20"/>
          <w:szCs w:val="20"/>
          <w:color w:val="auto"/>
        </w:rPr>
      </w:pPr>
    </w:p>
    <w:p>
      <w:pPr>
        <w:jc w:val="both"/>
        <w:ind w:left="660"/>
        <w:spacing w:after="0"/>
        <w:tabs>
          <w:tab w:leader="none" w:pos="2840" w:val="left"/>
        </w:tabs>
        <w:rPr>
          <w:sz w:val="20"/>
          <w:szCs w:val="20"/>
          <w:color w:val="auto"/>
        </w:rPr>
      </w:pPr>
      <w:r>
        <w:rPr>
          <w:rFonts w:ascii="Arial" w:cs="Arial" w:eastAsia="Arial" w:hAnsi="Arial"/>
          <w:sz w:val="18"/>
          <w:szCs w:val="18"/>
          <w:color w:val="131E29"/>
        </w:rPr>
        <w:t>110,085</w:t>
      </w:r>
      <w:r>
        <w:rPr>
          <w:sz w:val="20"/>
          <w:szCs w:val="20"/>
          <w:color w:val="auto"/>
        </w:rPr>
        <w:tab/>
      </w:r>
      <w:r>
        <w:rPr>
          <w:rFonts w:ascii="Arial" w:cs="Arial" w:eastAsia="Arial" w:hAnsi="Arial"/>
          <w:sz w:val="18"/>
          <w:szCs w:val="18"/>
          <w:color w:val="131E29"/>
        </w:rPr>
        <w:t>67.2 %</w:t>
      </w:r>
    </w:p>
    <w:p>
      <w:pPr>
        <w:spacing w:after="0" w:line="77" w:lineRule="exact"/>
        <w:rPr>
          <w:sz w:val="20"/>
          <w:szCs w:val="20"/>
          <w:color w:val="auto"/>
        </w:rPr>
      </w:pPr>
    </w:p>
    <w:p>
      <w:pPr>
        <w:jc w:val="both"/>
        <w:ind w:left="660"/>
        <w:spacing w:after="0"/>
        <w:tabs>
          <w:tab w:leader="none" w:pos="2740" w:val="left"/>
        </w:tabs>
        <w:rPr>
          <w:sz w:val="20"/>
          <w:szCs w:val="20"/>
          <w:color w:val="auto"/>
        </w:rPr>
      </w:pPr>
      <w:r>
        <w:rPr>
          <w:rFonts w:ascii="Arial" w:cs="Arial" w:eastAsia="Arial" w:hAnsi="Arial"/>
          <w:sz w:val="18"/>
          <w:szCs w:val="18"/>
          <w:color w:val="131E29"/>
        </w:rPr>
        <w:t>163,705</w:t>
      </w:r>
      <w:r>
        <w:rPr>
          <w:sz w:val="20"/>
          <w:szCs w:val="20"/>
          <w:color w:val="auto"/>
        </w:rPr>
        <w:tab/>
      </w:r>
      <w:r>
        <w:rPr>
          <w:rFonts w:ascii="Arial" w:cs="Arial" w:eastAsia="Arial" w:hAnsi="Arial"/>
          <w:sz w:val="18"/>
          <w:szCs w:val="18"/>
          <w:color w:val="131E29"/>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48895</wp:posOffset>
            </wp:positionV>
            <wp:extent cx="24345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68" w:lineRule="exact"/>
        <w:rPr>
          <w:sz w:val="20"/>
          <w:szCs w:val="20"/>
          <w:color w:val="auto"/>
        </w:rPr>
      </w:pPr>
    </w:p>
    <w:p>
      <w:pPr>
        <w:sectPr>
          <w:pgSz w:w="11900" w:h="16838" w:orient="portrait"/>
          <w:cols w:equalWidth="0" w:num="2">
            <w:col w:w="7080" w:space="720"/>
            <w:col w:w="3440"/>
          </w:cols>
          <w:pgMar w:left="320" w:top="144" w:right="339" w:bottom="1440" w:gutter="0" w:footer="0" w:header="0"/>
          <w:type w:val="continuous"/>
        </w:sectPr>
      </w:pPr>
    </w:p>
    <w:p>
      <w:pPr>
        <w:ind w:left="180" w:hanging="172"/>
        <w:spacing w:after="0" w:line="219" w:lineRule="auto"/>
        <w:tabs>
          <w:tab w:leader="none" w:pos="187" w:val="left"/>
        </w:tabs>
        <w:numPr>
          <w:ilvl w:val="0"/>
          <w:numId w:val="12"/>
        </w:numPr>
        <w:rPr>
          <w:rFonts w:ascii="Arial" w:cs="Arial" w:eastAsia="Arial" w:hAnsi="Arial"/>
          <w:sz w:val="19"/>
          <w:szCs w:val="19"/>
          <w:color w:val="131E29"/>
          <w:vertAlign w:val="superscript"/>
        </w:rPr>
      </w:pPr>
      <w:r>
        <w:rPr>
          <w:rFonts w:ascii="Arial" w:cs="Arial" w:eastAsia="Arial" w:hAnsi="Arial"/>
          <w:sz w:val="14"/>
          <w:szCs w:val="14"/>
          <w:color w:val="131E29"/>
        </w:rPr>
        <w:t>Includes approximately 2.7 million common units related to unvested restricted stock awards held by former Profits Interest Units holders. These common units are excluded from non-controlling interest calculations.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effect of changes in ownership of Dutch Bros OpCo on the Company’s equity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131E29"/>
              </w:rPr>
              <w:t>Three Months Ended June</w:t>
            </w:r>
          </w:p>
        </w:tc>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40"/>
        </w:trPr>
        <w:tc>
          <w:tcPr>
            <w:tcW w:w="59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140" w:type="dxa"/>
            <w:vAlign w:val="bottom"/>
          </w:tcPr>
          <w:p>
            <w:pPr>
              <w:spacing w:after="0"/>
              <w:rPr>
                <w:sz w:val="20"/>
                <w:szCs w:val="20"/>
                <w:color w:val="auto"/>
              </w:rPr>
            </w:pPr>
          </w:p>
        </w:tc>
        <w:tc>
          <w:tcPr>
            <w:tcW w:w="2440" w:type="dxa"/>
            <w:vAlign w:val="bottom"/>
          </w:tcPr>
          <w:p>
            <w:pPr>
              <w:jc w:val="right"/>
              <w:ind w:right="850"/>
              <w:spacing w:after="0"/>
              <w:rPr>
                <w:sz w:val="20"/>
                <w:szCs w:val="20"/>
                <w:color w:val="auto"/>
              </w:rPr>
            </w:pPr>
            <w:r>
              <w:rPr>
                <w:rFonts w:ascii="Arial" w:cs="Arial" w:eastAsia="Arial" w:hAnsi="Arial"/>
                <w:sz w:val="18"/>
                <w:szCs w:val="18"/>
                <w:b w:val="1"/>
                <w:bCs w:val="1"/>
                <w:color w:val="131E29"/>
              </w:rPr>
              <w:t>30, 2022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Pr>
          <w:p>
            <w:pPr>
              <w:jc w:val="right"/>
              <w:ind w:right="930"/>
              <w:spacing w:after="0"/>
              <w:rPr>
                <w:sz w:val="20"/>
                <w:szCs w:val="20"/>
                <w:color w:val="auto"/>
              </w:rPr>
            </w:pPr>
            <w:r>
              <w:rPr>
                <w:rFonts w:ascii="Arial" w:cs="Arial" w:eastAsia="Arial" w:hAnsi="Arial"/>
                <w:sz w:val="18"/>
                <w:szCs w:val="18"/>
                <w:b w:val="1"/>
                <w:bCs w:val="1"/>
                <w:color w:val="131E29"/>
              </w:rPr>
              <w:t>2022</w:t>
            </w:r>
          </w:p>
        </w:tc>
        <w:tc>
          <w:tcPr>
            <w:tcW w:w="0" w:type="dxa"/>
            <w:vAlign w:val="bottom"/>
          </w:tcPr>
          <w:p>
            <w:pPr>
              <w:spacing w:after="0"/>
              <w:rPr>
                <w:sz w:val="1"/>
                <w:szCs w:val="1"/>
                <w:color w:val="auto"/>
              </w:rPr>
            </w:pPr>
          </w:p>
        </w:tc>
      </w:tr>
      <w:tr>
        <w:trPr>
          <w:trHeight w:val="25"/>
        </w:trPr>
        <w:tc>
          <w:tcPr>
            <w:tcW w:w="58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loss attributable to Dutch Bros Inc.</w:t>
            </w: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(906)</w:t>
            </w:r>
          </w:p>
        </w:tc>
        <w:tc>
          <w:tcPr>
            <w:tcW w:w="8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(5,853)</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w:t>
            </w: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9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on derivative securities, effective portion, net of income</w:t>
            </w:r>
          </w:p>
        </w:tc>
        <w:tc>
          <w:tcPr>
            <w:tcW w:w="140" w:type="dxa"/>
            <w:vAlign w:val="bottom"/>
            <w:shd w:val="clear" w:color="auto" w:fill="D2DCE5"/>
          </w:tcPr>
          <w:p>
            <w:pPr>
              <w:spacing w:after="0"/>
              <w:rPr>
                <w:sz w:val="21"/>
                <w:szCs w:val="21"/>
                <w:color w:val="auto"/>
              </w:rPr>
            </w:pPr>
          </w:p>
        </w:tc>
        <w:tc>
          <w:tcPr>
            <w:tcW w:w="24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560" w:type="dxa"/>
            <w:vAlign w:val="bottom"/>
            <w:shd w:val="clear" w:color="auto" w:fill="D2DCE5"/>
          </w:tcPr>
          <w:p>
            <w:pPr>
              <w:spacing w:after="0"/>
              <w:rPr>
                <w:sz w:val="21"/>
                <w:szCs w:val="21"/>
                <w:color w:val="auto"/>
              </w:rPr>
            </w:pPr>
          </w:p>
        </w:tc>
        <w:tc>
          <w:tcPr>
            <w:tcW w:w="18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tax expense</w:t>
            </w:r>
          </w:p>
        </w:tc>
        <w:tc>
          <w:tcPr>
            <w:tcW w:w="140" w:type="dxa"/>
            <w:vAlign w:val="bottom"/>
            <w:tcBorders>
              <w:bottom w:val="single" w:sz="8" w:color="D2DCE5"/>
            </w:tcBorders>
            <w:shd w:val="clear" w:color="auto" w:fill="D2DCE5"/>
          </w:tcPr>
          <w:p>
            <w:pPr>
              <w:spacing w:after="0"/>
              <w:rPr>
                <w:sz w:val="19"/>
                <w:szCs w:val="19"/>
                <w:color w:val="auto"/>
              </w:rPr>
            </w:pPr>
          </w:p>
        </w:tc>
        <w:tc>
          <w:tcPr>
            <w:tcW w:w="24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w:t>
            </w:r>
          </w:p>
        </w:tc>
        <w:tc>
          <w:tcPr>
            <w:tcW w:w="80" w:type="dxa"/>
            <w:vAlign w:val="bottom"/>
            <w:tcBorders>
              <w:bottom w:val="single" w:sz="8" w:color="D2DCE5"/>
            </w:tcBorders>
            <w:shd w:val="clear" w:color="auto" w:fill="D2DCE5"/>
          </w:tcPr>
          <w:p>
            <w:pPr>
              <w:spacing w:after="0"/>
              <w:rPr>
                <w:sz w:val="19"/>
                <w:szCs w:val="19"/>
                <w:color w:val="auto"/>
              </w:rPr>
            </w:pPr>
          </w:p>
        </w:tc>
        <w:tc>
          <w:tcPr>
            <w:tcW w:w="560" w:type="dxa"/>
            <w:vAlign w:val="bottom"/>
            <w:tcBorders>
              <w:bottom w:val="single" w:sz="8" w:color="D2DCE5"/>
            </w:tcBorders>
            <w:shd w:val="clear" w:color="auto" w:fill="D2DCE5"/>
          </w:tcPr>
          <w:p>
            <w:pPr>
              <w:spacing w:after="0"/>
              <w:rPr>
                <w:sz w:val="19"/>
                <w:szCs w:val="19"/>
                <w:color w:val="auto"/>
              </w:rPr>
            </w:pPr>
          </w:p>
        </w:tc>
        <w:tc>
          <w:tcPr>
            <w:tcW w:w="1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131E29"/>
              </w:rPr>
              <w:t>Transfers from (to) non-controlling interests:</w:t>
            </w: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Decrease in accumulated deficit as a result of the adoption of ASC 842</w:t>
            </w:r>
          </w:p>
        </w:tc>
        <w:tc>
          <w:tcPr>
            <w:tcW w:w="140" w:type="dxa"/>
            <w:vAlign w:val="bottom"/>
            <w:tcBorders>
              <w:bottom w:val="single" w:sz="8" w:color="D2DCE5"/>
            </w:tcBorders>
            <w:shd w:val="clear" w:color="auto" w:fill="D2DCE5"/>
          </w:tcPr>
          <w:p>
            <w:pPr>
              <w:spacing w:after="0"/>
              <w:rPr>
                <w:sz w:val="21"/>
                <w:szCs w:val="21"/>
                <w:color w:val="auto"/>
              </w:rPr>
            </w:pPr>
          </w:p>
        </w:tc>
        <w:tc>
          <w:tcPr>
            <w:tcW w:w="252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spacing w:after="0"/>
              <w:rPr>
                <w:sz w:val="21"/>
                <w:szCs w:val="21"/>
                <w:color w:val="auto"/>
              </w:rPr>
            </w:pPr>
          </w:p>
        </w:tc>
        <w:tc>
          <w:tcPr>
            <w:tcW w:w="1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386</w:t>
            </w:r>
          </w:p>
        </w:tc>
        <w:tc>
          <w:tcPr>
            <w:tcW w:w="0" w:type="dxa"/>
            <w:vAlign w:val="bottom"/>
          </w:tcPr>
          <w:p>
            <w:pPr>
              <w:spacing w:after="0"/>
              <w:rPr>
                <w:sz w:val="1"/>
                <w:szCs w:val="1"/>
                <w:color w:val="auto"/>
              </w:rPr>
            </w:pPr>
          </w:p>
        </w:tc>
      </w:tr>
      <w:tr>
        <w:trPr>
          <w:trHeight w:val="242"/>
        </w:trPr>
        <w:tc>
          <w:tcPr>
            <w:tcW w:w="5980" w:type="dxa"/>
            <w:vAlign w:val="bottom"/>
            <w:gridSpan w:val="2"/>
          </w:tcPr>
          <w:p>
            <w:pPr>
              <w:ind w:left="180"/>
              <w:spacing w:after="0"/>
              <w:rPr>
                <w:sz w:val="20"/>
                <w:szCs w:val="20"/>
                <w:color w:val="auto"/>
              </w:rPr>
            </w:pPr>
            <w:r>
              <w:rPr>
                <w:rFonts w:ascii="Arial" w:cs="Arial" w:eastAsia="Arial" w:hAnsi="Arial"/>
                <w:sz w:val="18"/>
                <w:szCs w:val="18"/>
                <w:color w:val="131E29"/>
              </w:rPr>
              <w:t>Increase in additional paid-in capital as a result of equity-based</w:t>
            </w: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80" w:type="dxa"/>
            <w:vAlign w:val="bottom"/>
            <w:gridSpan w:val="2"/>
          </w:tcPr>
          <w:p>
            <w:pPr>
              <w:ind w:left="180"/>
              <w:spacing w:after="0"/>
              <w:rPr>
                <w:sz w:val="20"/>
                <w:szCs w:val="20"/>
                <w:color w:val="auto"/>
              </w:rPr>
            </w:pPr>
            <w:r>
              <w:rPr>
                <w:rFonts w:ascii="Arial" w:cs="Arial" w:eastAsia="Arial" w:hAnsi="Arial"/>
                <w:sz w:val="18"/>
                <w:szCs w:val="18"/>
                <w:color w:val="131E29"/>
              </w:rPr>
              <w:t>compensation</w:t>
            </w:r>
          </w:p>
        </w:tc>
        <w:tc>
          <w:tcPr>
            <w:tcW w:w="1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131E29"/>
              </w:rPr>
              <w:t>3,305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31E29"/>
              </w:rPr>
              <w:t>6,427</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9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Decrease in additional paid-in capital as a result of common stock</w:t>
            </w:r>
          </w:p>
        </w:tc>
        <w:tc>
          <w:tcPr>
            <w:tcW w:w="140" w:type="dxa"/>
            <w:vAlign w:val="bottom"/>
            <w:shd w:val="clear" w:color="auto" w:fill="D2DCE5"/>
          </w:tcPr>
          <w:p>
            <w:pPr>
              <w:spacing w:after="0"/>
              <w:rPr>
                <w:sz w:val="21"/>
                <w:szCs w:val="21"/>
                <w:color w:val="auto"/>
              </w:rPr>
            </w:pPr>
          </w:p>
        </w:tc>
        <w:tc>
          <w:tcPr>
            <w:tcW w:w="24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560" w:type="dxa"/>
            <w:vAlign w:val="bottom"/>
            <w:shd w:val="clear" w:color="auto" w:fill="D2DCE5"/>
          </w:tcPr>
          <w:p>
            <w:pPr>
              <w:spacing w:after="0"/>
              <w:rPr>
                <w:sz w:val="21"/>
                <w:szCs w:val="21"/>
                <w:color w:val="auto"/>
              </w:rPr>
            </w:pPr>
          </w:p>
        </w:tc>
        <w:tc>
          <w:tcPr>
            <w:tcW w:w="186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issuances pursuant to vesting of equity awards, net of stock withheld</w:t>
            </w:r>
          </w:p>
        </w:tc>
        <w:tc>
          <w:tcPr>
            <w:tcW w:w="140" w:type="dxa"/>
            <w:vAlign w:val="bottom"/>
            <w:shd w:val="clear" w:color="auto" w:fill="D2DCE5"/>
          </w:tcPr>
          <w:p>
            <w:pPr>
              <w:spacing w:after="0"/>
              <w:rPr>
                <w:sz w:val="18"/>
                <w:szCs w:val="18"/>
                <w:color w:val="auto"/>
              </w:rPr>
            </w:pPr>
          </w:p>
        </w:tc>
        <w:tc>
          <w:tcPr>
            <w:tcW w:w="24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spacing w:after="0"/>
              <w:rPr>
                <w:sz w:val="18"/>
                <w:szCs w:val="18"/>
                <w:color w:val="auto"/>
              </w:rPr>
            </w:pPr>
          </w:p>
        </w:tc>
        <w:tc>
          <w:tcPr>
            <w:tcW w:w="18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for tax</w:t>
            </w:r>
          </w:p>
        </w:tc>
        <w:tc>
          <w:tcPr>
            <w:tcW w:w="140" w:type="dxa"/>
            <w:vAlign w:val="bottom"/>
            <w:tcBorders>
              <w:bottom w:val="single" w:sz="8" w:color="D2DCE5"/>
            </w:tcBorders>
            <w:shd w:val="clear" w:color="auto" w:fill="D2DCE5"/>
          </w:tcPr>
          <w:p>
            <w:pPr>
              <w:spacing w:after="0"/>
              <w:rPr>
                <w:sz w:val="19"/>
                <w:szCs w:val="19"/>
                <w:color w:val="auto"/>
              </w:rPr>
            </w:pPr>
          </w:p>
        </w:tc>
        <w:tc>
          <w:tcPr>
            <w:tcW w:w="252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560" w:type="dxa"/>
            <w:vAlign w:val="bottom"/>
            <w:tcBorders>
              <w:bottom w:val="single" w:sz="8" w:color="D2DCE5"/>
            </w:tcBorders>
            <w:shd w:val="clear" w:color="auto" w:fill="D2DCE5"/>
          </w:tcPr>
          <w:p>
            <w:pPr>
              <w:spacing w:after="0"/>
              <w:rPr>
                <w:sz w:val="19"/>
                <w:szCs w:val="19"/>
                <w:color w:val="auto"/>
              </w:rPr>
            </w:pPr>
          </w:p>
        </w:tc>
        <w:tc>
          <w:tcPr>
            <w:tcW w:w="1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(1,145)</w:t>
            </w:r>
          </w:p>
        </w:tc>
        <w:tc>
          <w:tcPr>
            <w:tcW w:w="0" w:type="dxa"/>
            <w:vAlign w:val="bottom"/>
          </w:tcPr>
          <w:p>
            <w:pPr>
              <w:spacing w:after="0"/>
              <w:rPr>
                <w:sz w:val="1"/>
                <w:szCs w:val="1"/>
                <w:color w:val="auto"/>
              </w:rPr>
            </w:pPr>
          </w:p>
        </w:tc>
      </w:tr>
      <w:tr>
        <w:trPr>
          <w:trHeight w:val="242"/>
        </w:trPr>
        <w:tc>
          <w:tcPr>
            <w:tcW w:w="5980" w:type="dxa"/>
            <w:vAlign w:val="bottom"/>
            <w:gridSpan w:val="2"/>
          </w:tcPr>
          <w:p>
            <w:pPr>
              <w:ind w:left="180"/>
              <w:spacing w:after="0"/>
              <w:rPr>
                <w:sz w:val="20"/>
                <w:szCs w:val="20"/>
                <w:color w:val="auto"/>
              </w:rPr>
            </w:pPr>
            <w:r>
              <w:rPr>
                <w:rFonts w:ascii="Arial" w:cs="Arial" w:eastAsia="Arial" w:hAnsi="Arial"/>
                <w:sz w:val="18"/>
                <w:szCs w:val="18"/>
                <w:color w:val="131E29"/>
              </w:rPr>
              <w:t>Increase in additional paid-in capital as a result of the acquisition of</w:t>
            </w: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80" w:type="dxa"/>
            <w:vAlign w:val="bottom"/>
            <w:gridSpan w:val="2"/>
          </w:tcPr>
          <w:p>
            <w:pPr>
              <w:ind w:left="180"/>
              <w:spacing w:after="0"/>
              <w:rPr>
                <w:sz w:val="20"/>
                <w:szCs w:val="20"/>
                <w:color w:val="auto"/>
              </w:rPr>
            </w:pPr>
            <w:r>
              <w:rPr>
                <w:rFonts w:ascii="Arial" w:cs="Arial" w:eastAsia="Arial" w:hAnsi="Arial"/>
                <w:sz w:val="18"/>
                <w:szCs w:val="18"/>
                <w:color w:val="131E29"/>
              </w:rPr>
              <w:t>Dutch Bros OpCo common units</w:t>
            </w:r>
          </w:p>
        </w:tc>
        <w:tc>
          <w:tcPr>
            <w:tcW w:w="1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131E29"/>
              </w:rPr>
              <w:t>52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131E29"/>
              </w:rPr>
              <w:t>4,880</w:t>
            </w:r>
          </w:p>
        </w:tc>
        <w:tc>
          <w:tcPr>
            <w:tcW w:w="0" w:type="dxa"/>
            <w:vAlign w:val="bottom"/>
          </w:tcPr>
          <w:p>
            <w:pPr>
              <w:spacing w:after="0"/>
              <w:rPr>
                <w:sz w:val="1"/>
                <w:szCs w:val="1"/>
                <w:color w:val="auto"/>
              </w:rPr>
            </w:pPr>
          </w:p>
        </w:tc>
      </w:tr>
      <w:tr>
        <w:trPr>
          <w:trHeight w:val="27"/>
        </w:trPr>
        <w:tc>
          <w:tcPr>
            <w:tcW w:w="58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980" w:type="dxa"/>
            <w:vAlign w:val="bottom"/>
            <w:gridSpan w:val="2"/>
            <w:shd w:val="clear" w:color="auto" w:fill="D2DCE5"/>
          </w:tcPr>
          <w:p>
            <w:pPr>
              <w:ind w:left="20"/>
              <w:spacing w:after="0" w:line="201" w:lineRule="exact"/>
              <w:rPr>
                <w:sz w:val="20"/>
                <w:szCs w:val="20"/>
                <w:color w:val="auto"/>
              </w:rPr>
            </w:pPr>
            <w:r>
              <w:rPr>
                <w:rFonts w:ascii="Arial" w:cs="Arial" w:eastAsia="Arial" w:hAnsi="Arial"/>
                <w:sz w:val="18"/>
                <w:szCs w:val="18"/>
                <w:b w:val="1"/>
                <w:bCs w:val="1"/>
                <w:color w:val="131E29"/>
              </w:rPr>
              <w:t>Total effect of changes in ownership interest on equity attributable</w:t>
            </w:r>
          </w:p>
        </w:tc>
        <w:tc>
          <w:tcPr>
            <w:tcW w:w="1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4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2,596</w:t>
            </w:r>
          </w:p>
        </w:tc>
        <w:tc>
          <w:tcPr>
            <w:tcW w:w="80" w:type="dxa"/>
            <w:vAlign w:val="bottom"/>
            <w:shd w:val="clear" w:color="auto" w:fill="D2DCE5"/>
          </w:tcPr>
          <w:p>
            <w:pPr>
              <w:spacing w:after="0"/>
              <w:rPr>
                <w:sz w:val="17"/>
                <w:szCs w:val="17"/>
                <w:color w:val="auto"/>
              </w:rPr>
            </w:pPr>
          </w:p>
        </w:tc>
        <w:tc>
          <w:tcPr>
            <w:tcW w:w="560" w:type="dxa"/>
            <w:vAlign w:val="bottom"/>
            <w:vMerge w:val="restart"/>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8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4,840</w:t>
            </w:r>
          </w:p>
        </w:tc>
        <w:tc>
          <w:tcPr>
            <w:tcW w:w="0" w:type="dxa"/>
            <w:vAlign w:val="bottom"/>
          </w:tcPr>
          <w:p>
            <w:pPr>
              <w:spacing w:after="0"/>
              <w:rPr>
                <w:sz w:val="1"/>
                <w:szCs w:val="1"/>
                <w:color w:val="auto"/>
              </w:rPr>
            </w:pPr>
          </w:p>
        </w:tc>
      </w:tr>
      <w:tr>
        <w:trPr>
          <w:trHeight w:val="259"/>
        </w:trPr>
        <w:tc>
          <w:tcPr>
            <w:tcW w:w="5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to Dutch Bros Inc.</w:t>
            </w:r>
          </w:p>
        </w:tc>
        <w:tc>
          <w:tcPr>
            <w:tcW w:w="140" w:type="dxa"/>
            <w:vAlign w:val="bottom"/>
            <w:tcBorders>
              <w:bottom w:val="single" w:sz="8" w:color="auto"/>
            </w:tcBorders>
            <w:vMerge w:val="continue"/>
            <w:shd w:val="clear" w:color="auto" w:fill="D2DCE5"/>
          </w:tcPr>
          <w:p>
            <w:pPr>
              <w:spacing w:after="0"/>
              <w:rPr>
                <w:sz w:val="22"/>
                <w:szCs w:val="22"/>
                <w:color w:val="auto"/>
              </w:rPr>
            </w:pPr>
          </w:p>
        </w:tc>
        <w:tc>
          <w:tcPr>
            <w:tcW w:w="2440" w:type="dxa"/>
            <w:vAlign w:val="bottom"/>
            <w:tcBorders>
              <w:bottom w:val="single" w:sz="8" w:color="auto"/>
            </w:tcBorders>
            <w:vMerge w:val="continue"/>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560" w:type="dxa"/>
            <w:vAlign w:val="bottom"/>
            <w:tcBorders>
              <w:bottom w:val="single" w:sz="8" w:color="auto"/>
            </w:tcBorders>
            <w:vMerge w:val="continue"/>
            <w:shd w:val="clear" w:color="auto" w:fill="D2DCE5"/>
          </w:tcPr>
          <w:p>
            <w:pPr>
              <w:spacing w:after="0"/>
              <w:rPr>
                <w:sz w:val="22"/>
                <w:szCs w:val="22"/>
                <w:color w:val="auto"/>
              </w:rPr>
            </w:pPr>
          </w:p>
        </w:tc>
        <w:tc>
          <w:tcPr>
            <w:tcW w:w="1860" w:type="dxa"/>
            <w:vAlign w:val="bottom"/>
            <w:tcBorders>
              <w:bottom w:val="single" w:sz="8" w:color="auto"/>
            </w:tcBorders>
            <w:vMerge w:val="continue"/>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24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60" w:type="dxa"/>
            <w:vAlign w:val="bottom"/>
            <w:tcBorders>
              <w:top w:val="single" w:sz="8" w:color="D2DCE5"/>
              <w:bottom w:val="single" w:sz="8" w:color="auto"/>
            </w:tcBorders>
          </w:tcPr>
          <w:p>
            <w:pPr>
              <w:spacing w:after="0" w:line="20" w:lineRule="exact"/>
              <w:rPr>
                <w:sz w:val="1"/>
                <w:szCs w:val="1"/>
                <w:color w:val="auto"/>
              </w:rPr>
            </w:pPr>
          </w:p>
        </w:tc>
        <w:tc>
          <w:tcPr>
            <w:tcW w:w="18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The weighted-average ownership percentage for the applicable reporting period is used to attribute net loss to Dutch Bros Inc. and the non-controlling interest holders. The non-controlling interest holders’ weighted-average ownership percentage for the three and six months ended June 30, 2022 was 68.4% and 69.2%,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15 — Loss Per Share</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Basic loss per share of Class A and Class D common stock is computed by dividing net loss attributable to Dutch Bros Inc. by the weighted-average number of shares of Class A and Class D common stock outstanding during the period. Diluted loss per share of Class A and Class D common stock gives effect during the period to all potential dilutive shares outstanding resulting from equity-based compensation awards and additional shares from the assumed exercise of any common stock equivalents, if dilutive. The Company incurred a net loss for the three and six months ended June 30, 2022; therefore, diluted shares outstanding equaled basic Class A and Class D shares outstanding.</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Prior to the Reorganization Transactions, the Dutch Bros OpCo had multiple classes of units with different economic rights. The Company analyzed the calculation of earnings per unit for periods prior to the IPO and determined that it resulted in values that would not be meaningful to the users of these condensed consolidated financial statements. Therefore, earnings per unit information has not been presented for the three and six months ended June 30, 2021.</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following tables set forth the numerators and denominators used to compute basic and diluted loss per share of Class A and Class D common stock for the periods presented: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jc w:val="center"/>
        <w:ind w:right="4720"/>
        <w:spacing w:after="0"/>
        <w:rPr>
          <w:sz w:val="20"/>
          <w:szCs w:val="20"/>
          <w:color w:val="auto"/>
        </w:rPr>
      </w:pPr>
      <w:r>
        <w:rPr>
          <w:rFonts w:ascii="Arial" w:cs="Arial" w:eastAsia="Arial" w:hAnsi="Arial"/>
          <w:sz w:val="18"/>
          <w:szCs w:val="18"/>
          <w:b w:val="1"/>
          <w:bCs w:val="1"/>
          <w:color w:val="131E29"/>
        </w:rPr>
        <w:t>Numerator:</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Less: net loss attributable to non-controlling interests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131E29"/>
        </w:rPr>
        <w:t>Net loss attributable to Dutch Bros Inc.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Numerator:</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Net loss attributable to Dutch Bros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Denominator:</w:t>
      </w:r>
    </w:p>
    <w:p>
      <w:pPr>
        <w:spacing w:after="0" w:line="85"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131E29"/>
        </w:rPr>
        <w:t>Weighted-average number of shares of Class A and Class D common stock outstanding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6"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131E29"/>
        </w:rPr>
        <w:t>Weighted-average number of shares of Class A and Class D common stock outstanding - diluted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131E29"/>
              </w:rPr>
              <w:t>Three Months Ended June</w:t>
            </w:r>
          </w:p>
        </w:tc>
        <w:tc>
          <w:tcPr>
            <w:tcW w:w="120" w:type="dxa"/>
            <w:vAlign w:val="bottom"/>
          </w:tcPr>
          <w:p>
            <w:pPr>
              <w:spacing w:after="0"/>
              <w:rPr>
                <w:sz w:val="18"/>
                <w:szCs w:val="18"/>
                <w:color w:val="auto"/>
              </w:rPr>
            </w:pP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131E29"/>
                <w:w w:val="99"/>
              </w:rPr>
              <w:t>Six Months Ended June 30,</w:t>
            </w:r>
          </w:p>
        </w:tc>
      </w:tr>
      <w:tr>
        <w:trPr>
          <w:trHeight w:val="239"/>
        </w:trPr>
        <w:tc>
          <w:tcPr>
            <w:tcW w:w="140" w:type="dxa"/>
            <w:vAlign w:val="bottom"/>
          </w:tcPr>
          <w:p>
            <w:pPr>
              <w:spacing w:after="0"/>
              <w:rPr>
                <w:sz w:val="20"/>
                <w:szCs w:val="20"/>
                <w:color w:val="auto"/>
              </w:rPr>
            </w:pPr>
          </w:p>
        </w:tc>
        <w:tc>
          <w:tcPr>
            <w:tcW w:w="2380" w:type="dxa"/>
            <w:vAlign w:val="bottom"/>
          </w:tcPr>
          <w:p>
            <w:pPr>
              <w:jc w:val="right"/>
              <w:ind w:right="810"/>
              <w:spacing w:after="0"/>
              <w:rPr>
                <w:sz w:val="20"/>
                <w:szCs w:val="20"/>
                <w:color w:val="auto"/>
              </w:rPr>
            </w:pPr>
            <w:r>
              <w:rPr>
                <w:rFonts w:ascii="Arial" w:cs="Arial" w:eastAsia="Arial" w:hAnsi="Arial"/>
                <w:sz w:val="18"/>
                <w:szCs w:val="18"/>
                <w:b w:val="1"/>
                <w:bCs w:val="1"/>
                <w:color w:val="131E29"/>
              </w:rPr>
              <w:t>30, 2022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131E29"/>
              </w:rPr>
              <w:t>2022</w:t>
            </w:r>
          </w:p>
        </w:tc>
      </w:tr>
      <w:tr>
        <w:trPr>
          <w:trHeight w:val="27"/>
        </w:trPr>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507"/>
        </w:trPr>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131E29"/>
              </w:rPr>
              <w:t>(1,751)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2460" w:type="dxa"/>
            <w:vAlign w:val="bottom"/>
          </w:tcPr>
          <w:p>
            <w:pPr>
              <w:jc w:val="right"/>
              <w:spacing w:after="0"/>
              <w:rPr>
                <w:sz w:val="20"/>
                <w:szCs w:val="20"/>
                <w:color w:val="auto"/>
              </w:rPr>
            </w:pPr>
            <w:r>
              <w:rPr>
                <w:rFonts w:ascii="Arial" w:cs="Arial" w:eastAsia="Arial" w:hAnsi="Arial"/>
                <w:sz w:val="18"/>
                <w:szCs w:val="18"/>
                <w:color w:val="131E29"/>
              </w:rPr>
              <w:t>(18,030)</w:t>
            </w:r>
          </w:p>
        </w:tc>
      </w:tr>
      <w:tr>
        <w:trPr>
          <w:trHeight w:val="270"/>
        </w:trPr>
        <w:tc>
          <w:tcPr>
            <w:tcW w:w="14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131E29"/>
              </w:rPr>
              <w:t>(845)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131E29"/>
              </w:rPr>
              <w:t>(12,177)</w:t>
            </w:r>
          </w:p>
        </w:tc>
      </w:tr>
      <w:tr>
        <w:trPr>
          <w:trHeight w:val="27"/>
        </w:trPr>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131E29"/>
              </w:rPr>
              <w:t>(906)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2460" w:type="dxa"/>
            <w:vAlign w:val="bottom"/>
          </w:tcPr>
          <w:p>
            <w:pPr>
              <w:jc w:val="right"/>
              <w:spacing w:after="0"/>
              <w:rPr>
                <w:sz w:val="20"/>
                <w:szCs w:val="20"/>
                <w:color w:val="auto"/>
              </w:rPr>
            </w:pPr>
            <w:r>
              <w:rPr>
                <w:rFonts w:ascii="Arial" w:cs="Arial" w:eastAsia="Arial" w:hAnsi="Arial"/>
                <w:sz w:val="18"/>
                <w:szCs w:val="18"/>
                <w:color w:val="131E29"/>
              </w:rPr>
              <w:t>(5,853)</w:t>
            </w:r>
          </w:p>
        </w:tc>
      </w:tr>
      <w:tr>
        <w:trPr>
          <w:trHeight w:val="27"/>
        </w:trPr>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131E29"/>
              </w:rPr>
              <w:t>Three Months Ended June</w:t>
            </w:r>
          </w:p>
        </w:tc>
        <w:tc>
          <w:tcPr>
            <w:tcW w:w="2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131E29"/>
              </w:rPr>
              <w:t>Six Months Ended June 30,</w:t>
            </w:r>
          </w:p>
        </w:tc>
      </w:tr>
      <w:tr>
        <w:trPr>
          <w:trHeight w:val="239"/>
        </w:trPr>
        <w:tc>
          <w:tcPr>
            <w:tcW w:w="120" w:type="dxa"/>
            <w:vAlign w:val="bottom"/>
          </w:tcPr>
          <w:p>
            <w:pPr>
              <w:spacing w:after="0"/>
              <w:rPr>
                <w:sz w:val="20"/>
                <w:szCs w:val="20"/>
                <w:color w:val="auto"/>
              </w:rPr>
            </w:pPr>
          </w:p>
        </w:tc>
        <w:tc>
          <w:tcPr>
            <w:tcW w:w="2400" w:type="dxa"/>
            <w:vAlign w:val="bottom"/>
          </w:tcPr>
          <w:p>
            <w:pPr>
              <w:jc w:val="right"/>
              <w:ind w:right="830"/>
              <w:spacing w:after="0"/>
              <w:rPr>
                <w:sz w:val="20"/>
                <w:szCs w:val="20"/>
                <w:color w:val="auto"/>
              </w:rPr>
            </w:pPr>
            <w:r>
              <w:rPr>
                <w:rFonts w:ascii="Arial" w:cs="Arial" w:eastAsia="Arial" w:hAnsi="Arial"/>
                <w:sz w:val="18"/>
                <w:szCs w:val="18"/>
                <w:b w:val="1"/>
                <w:bCs w:val="1"/>
                <w:color w:val="131E29"/>
              </w:rPr>
              <w:t>30, 2022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40" w:type="dxa"/>
            <w:vAlign w:val="bottom"/>
          </w:tcPr>
          <w:p>
            <w:pPr>
              <w:jc w:val="right"/>
              <w:ind w:right="970"/>
              <w:spacing w:after="0"/>
              <w:rPr>
                <w:sz w:val="20"/>
                <w:szCs w:val="20"/>
                <w:color w:val="auto"/>
              </w:rPr>
            </w:pPr>
            <w:r>
              <w:rPr>
                <w:rFonts w:ascii="Arial" w:cs="Arial" w:eastAsia="Arial" w:hAnsi="Arial"/>
                <w:sz w:val="18"/>
                <w:szCs w:val="18"/>
                <w:b w:val="1"/>
                <w:bCs w:val="1"/>
                <w:color w:val="131E29"/>
              </w:rPr>
              <w:t>2022</w:t>
            </w:r>
          </w:p>
        </w:tc>
      </w:tr>
      <w:tr>
        <w:trPr>
          <w:trHeight w:val="27"/>
        </w:trPr>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507"/>
        </w:trPr>
        <w:tc>
          <w:tcPr>
            <w:tcW w:w="12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2400" w:type="dxa"/>
            <w:vAlign w:val="bottom"/>
          </w:tcPr>
          <w:p>
            <w:pPr>
              <w:jc w:val="right"/>
              <w:spacing w:after="0"/>
              <w:rPr>
                <w:sz w:val="20"/>
                <w:szCs w:val="20"/>
                <w:color w:val="auto"/>
              </w:rPr>
            </w:pPr>
            <w:r>
              <w:rPr>
                <w:rFonts w:ascii="Arial" w:cs="Arial" w:eastAsia="Arial" w:hAnsi="Arial"/>
                <w:sz w:val="18"/>
                <w:szCs w:val="18"/>
                <w:color w:val="131E29"/>
              </w:rPr>
              <w:t>(906)</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131E29"/>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131E29"/>
              </w:rPr>
              <w:t>(5,853)</w:t>
            </w:r>
          </w:p>
        </w:tc>
      </w:tr>
      <w:tr>
        <w:trPr>
          <w:trHeight w:val="756"/>
        </w:trPr>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50,926</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49,500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131E29"/>
              </w:rPr>
              <w:t>50,926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131E29"/>
              </w:rPr>
              <w:t>49,500</w:t>
            </w:r>
          </w:p>
        </w:tc>
      </w:tr>
      <w:tr>
        <w:trPr>
          <w:trHeight w:val="27"/>
        </w:trPr>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300"/>
            <w:col w:w="5200"/>
          </w:cols>
          <w:pgMar w:left="320" w:top="144"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Basic net loss per share attributable to common stockholders</w:t>
            </w:r>
          </w:p>
        </w:tc>
        <w:tc>
          <w:tcPr>
            <w:tcW w:w="1600" w:type="dxa"/>
            <w:vAlign w:val="bottom"/>
            <w:tcBorders>
              <w:bottom w:val="single" w:sz="8" w:color="D2DCE5"/>
            </w:tcBorders>
            <w:shd w:val="clear" w:color="auto" w:fill="D2DCE5"/>
          </w:tcPr>
          <w:p>
            <w:pPr>
              <w:jc w:val="right"/>
              <w:ind w:right="850"/>
              <w:spacing w:after="0"/>
              <w:rPr>
                <w:sz w:val="20"/>
                <w:szCs w:val="20"/>
                <w:color w:val="auto"/>
              </w:rPr>
            </w:pPr>
            <w:r>
              <w:rPr>
                <w:rFonts w:ascii="Arial" w:cs="Arial" w:eastAsia="Arial" w:hAnsi="Arial"/>
                <w:sz w:val="18"/>
                <w:szCs w:val="18"/>
                <w:color w:val="131E29"/>
              </w:rPr>
              <w:t>$</w:t>
            </w:r>
          </w:p>
        </w:tc>
        <w:tc>
          <w:tcPr>
            <w:tcW w:w="15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(0.02)</w:t>
            </w:r>
          </w:p>
        </w:tc>
        <w:tc>
          <w:tcPr>
            <w:tcW w:w="1120" w:type="dxa"/>
            <w:vAlign w:val="bottom"/>
            <w:tcBorders>
              <w:bottom w:val="single" w:sz="8" w:color="D2DCE5"/>
            </w:tcBorders>
            <w:shd w:val="clear" w:color="auto" w:fill="D2DCE5"/>
          </w:tcPr>
          <w:p>
            <w:pPr>
              <w:jc w:val="right"/>
              <w:ind w:right="850"/>
              <w:spacing w:after="0"/>
              <w:rPr>
                <w:sz w:val="20"/>
                <w:szCs w:val="20"/>
                <w:color w:val="auto"/>
              </w:rPr>
            </w:pPr>
            <w:r>
              <w:rPr>
                <w:rFonts w:ascii="Arial" w:cs="Arial" w:eastAsia="Arial" w:hAnsi="Arial"/>
                <w:sz w:val="18"/>
                <w:szCs w:val="18"/>
                <w:color w:val="131E29"/>
              </w:rPr>
              <w:t>$</w:t>
            </w:r>
          </w:p>
        </w:tc>
        <w:tc>
          <w:tcPr>
            <w:tcW w:w="14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(0.12)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131E29"/>
              </w:rPr>
              <w:t>Diluted net loss per share attributable to common stockholders</w:t>
            </w:r>
          </w:p>
        </w:tc>
        <w:tc>
          <w:tcPr>
            <w:tcW w:w="1600" w:type="dxa"/>
            <w:vAlign w:val="bottom"/>
          </w:tcPr>
          <w:p>
            <w:pPr>
              <w:jc w:val="right"/>
              <w:ind w:right="850"/>
              <w:spacing w:after="0"/>
              <w:rPr>
                <w:sz w:val="20"/>
                <w:szCs w:val="20"/>
                <w:color w:val="auto"/>
              </w:rPr>
            </w:pPr>
            <w:r>
              <w:rPr>
                <w:rFonts w:ascii="Arial" w:cs="Arial" w:eastAsia="Arial" w:hAnsi="Arial"/>
                <w:sz w:val="18"/>
                <w:szCs w:val="18"/>
                <w:color w:val="131E29"/>
              </w:rPr>
              <w:t>$</w:t>
            </w:r>
          </w:p>
        </w:tc>
        <w:tc>
          <w:tcPr>
            <w:tcW w:w="1500" w:type="dxa"/>
            <w:vAlign w:val="bottom"/>
          </w:tcPr>
          <w:p>
            <w:pPr>
              <w:jc w:val="right"/>
              <w:spacing w:after="0"/>
              <w:rPr>
                <w:sz w:val="20"/>
                <w:szCs w:val="20"/>
                <w:color w:val="auto"/>
              </w:rPr>
            </w:pPr>
            <w:r>
              <w:rPr>
                <w:rFonts w:ascii="Arial" w:cs="Arial" w:eastAsia="Arial" w:hAnsi="Arial"/>
                <w:sz w:val="18"/>
                <w:szCs w:val="18"/>
                <w:color w:val="131E29"/>
              </w:rPr>
              <w:t>(0.02)</w:t>
            </w:r>
          </w:p>
        </w:tc>
        <w:tc>
          <w:tcPr>
            <w:tcW w:w="1120" w:type="dxa"/>
            <w:vAlign w:val="bottom"/>
          </w:tcPr>
          <w:p>
            <w:pPr>
              <w:jc w:val="right"/>
              <w:ind w:right="850"/>
              <w:spacing w:after="0"/>
              <w:rPr>
                <w:sz w:val="20"/>
                <w:szCs w:val="20"/>
                <w:color w:val="auto"/>
              </w:rPr>
            </w:pPr>
            <w:r>
              <w:rPr>
                <w:rFonts w:ascii="Arial" w:cs="Arial" w:eastAsia="Arial" w:hAnsi="Arial"/>
                <w:sz w:val="18"/>
                <w:szCs w:val="18"/>
                <w:color w:val="131E29"/>
              </w:rPr>
              <w:t>$</w:t>
            </w:r>
          </w:p>
        </w:tc>
        <w:tc>
          <w:tcPr>
            <w:tcW w:w="1460" w:type="dxa"/>
            <w:vAlign w:val="bottom"/>
          </w:tcPr>
          <w:p>
            <w:pPr>
              <w:jc w:val="right"/>
              <w:spacing w:after="0"/>
              <w:rPr>
                <w:sz w:val="20"/>
                <w:szCs w:val="20"/>
                <w:color w:val="auto"/>
              </w:rPr>
            </w:pPr>
            <w:r>
              <w:rPr>
                <w:rFonts w:ascii="Arial" w:cs="Arial" w:eastAsia="Arial" w:hAnsi="Arial"/>
                <w:sz w:val="18"/>
                <w:szCs w:val="18"/>
                <w:color w:val="131E29"/>
              </w:rPr>
              <w:t>(0.12)</w:t>
            </w:r>
          </w:p>
        </w:tc>
      </w:tr>
    </w:tbl>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Shares of the Company’s Class B and Class C common stock do not participate in the earnings or losses of Dutch Bros Inc. and are therefore not participating securities. As such, separate presentation of basic and diluted loss per share of Class B and Class C common stock under the two-class method has not been presented. In addition, the Company has not included the effects of conversion of Class B and Class C common stock to Class A common stock in the diluted loss per share calculation using the if-converted method because doing so has no impact on diluted loss per share.</w:t>
      </w:r>
    </w:p>
    <w:p>
      <w:pPr>
        <w:sectPr>
          <w:pgSz w:w="11900" w:h="16838" w:orient="portrait"/>
          <w:cols w:equalWidth="0" w:num="1">
            <w:col w:w="1124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common stock equivalents were excluded from diluted loss per share in the period presented because they were anti-dilutive: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b w:val="1"/>
                <w:bCs w:val="1"/>
                <w:color w:val="131E29"/>
              </w:rPr>
              <w:t>Three Months Ended June 30,</w:t>
            </w:r>
          </w:p>
        </w:tc>
        <w:tc>
          <w:tcPr>
            <w:tcW w:w="2520" w:type="dxa"/>
            <w:vAlign w:val="bottom"/>
          </w:tcPr>
          <w:p>
            <w:pPr>
              <w:jc w:val="right"/>
              <w:ind w:right="10"/>
              <w:spacing w:after="0"/>
              <w:rPr>
                <w:sz w:val="20"/>
                <w:szCs w:val="20"/>
                <w:color w:val="auto"/>
              </w:rPr>
            </w:pPr>
            <w:r>
              <w:rPr>
                <w:rFonts w:ascii="Arial" w:cs="Arial" w:eastAsia="Arial" w:hAnsi="Arial"/>
                <w:sz w:val="18"/>
                <w:szCs w:val="18"/>
                <w:b w:val="1"/>
                <w:bCs w:val="1"/>
                <w:color w:val="131E29"/>
              </w:rPr>
              <w:t>Six Months Ended June 30,</w:t>
            </w:r>
          </w:p>
        </w:tc>
      </w:tr>
      <w:tr>
        <w:trPr>
          <w:trHeight w:val="239"/>
        </w:trPr>
        <w:tc>
          <w:tcPr>
            <w:tcW w:w="5980" w:type="dxa"/>
            <w:vAlign w:val="bottom"/>
          </w:tcPr>
          <w:p>
            <w:pPr>
              <w:spacing w:after="0"/>
              <w:rPr>
                <w:sz w:val="20"/>
                <w:szCs w:val="20"/>
                <w:color w:val="auto"/>
              </w:rPr>
            </w:pPr>
          </w:p>
        </w:tc>
        <w:tc>
          <w:tcPr>
            <w:tcW w:w="2640" w:type="dxa"/>
            <w:vAlign w:val="bottom"/>
          </w:tcPr>
          <w:p>
            <w:pPr>
              <w:jc w:val="right"/>
              <w:ind w:right="10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520" w:type="dxa"/>
            <w:vAlign w:val="bottom"/>
          </w:tcPr>
          <w:p>
            <w:pPr>
              <w:jc w:val="right"/>
              <w:ind w:right="970"/>
              <w:spacing w:after="0"/>
              <w:rPr>
                <w:sz w:val="20"/>
                <w:szCs w:val="20"/>
                <w:color w:val="auto"/>
              </w:rPr>
            </w:pPr>
            <w:r>
              <w:rPr>
                <w:rFonts w:ascii="Arial" w:cs="Arial" w:eastAsia="Arial" w:hAnsi="Arial"/>
                <w:sz w:val="18"/>
                <w:szCs w:val="18"/>
                <w:b w:val="1"/>
                <w:bCs w:val="1"/>
                <w:color w:val="131E29"/>
              </w:rPr>
              <w:t>2022</w:t>
            </w:r>
          </w:p>
        </w:tc>
      </w:tr>
      <w:tr>
        <w:trPr>
          <w:trHeight w:val="27"/>
        </w:trPr>
        <w:tc>
          <w:tcPr>
            <w:tcW w:w="5980" w:type="dxa"/>
            <w:vAlign w:val="bottom"/>
            <w:tcBorders>
              <w:bottom w:val="single" w:sz="8" w:color="D2DCE5"/>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Restricted stock awards</w:t>
            </w:r>
          </w:p>
        </w:tc>
        <w:tc>
          <w:tcPr>
            <w:tcW w:w="2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2,667</w:t>
            </w:r>
          </w:p>
        </w:tc>
        <w:tc>
          <w:tcPr>
            <w:tcW w:w="100" w:type="dxa"/>
            <w:vAlign w:val="bottom"/>
            <w:tcBorders>
              <w:bottom w:val="single" w:sz="8" w:color="D2DCE5"/>
            </w:tcBorders>
            <w:shd w:val="clear" w:color="auto" w:fill="D2DCE5"/>
          </w:tcPr>
          <w:p>
            <w:pPr>
              <w:spacing w:after="0"/>
              <w:rPr>
                <w:sz w:val="21"/>
                <w:szCs w:val="21"/>
                <w:color w:val="auto"/>
              </w:rPr>
            </w:pPr>
          </w:p>
        </w:tc>
        <w:tc>
          <w:tcPr>
            <w:tcW w:w="2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2,667</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131E29"/>
              </w:rPr>
              <w:t>Restricted stock units</w:t>
            </w:r>
          </w:p>
        </w:tc>
        <w:tc>
          <w:tcPr>
            <w:tcW w:w="2640" w:type="dxa"/>
            <w:vAlign w:val="bottom"/>
          </w:tcPr>
          <w:p>
            <w:pPr>
              <w:jc w:val="right"/>
              <w:spacing w:after="0"/>
              <w:rPr>
                <w:sz w:val="20"/>
                <w:szCs w:val="20"/>
                <w:color w:val="auto"/>
              </w:rPr>
            </w:pPr>
            <w:r>
              <w:rPr>
                <w:rFonts w:ascii="Arial" w:cs="Arial" w:eastAsia="Arial" w:hAnsi="Arial"/>
                <w:sz w:val="18"/>
                <w:szCs w:val="18"/>
                <w:color w:val="131E29"/>
              </w:rPr>
              <w:t>550</w:t>
            </w:r>
          </w:p>
        </w:tc>
        <w:tc>
          <w:tcPr>
            <w:tcW w:w="10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131E29"/>
              </w:rPr>
              <w:t>550</w:t>
            </w:r>
          </w:p>
        </w:tc>
      </w:tr>
      <w:tr>
        <w:trPr>
          <w:trHeight w:val="27"/>
        </w:trPr>
        <w:tc>
          <w:tcPr>
            <w:tcW w:w="5980" w:type="dxa"/>
            <w:vAlign w:val="bottom"/>
            <w:tcBorders>
              <w:bottom w:val="single" w:sz="8" w:color="D2DCE5"/>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88"/>
        </w:trPr>
        <w:tc>
          <w:tcPr>
            <w:tcW w:w="598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color w:val="131E29"/>
              </w:rPr>
              <w:t>Total anti-dilutive securities</w:t>
            </w:r>
          </w:p>
        </w:tc>
        <w:tc>
          <w:tcPr>
            <w:tcW w:w="2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3,217</w:t>
            </w:r>
          </w:p>
        </w:tc>
        <w:tc>
          <w:tcPr>
            <w:tcW w:w="100" w:type="dxa"/>
            <w:vAlign w:val="bottom"/>
            <w:tcBorders>
              <w:bottom w:val="single" w:sz="8" w:color="D2DCE5"/>
            </w:tcBorders>
            <w:shd w:val="clear" w:color="auto" w:fill="D2DCE5"/>
          </w:tcPr>
          <w:p>
            <w:pPr>
              <w:spacing w:after="0"/>
              <w:rPr>
                <w:sz w:val="24"/>
                <w:szCs w:val="24"/>
                <w:color w:val="auto"/>
              </w:rPr>
            </w:pPr>
          </w:p>
        </w:tc>
        <w:tc>
          <w:tcPr>
            <w:tcW w:w="2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3,217</w:t>
            </w:r>
          </w:p>
        </w:tc>
      </w:tr>
      <w:tr>
        <w:trPr>
          <w:trHeight w:val="20"/>
        </w:trPr>
        <w:tc>
          <w:tcPr>
            <w:tcW w:w="5980" w:type="dxa"/>
            <w:vAlign w:val="bottom"/>
            <w:tcBorders>
              <w:top w:val="single" w:sz="8" w:color="D2DCE5"/>
            </w:tcBorders>
          </w:tcPr>
          <w:p>
            <w:pPr>
              <w:spacing w:after="0" w:line="20" w:lineRule="exact"/>
              <w:rPr>
                <w:sz w:val="1"/>
                <w:szCs w:val="1"/>
                <w:color w:val="auto"/>
              </w:rPr>
            </w:pPr>
          </w:p>
        </w:tc>
        <w:tc>
          <w:tcPr>
            <w:tcW w:w="26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52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16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Purchase Obligations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Guarantees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Company periodically provides guarantees to franchisees for lease payments. Annually, the Company determines if a liability needs to be recorded related to these guarantees. As of June 30, 2022 and December 31, 2021, the Company had guaranteed approximately $1.7 million and $1.7 million, respectively, in franchisee lease payments and has not established a liability for these guarantees as any liability arising from the guarantees is not material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Legal Proceedings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While any claim, proceeding or litigation has an element of uncertainty, the Company believes the outcome of any of these that are pending or threatened will not have a material adverse effect on its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17 — Related Party Transactions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Company’s donations to Dutch Bros Foundation, a not-for-profit founded by the Company that provides philanthropy to coffee farmers and local communities and for which the Company’s Chief Executive Officer serves on the board of directors,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Donations to Dutch Bros Foundation</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1,847</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2,192</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3,220</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4,317</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18 — Segment Reporting</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Segment information is prepared on the same basis that the Company’s Chief Executive Officer (CEO), who is the chief operating decision maker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franchisees and includes the initial franchise fees, royalties, and marketing fees.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The CODM reviews segment performance and allocates resources based upon segment contribution, which is defined as segment gross profit before depreciation and amortization.</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All segment revenue is earned in the United States, and there are no intersegment revenues. As the CODM is not provided with asset information by segment, assets are reported only on a consolidated basis.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No changes have been made to the Company’s segments during the three and six months ended June 30, 2022. In addition, no customer represents 10% or more of total accounts receivable or revenues as of and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Financial information for the Company’s reportable segments was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131E29"/>
              </w:rPr>
              <w:t>2021 ¹</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160,512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131E29"/>
              </w:rPr>
              <w:t>102,970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290,699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180,887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26,238</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47,106</w:t>
            </w:r>
          </w:p>
        </w:tc>
        <w:tc>
          <w:tcPr>
            <w:tcW w:w="0" w:type="dxa"/>
            <w:vAlign w:val="bottom"/>
          </w:tcPr>
          <w:p>
            <w:pPr>
              <w:spacing w:after="0"/>
              <w:rPr>
                <w:sz w:val="1"/>
                <w:szCs w:val="1"/>
                <w:color w:val="auto"/>
              </w:rPr>
            </w:pP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129,208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338,537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227,993</w:t>
            </w:r>
          </w:p>
        </w:tc>
        <w:tc>
          <w:tcPr>
            <w:tcW w:w="0" w:type="dxa"/>
            <w:vAlign w:val="bottom"/>
          </w:tcPr>
          <w:p>
            <w:pPr>
              <w:spacing w:after="0"/>
              <w:rPr>
                <w:sz w:val="1"/>
                <w:szCs w:val="1"/>
                <w:color w:val="auto"/>
              </w:rPr>
            </w:pP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106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6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129,294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73,518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242,842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133,857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12,076</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7,949</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19,695</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14,118</w:t>
            </w:r>
          </w:p>
        </w:tc>
        <w:tc>
          <w:tcPr>
            <w:tcW w:w="0" w:type="dxa"/>
            <w:vAlign w:val="bottom"/>
          </w:tcPr>
          <w:p>
            <w:pPr>
              <w:spacing w:after="0"/>
              <w:rPr>
                <w:sz w:val="1"/>
                <w:szCs w:val="1"/>
                <w:color w:val="auto"/>
              </w:rPr>
            </w:pP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141,370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81,467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262,537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147,975</w:t>
            </w:r>
          </w:p>
        </w:tc>
        <w:tc>
          <w:tcPr>
            <w:tcW w:w="0" w:type="dxa"/>
            <w:vAlign w:val="bottom"/>
          </w:tcPr>
          <w:p>
            <w:pPr>
              <w:spacing w:after="0"/>
              <w:rPr>
                <w:sz w:val="1"/>
                <w:szCs w:val="1"/>
                <w:color w:val="auto"/>
              </w:rPr>
            </w:pP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contribution:</w:t>
            </w: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D2DCE5"/>
            </w:tcBorders>
            <w:shd w:val="clear" w:color="auto" w:fill="D2DCE5"/>
          </w:tcPr>
          <w:p>
            <w:pPr>
              <w:spacing w:after="0"/>
              <w:rPr>
                <w:sz w:val="20"/>
                <w:szCs w:val="20"/>
                <w:color w:val="auto"/>
              </w:rPr>
            </w:pPr>
          </w:p>
        </w:tc>
        <w:tc>
          <w:tcPr>
            <w:tcW w:w="106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6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39,525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32,925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63,304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53,774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15,313</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19,821</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31,005</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36,013</w:t>
            </w:r>
          </w:p>
        </w:tc>
        <w:tc>
          <w:tcPr>
            <w:tcW w:w="0" w:type="dxa"/>
            <w:vAlign w:val="bottom"/>
          </w:tcPr>
          <w:p>
            <w:pPr>
              <w:spacing w:after="0"/>
              <w:rPr>
                <w:sz w:val="1"/>
                <w:szCs w:val="1"/>
                <w:color w:val="auto"/>
              </w:rPr>
            </w:pPr>
          </w:p>
        </w:tc>
      </w:tr>
      <w:tr>
        <w:trPr>
          <w:trHeight w:val="263"/>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segment contribution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54,838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52,746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94,309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89,787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shd w:val="clear" w:color="auto" w:fill="D2DCE5"/>
          </w:tcPr>
          <w:p>
            <w:pPr>
              <w:spacing w:after="0"/>
              <w:rPr>
                <w:sz w:val="18"/>
                <w:szCs w:val="18"/>
                <w:color w:val="auto"/>
              </w:rPr>
            </w:pPr>
          </w:p>
        </w:tc>
        <w:tc>
          <w:tcPr>
            <w:tcW w:w="106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116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3,473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15,447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6,744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1,520</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1,532</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2,862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3,025</w:t>
            </w:r>
          </w:p>
        </w:tc>
        <w:tc>
          <w:tcPr>
            <w:tcW w:w="0" w:type="dxa"/>
            <w:vAlign w:val="bottom"/>
          </w:tcPr>
          <w:p>
            <w:pPr>
              <w:spacing w:after="0"/>
              <w:rPr>
                <w:sz w:val="1"/>
                <w:szCs w:val="1"/>
                <w:color w:val="auto"/>
              </w:rPr>
            </w:pP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depreciation and amortization</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9,827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5,005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18,309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9,769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(33,488)</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(87,556)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(69,474)</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(2,855)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income (expense), net</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w:t>
            </w:r>
          </w:p>
        </w:tc>
        <w:tc>
          <w:tcPr>
            <w:tcW w:w="0" w:type="dxa"/>
            <w:vAlign w:val="bottom"/>
          </w:tcPr>
          <w:p>
            <w:pPr>
              <w:spacing w:after="0"/>
              <w:rPr>
                <w:sz w:val="1"/>
                <w:szCs w:val="1"/>
                <w:color w:val="auto"/>
              </w:rPr>
            </w:pPr>
          </w:p>
        </w:tc>
      </w:tr>
      <w:tr>
        <w:trPr>
          <w:trHeight w:val="263"/>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(866)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12,410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(17,359)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7,631</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131E29"/>
              </w:rPr>
              <w:t>_________________</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80" w:hanging="172"/>
        <w:spacing w:after="0" w:line="220" w:lineRule="auto"/>
        <w:tabs>
          <w:tab w:leader="none" w:pos="276"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 xml:space="preserve">The Company identified immaterial corrections related to the accrual of employee sick leave and the application of ASC 710, </w:t>
      </w:r>
      <w:r>
        <w:rPr>
          <w:rFonts w:ascii="Arial" w:cs="Arial" w:eastAsia="Arial" w:hAnsi="Arial"/>
          <w:sz w:val="14"/>
          <w:szCs w:val="14"/>
          <w:i w:val="1"/>
          <w:iCs w:val="1"/>
          <w:color w:val="auto"/>
        </w:rPr>
        <w:t>Compensation - General</w:t>
      </w:r>
      <w:r>
        <w:rPr>
          <w:rFonts w:ascii="Arial" w:cs="Arial" w:eastAsia="Arial" w:hAnsi="Arial"/>
          <w:sz w:val="14"/>
          <w:szCs w:val="14"/>
          <w:color w:val="auto"/>
        </w:rPr>
        <w:t>, which resulted in revisions to prior period reported amounts with impacted line items presented below for the three and six months ended June 30, 2021, respectively.</w:t>
      </w:r>
    </w:p>
    <w:p>
      <w:pPr>
        <w:spacing w:after="0" w:line="165" w:lineRule="exact"/>
        <w:rPr>
          <w:rFonts w:ascii="Arial" w:cs="Arial" w:eastAsia="Arial" w:hAnsi="Arial"/>
          <w:sz w:val="19"/>
          <w:szCs w:val="19"/>
          <w:color w:val="auto"/>
          <w:vertAlign w:val="superscript"/>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Decrease in company-operated shops cost of sales (labor costs) of $0.4 million and $0.8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Decrease in total cost of sales of $0.4 million and $0.8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Increase in company-operated shops gross profit of $0.4 million and $0.8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Increase in company-operated shops segment contribution of $0.4 million and $0.8 million</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Increase in total gross profit of $0.4 million and $0.8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Increase in total segment contribution of $0.4 million and $0.8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Decrease in selling, general and administrative expenses of less than $0.1 million and $0.4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Increase in income before income taxes of $0.4 million and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D7282F"/>
        </w:rPr>
        <w:t>ITEM 2. MANAGEMENT’S DISCUSSION AND ANALYSIS OF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Overview and Highlights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 service and restaurant industry in the United States by location count.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As of June 30, 2022, we had 603 company-operated and franchised shops in 14 states, an increase of approximately 28.0% from the same period in the prior year. For the three months ended June 30, 2022, we generated $186.4 million of revenue, a $(1.8) million net loss, and $(0.02) loss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306060" cy="2228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0606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ind w:left="180" w:hanging="172"/>
        <w:spacing w:after="0" w:line="211" w:lineRule="auto"/>
        <w:tabs>
          <w:tab w:leader="none" w:pos="23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Key Highlights</w:t>
      </w:r>
    </w:p>
    <w:p>
      <w:pPr>
        <w:spacing w:after="0" w:line="193" w:lineRule="exact"/>
        <w:rPr>
          <w:sz w:val="20"/>
          <w:szCs w:val="20"/>
          <w:color w:val="auto"/>
        </w:rPr>
      </w:pPr>
    </w:p>
    <w:p>
      <w:pPr>
        <w:ind w:left="340" w:hanging="332"/>
        <w:spacing w:after="0" w:line="261" w:lineRule="auto"/>
        <w:tabs>
          <w:tab w:leader="none" w:pos="335" w:val="left"/>
        </w:tabs>
        <w:numPr>
          <w:ilvl w:val="0"/>
          <w:numId w:val="15"/>
        </w:numPr>
        <w:rPr>
          <w:rFonts w:ascii="Arial" w:cs="Arial" w:eastAsia="Arial" w:hAnsi="Arial"/>
          <w:sz w:val="18"/>
          <w:szCs w:val="18"/>
          <w:color w:val="131E29"/>
        </w:rPr>
      </w:pPr>
      <w:r>
        <w:rPr>
          <w:rFonts w:ascii="Arial" w:cs="Arial" w:eastAsia="Arial" w:hAnsi="Arial"/>
          <w:sz w:val="18"/>
          <w:szCs w:val="18"/>
          <w:color w:val="131E29"/>
        </w:rPr>
        <w:t>Opened 26 company-operated shops across multiple new operating areas in the three months ended June 30, 2022, bringing total company-operated shops to 55.7% of our total shops, an increase of 62.3% over the same period in 2021.</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15"/>
        </w:numPr>
        <w:rPr>
          <w:rFonts w:ascii="Arial" w:cs="Arial" w:eastAsia="Arial" w:hAnsi="Arial"/>
          <w:sz w:val="18"/>
          <w:szCs w:val="18"/>
          <w:color w:val="131E29"/>
        </w:rPr>
      </w:pPr>
      <w:r>
        <w:rPr>
          <w:rFonts w:ascii="Arial" w:cs="Arial" w:eastAsia="Arial" w:hAnsi="Arial"/>
          <w:sz w:val="18"/>
          <w:szCs w:val="18"/>
          <w:color w:val="131E29"/>
        </w:rPr>
        <w:t>Raised more than $2.3 million for the Muscular Dystrophy Association and its fight against ALS from our annual Drink One for Dane day.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15"/>
        </w:numPr>
        <w:rPr>
          <w:rFonts w:ascii="Arial" w:cs="Arial" w:eastAsia="Arial" w:hAnsi="Arial"/>
          <w:sz w:val="18"/>
          <w:szCs w:val="18"/>
          <w:color w:val="131E29"/>
        </w:rPr>
      </w:pPr>
      <w:r>
        <w:rPr>
          <w:rFonts w:ascii="Arial" w:cs="Arial" w:eastAsia="Arial" w:hAnsi="Arial"/>
          <w:sz w:val="18"/>
          <w:szCs w:val="18"/>
          <w:color w:val="131E29"/>
        </w:rPr>
        <w:t>Held inaugural Dutch Bros stockholder meeting on June 1, 2022.</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15"/>
        </w:numPr>
        <w:rPr>
          <w:rFonts w:ascii="Arial" w:cs="Arial" w:eastAsia="Arial" w:hAnsi="Arial"/>
          <w:sz w:val="18"/>
          <w:szCs w:val="18"/>
          <w:color w:val="131E29"/>
        </w:rPr>
      </w:pPr>
      <w:r>
        <w:rPr>
          <w:rFonts w:ascii="Arial" w:cs="Arial" w:eastAsia="Arial" w:hAnsi="Arial"/>
          <w:sz w:val="18"/>
          <w:szCs w:val="18"/>
          <w:color w:val="131E29"/>
        </w:rPr>
        <w:t>Surpassed 4 million registered users on our Dutch Rewards mobile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Global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COVID-19</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effects of COVID-19 continue to evolve, and we cannot easily predict the future potential impacts of the pandemic on our business and operations, or on the United States and global economy in general. This also may include any recurrence of the disease, actions taken by governmental authorities in response to the evolving pandemic, any ongoing effects on consumer demand and spending patterns or other direct and indirect impacts of the pandemic, such as supply chain disruptions. Whether these or other currently unanticipated consequences of the pandemic are reasonably likely to materially affect the continued and future impacts on our results of operations, cash flows or financial condition is yet to be determined.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131E29"/>
        </w:rPr>
        <w:t>Due to our drive-thru shops model, we have not experienced materially negative impacts to the same degree as others in our 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Nevertheless, we have been affected by global shipping delays that have impacted deliveries of supplies to our shops.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Inflation and Minimum Wage Increases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Similar to many of our peers in our industry, we encountered current commodities inflation, including dairy, coffee, fuel, and packaging, and experienced continuing legislated minimum wage increases that took effect this year in certain states. We expect these inflationary pressures to continue to affect our operating results in the foreseeable future. While these cost increases have impacted our operating results, we have taken measures to gradually increase our menu prices to help offset these pressures. Such price increases may lead to decreases in consumer demand. We will continue to evaluate further pricing actions to protect our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Russia/Ukraine Conflict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To date, the conflict between Russia and Ukraine has not had a material direct impact on our business, financial condition, or results of operations. Indirectly, this conflict and resulting sanctions may have caused or contributed to recent increases in oil and gas prices. Because of our drive-thru shops model, we are monitoring closely the impact of recent significant increases in oil and gas prices on our customers’ behavior and believe such increases may contribute to decreased demand, which we believe is likely to continue. We are also monitoring any broader economic impact of the current conflict, including its effect on commodities (including oil and gas), transportation costs, liquidity and credit availability, declines in consumer confidence, declines in global economic growth, inflation, uncertainty about economic stability, and increases in unemployment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Results of Operations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historical results have been retroactively revised to reflect an immaterial error correction related to the accrual of employee sick leave. These revisions ensure comparability across all periods reflected herein. For additional information, refer to NOTE 2 — Basis of Presentation and Summary of Significant Accounting Policies and NOTE 18 — Segment Reporting, included elsewhere in this Form 10-Q.</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tables provide our operating results and explanation of changes for the periods presented.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Condensed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160,512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102,970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290,699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180,887</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26,238</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47,106</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129,208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338,537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227,993</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5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COSTS AND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141,370</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81,467</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262,537</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147,975</w:t>
            </w: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33,488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87,556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69,474</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30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183,712</w:t>
            </w:r>
          </w:p>
        </w:tc>
        <w:tc>
          <w:tcPr>
            <w:tcW w:w="10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spacing w:after="0"/>
              <w:rPr>
                <w:sz w:val="22"/>
                <w:szCs w:val="22"/>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114,955</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D2DCE5"/>
            </w:tcBorders>
            <w:shd w:val="clear" w:color="auto" w:fill="D2DCE5"/>
          </w:tcPr>
          <w:p>
            <w:pPr>
              <w:spacing w:after="0"/>
              <w:rPr>
                <w:sz w:val="22"/>
                <w:szCs w:val="22"/>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350,093</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217,449</w:t>
            </w:r>
          </w:p>
        </w:tc>
      </w:tr>
      <w:tr>
        <w:trPr>
          <w:trHeight w:val="236"/>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FROM OPERATIONS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2,669</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14,253</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(11,556)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10,544</w:t>
            </w:r>
          </w:p>
        </w:tc>
      </w:tr>
      <w:tr>
        <w:trPr>
          <w:trHeight w:val="257"/>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(2,855)</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 (expense), net</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other expense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(3,535)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(5,803)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(2,913)</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INCOME (LOSS) BEFORE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12,410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(17,359)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7,631</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885</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521</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564</w:t>
            </w:r>
          </w:p>
        </w:tc>
      </w:tr>
      <w:tr>
        <w:trPr>
          <w:trHeight w:val="236"/>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(1,751)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11,889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(18,030)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7,067</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2"/>
        </w:trPr>
        <w:tc>
          <w:tcPr>
            <w:tcW w:w="56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attributable to Dutch Bros OpCo prior to the</w:t>
            </w: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11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r>
      <w:tr>
        <w:trPr>
          <w:trHeight w:val="224"/>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Reorganization Transactions</w:t>
            </w:r>
          </w:p>
        </w:tc>
        <w:tc>
          <w:tcPr>
            <w:tcW w:w="300" w:type="dxa"/>
            <w:vAlign w:val="bottom"/>
            <w:tcBorders>
              <w:bottom w:val="single" w:sz="8" w:color="D2DCE5"/>
            </w:tcBorders>
            <w:shd w:val="clear" w:color="auto" w:fill="D2DCE5"/>
          </w:tcPr>
          <w:p>
            <w:pPr>
              <w:spacing w:after="0"/>
              <w:rPr>
                <w:sz w:val="19"/>
                <w:szCs w:val="19"/>
                <w:color w:val="auto"/>
              </w:rPr>
            </w:pPr>
          </w:p>
        </w:tc>
        <w:tc>
          <w:tcPr>
            <w:tcW w:w="112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300" w:type="dxa"/>
            <w:vAlign w:val="bottom"/>
            <w:tcBorders>
              <w:bottom w:val="single" w:sz="8" w:color="D2DCE5"/>
            </w:tcBorders>
            <w:shd w:val="clear" w:color="auto" w:fill="D2DCE5"/>
          </w:tcPr>
          <w:p>
            <w:pPr>
              <w:spacing w:after="0"/>
              <w:rPr>
                <w:sz w:val="19"/>
                <w:szCs w:val="19"/>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11,889</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spacing w:after="0"/>
              <w:rPr>
                <w:sz w:val="19"/>
                <w:szCs w:val="19"/>
                <w:color w:val="auto"/>
              </w:rPr>
            </w:pPr>
          </w:p>
        </w:tc>
        <w:tc>
          <w:tcPr>
            <w:tcW w:w="126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80" w:type="dxa"/>
            <w:vAlign w:val="bottom"/>
            <w:tcBorders>
              <w:bottom w:val="single" w:sz="8" w:color="D2DCE5"/>
            </w:tcBorders>
            <w:shd w:val="clear" w:color="auto" w:fill="D2DCE5"/>
          </w:tcPr>
          <w:p>
            <w:pPr>
              <w:spacing w:after="0"/>
              <w:rPr>
                <w:sz w:val="19"/>
                <w:szCs w:val="19"/>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7,067</w:t>
            </w: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Less: Net loss attributable to non-controlling interests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(12,177)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NET LOSS ATTRIBUTABLE TO DUTCH BROS INC.</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(906)</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12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(5,853)</w:t>
            </w:r>
          </w:p>
        </w:tc>
        <w:tc>
          <w:tcPr>
            <w:tcW w:w="100" w:type="dxa"/>
            <w:vAlign w:val="bottom"/>
            <w:shd w:val="clear" w:color="auto" w:fill="D2DCE5"/>
          </w:tcPr>
          <w:p>
            <w:pPr>
              <w:spacing w:after="0"/>
              <w:rPr>
                <w:sz w:val="24"/>
                <w:szCs w:val="24"/>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Segment Financials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10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131E29"/>
              </w:rPr>
              <w:t>Six Months Ended June 30,</w:t>
            </w:r>
          </w:p>
        </w:tc>
      </w:tr>
      <w:tr>
        <w:trPr>
          <w:trHeight w:val="27"/>
        </w:trPr>
        <w:tc>
          <w:tcPr>
            <w:tcW w:w="56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116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8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r>
      <w:tr>
        <w:trPr>
          <w:trHeight w:val="238"/>
        </w:trPr>
        <w:tc>
          <w:tcPr>
            <w:tcW w:w="56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131E29"/>
              </w:rPr>
              <w:t>2021</w:t>
            </w:r>
          </w:p>
        </w:tc>
      </w:tr>
      <w:tr>
        <w:trPr>
          <w:trHeight w:val="26"/>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160,512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102,970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290,699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180,887</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26,238</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47,106</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186,381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129,208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338,537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227,993</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6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129,294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73,518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242,842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133,857</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12,076</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7,949</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19,695</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14,118</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141,370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81,467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262,537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147,975</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gross profit:</w:t>
            </w: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2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D2DCE5"/>
            </w:tcBorders>
            <w:shd w:val="clear" w:color="auto" w:fill="D2DCE5"/>
          </w:tcPr>
          <w:p>
            <w:pPr>
              <w:spacing w:after="0"/>
              <w:rPr>
                <w:sz w:val="20"/>
                <w:szCs w:val="20"/>
                <w:color w:val="auto"/>
              </w:rPr>
            </w:pPr>
          </w:p>
        </w:tc>
        <w:tc>
          <w:tcPr>
            <w:tcW w:w="116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31,218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29,452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47,857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47,030</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13,793</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18,289</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28,143</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32,988</w:t>
            </w:r>
          </w:p>
        </w:tc>
      </w:tr>
      <w:tr>
        <w:trPr>
          <w:trHeight w:val="237"/>
        </w:trPr>
        <w:tc>
          <w:tcPr>
            <w:tcW w:w="5660" w:type="dxa"/>
            <w:vAlign w:val="bottom"/>
            <w:gridSpan w:val="2"/>
          </w:tcPr>
          <w:p>
            <w:pPr>
              <w:ind w:left="360"/>
              <w:spacing w:after="0"/>
              <w:rPr>
                <w:sz w:val="20"/>
                <w:szCs w:val="20"/>
                <w:color w:val="auto"/>
              </w:rPr>
            </w:pPr>
            <w:r>
              <w:rPr>
                <w:rFonts w:ascii="Arial" w:cs="Arial" w:eastAsia="Arial" w:hAnsi="Arial"/>
                <w:sz w:val="18"/>
                <w:szCs w:val="18"/>
                <w:color w:val="131E29"/>
              </w:rPr>
              <w:t>Total gross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45,011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47,741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76,000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80,018</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(42,342)</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(33,488)</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(87,556)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(69,474)</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(1,838)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(2,855)</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income (expense), net</w:t>
            </w: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w:t>
            </w:r>
          </w:p>
        </w:tc>
        <w:tc>
          <w:tcPr>
            <w:tcW w:w="100" w:type="dxa"/>
            <w:vAlign w:val="bottom"/>
            <w:tcBorders>
              <w:bottom w:val="single" w:sz="8" w:color="D2DCE5"/>
            </w:tcBorders>
            <w:shd w:val="clear" w:color="auto" w:fill="D2DCE5"/>
          </w:tcPr>
          <w:p>
            <w:pPr>
              <w:spacing w:after="0"/>
              <w:rPr>
                <w:sz w:val="23"/>
                <w:szCs w:val="23"/>
                <w:color w:val="auto"/>
              </w:rPr>
            </w:pPr>
          </w:p>
        </w:tc>
        <w:tc>
          <w:tcPr>
            <w:tcW w:w="160" w:type="dxa"/>
            <w:vAlign w:val="bottom"/>
            <w:tcBorders>
              <w:bottom w:val="single" w:sz="8" w:color="D2DCE5"/>
            </w:tcBorders>
            <w:shd w:val="clear" w:color="auto" w:fill="D2DCE5"/>
          </w:tcPr>
          <w:p>
            <w:pPr>
              <w:spacing w:after="0"/>
              <w:rPr>
                <w:sz w:val="23"/>
                <w:szCs w:val="23"/>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w:t>
            </w:r>
          </w:p>
        </w:tc>
      </w:tr>
      <w:tr>
        <w:trPr>
          <w:trHeight w:val="263"/>
        </w:trPr>
        <w:tc>
          <w:tcPr>
            <w:tcW w:w="5660" w:type="dxa"/>
            <w:vAlign w:val="bottom"/>
            <w:gridSpan w:val="2"/>
          </w:tcPr>
          <w:p>
            <w:pPr>
              <w:ind w:left="20"/>
              <w:spacing w:after="0"/>
              <w:rPr>
                <w:sz w:val="20"/>
                <w:szCs w:val="20"/>
                <w:color w:val="auto"/>
              </w:rPr>
            </w:pPr>
            <w:r>
              <w:rPr>
                <w:rFonts w:ascii="Arial" w:cs="Arial" w:eastAsia="Arial" w:hAnsi="Arial"/>
                <w:sz w:val="18"/>
                <w:szCs w:val="18"/>
                <w:color w:val="131E29"/>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(866)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12,410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(17,359)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7,631</w:t>
            </w:r>
          </w:p>
        </w:tc>
      </w:tr>
      <w:tr>
        <w:trPr>
          <w:trHeight w:val="20"/>
        </w:trPr>
        <w:tc>
          <w:tcPr>
            <w:tcW w:w="55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60" w:type="dxa"/>
            <w:vAlign w:val="bottom"/>
            <w:tcBorders>
              <w:bottom w:val="single" w:sz="8" w:color="D2DCE5"/>
            </w:tcBorders>
            <w:shd w:val="clear" w:color="auto" w:fill="D2DCE5"/>
          </w:tcPr>
          <w:p>
            <w:pPr>
              <w:spacing w:after="0"/>
              <w:rPr>
                <w:sz w:val="18"/>
                <w:szCs w:val="18"/>
                <w:color w:val="auto"/>
              </w:rPr>
            </w:pPr>
          </w:p>
        </w:tc>
        <w:tc>
          <w:tcPr>
            <w:tcW w:w="116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8,307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3,473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15,447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6,744</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1,520</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1,532</w:t>
            </w:r>
          </w:p>
        </w:tc>
        <w:tc>
          <w:tcPr>
            <w:tcW w:w="10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D2DCE5"/>
            </w:tcBorders>
            <w:shd w:val="clear" w:color="auto" w:fill="D2DCE5"/>
          </w:tcPr>
          <w:p>
            <w:pPr>
              <w:spacing w:after="0"/>
              <w:rPr>
                <w:sz w:val="21"/>
                <w:szCs w:val="21"/>
                <w:color w:val="auto"/>
              </w:rPr>
            </w:pPr>
          </w:p>
        </w:tc>
        <w:tc>
          <w:tcPr>
            <w:tcW w:w="1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2,862</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3,025</w:t>
            </w:r>
          </w:p>
        </w:tc>
      </w:tr>
      <w:tr>
        <w:trPr>
          <w:trHeight w:val="243"/>
        </w:trPr>
        <w:tc>
          <w:tcPr>
            <w:tcW w:w="5660" w:type="dxa"/>
            <w:vAlign w:val="bottom"/>
            <w:gridSpan w:val="2"/>
          </w:tcPr>
          <w:p>
            <w:pPr>
              <w:ind w:left="180"/>
              <w:spacing w:after="0"/>
              <w:rPr>
                <w:sz w:val="20"/>
                <w:szCs w:val="20"/>
                <w:color w:val="auto"/>
              </w:rPr>
            </w:pPr>
            <w:r>
              <w:rPr>
                <w:rFonts w:ascii="Arial" w:cs="Arial" w:eastAsia="Arial" w:hAnsi="Arial"/>
                <w:sz w:val="18"/>
                <w:szCs w:val="18"/>
                <w:color w:val="131E29"/>
              </w:rPr>
              <w:t>All 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1,262</w:t>
            </w:r>
          </w:p>
        </w:tc>
      </w:tr>
      <w:tr>
        <w:trPr>
          <w:trHeight w:val="27"/>
        </w:trPr>
        <w:tc>
          <w:tcPr>
            <w:tcW w:w="5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depreciation and amortization</w:t>
            </w: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10,539</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5,681</w:t>
            </w:r>
          </w:p>
        </w:tc>
        <w:tc>
          <w:tcPr>
            <w:tcW w:w="100" w:type="dxa"/>
            <w:vAlign w:val="bottom"/>
            <w:tcBorders>
              <w:bottom w:val="single" w:sz="8" w:color="D2DCE5"/>
            </w:tcBorders>
            <w:shd w:val="clear" w:color="auto" w:fill="D2DCE5"/>
          </w:tcPr>
          <w:p>
            <w:pPr>
              <w:spacing w:after="0"/>
              <w:rPr>
                <w:sz w:val="24"/>
                <w:szCs w:val="24"/>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19,721</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11,031</w:t>
            </w:r>
          </w:p>
        </w:tc>
      </w:tr>
      <w:tr>
        <w:trPr>
          <w:trHeight w:val="20"/>
        </w:trPr>
        <w:tc>
          <w:tcPr>
            <w:tcW w:w="5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Key Performance Indicators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00" w:type="dxa"/>
            <w:vAlign w:val="bottom"/>
            <w:gridSpan w:val="11"/>
          </w:tcPr>
          <w:p>
            <w:pPr>
              <w:spacing w:after="0"/>
              <w:rPr>
                <w:sz w:val="20"/>
                <w:szCs w:val="20"/>
                <w:color w:val="auto"/>
              </w:rPr>
            </w:pPr>
            <w:r>
              <w:rPr>
                <w:rFonts w:ascii="Arial" w:cs="Arial" w:eastAsia="Arial" w:hAnsi="Arial"/>
                <w:sz w:val="18"/>
                <w:szCs w:val="18"/>
                <w:color w:val="131E29"/>
              </w:rPr>
              <w:t>The key performance indicators (KPIs) that we use to effectively manage and evaluate our business are as follows: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20" w:type="dxa"/>
            <w:vAlign w:val="bottom"/>
            <w:gridSpan w:val="5"/>
          </w:tcPr>
          <w:p>
            <w:pPr>
              <w:ind w:left="60"/>
              <w:spacing w:after="0"/>
              <w:rPr>
                <w:sz w:val="20"/>
                <w:szCs w:val="20"/>
                <w:color w:val="auto"/>
              </w:rPr>
            </w:pPr>
            <w:r>
              <w:rPr>
                <w:rFonts w:ascii="Arial" w:cs="Arial" w:eastAsia="Arial" w:hAnsi="Arial"/>
                <w:sz w:val="18"/>
                <w:szCs w:val="18"/>
                <w:b w:val="1"/>
                <w:bCs w:val="1"/>
                <w:color w:val="131E29"/>
              </w:rPr>
              <w:t>Three Months Ended June 30,</w:t>
            </w:r>
          </w:p>
        </w:tc>
        <w:tc>
          <w:tcPr>
            <w:tcW w:w="220" w:type="dxa"/>
            <w:vAlign w:val="bottom"/>
          </w:tcPr>
          <w:p>
            <w:pPr>
              <w:spacing w:after="0"/>
              <w:rPr>
                <w:sz w:val="23"/>
                <w:szCs w:val="23"/>
                <w:color w:val="auto"/>
              </w:rPr>
            </w:pPr>
          </w:p>
        </w:tc>
        <w:tc>
          <w:tcPr>
            <w:tcW w:w="27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80" w:type="dxa"/>
            <w:vAlign w:val="bottom"/>
            <w:gridSpan w:val="2"/>
          </w:tcPr>
          <w:p>
            <w:pPr>
              <w:ind w:left="20"/>
              <w:spacing w:after="0"/>
              <w:rPr>
                <w:sz w:val="20"/>
                <w:szCs w:val="20"/>
                <w:color w:val="auto"/>
              </w:rPr>
            </w:pPr>
            <w:r>
              <w:rPr>
                <w:rFonts w:ascii="Arial" w:cs="Arial" w:eastAsia="Arial" w:hAnsi="Arial"/>
                <w:sz w:val="14"/>
                <w:szCs w:val="14"/>
                <w:color w:val="131E29"/>
              </w:rPr>
              <w:t>(in thousands, except shop count data; unaudited)</w:t>
            </w:r>
          </w:p>
        </w:tc>
        <w:tc>
          <w:tcPr>
            <w:tcW w:w="16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2021</w:t>
            </w:r>
          </w:p>
        </w:tc>
        <w:tc>
          <w:tcPr>
            <w:tcW w:w="0" w:type="dxa"/>
            <w:vAlign w:val="bottom"/>
          </w:tcPr>
          <w:p>
            <w:pPr>
              <w:spacing w:after="0"/>
              <w:rPr>
                <w:sz w:val="1"/>
                <w:szCs w:val="1"/>
                <w:color w:val="auto"/>
              </w:rPr>
            </w:pPr>
          </w:p>
        </w:tc>
      </w:tr>
      <w:tr>
        <w:trPr>
          <w:trHeight w:val="26"/>
        </w:trPr>
        <w:tc>
          <w:tcPr>
            <w:tcW w:w="5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beginning of period</w:t>
            </w:r>
          </w:p>
        </w:tc>
        <w:tc>
          <w:tcPr>
            <w:tcW w:w="160" w:type="dxa"/>
            <w:vAlign w:val="bottom"/>
            <w:tcBorders>
              <w:bottom w:val="single" w:sz="8" w:color="D2DCE5"/>
            </w:tcBorders>
            <w:shd w:val="clear" w:color="auto" w:fill="D2DCE5"/>
          </w:tcPr>
          <w:p>
            <w:pPr>
              <w:spacing w:after="0"/>
              <w:rPr>
                <w:sz w:val="21"/>
                <w:szCs w:val="21"/>
                <w:color w:val="auto"/>
              </w:rPr>
            </w:pPr>
          </w:p>
        </w:tc>
        <w:tc>
          <w:tcPr>
            <w:tcW w:w="12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131E29"/>
              </w:rPr>
              <w:t>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131E29"/>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182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160" w:type="dxa"/>
            <w:vAlign w:val="bottom"/>
            <w:tcBorders>
              <w:bottom w:val="single" w:sz="8" w:color="D2DCE5"/>
            </w:tcBorders>
            <w:shd w:val="clear" w:color="auto" w:fill="D2DCE5"/>
          </w:tcPr>
          <w:p>
            <w:pPr>
              <w:spacing w:after="0"/>
              <w:rPr>
                <w:sz w:val="23"/>
                <w:szCs w:val="23"/>
                <w:color w:val="auto"/>
              </w:rPr>
            </w:pPr>
          </w:p>
        </w:tc>
        <w:tc>
          <w:tcPr>
            <w:tcW w:w="128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262</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262</w:t>
            </w:r>
          </w:p>
        </w:tc>
        <w:tc>
          <w:tcPr>
            <w:tcW w:w="100" w:type="dxa"/>
            <w:vAlign w:val="bottom"/>
            <w:tcBorders>
              <w:bottom w:val="single" w:sz="8" w:color="D2DCE5"/>
            </w:tcBorders>
            <w:shd w:val="clear" w:color="auto" w:fill="D2DCE5"/>
          </w:tcPr>
          <w:p>
            <w:pPr>
              <w:spacing w:after="0"/>
              <w:rPr>
                <w:sz w:val="23"/>
                <w:szCs w:val="23"/>
                <w:color w:val="auto"/>
              </w:rPr>
            </w:pPr>
          </w:p>
        </w:tc>
        <w:tc>
          <w:tcPr>
            <w:tcW w:w="22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267</w:t>
            </w:r>
          </w:p>
        </w:tc>
        <w:tc>
          <w:tcPr>
            <w:tcW w:w="100" w:type="dxa"/>
            <w:vAlign w:val="bottom"/>
            <w:tcBorders>
              <w:bottom w:val="single" w:sz="8" w:color="D2DCE5"/>
            </w:tcBorders>
            <w:shd w:val="clear" w:color="auto" w:fill="D2DCE5"/>
          </w:tcPr>
          <w:p>
            <w:pPr>
              <w:spacing w:after="0"/>
              <w:rPr>
                <w:sz w:val="23"/>
                <w:szCs w:val="23"/>
                <w:color w:val="auto"/>
              </w:rPr>
            </w:pPr>
          </w:p>
        </w:tc>
        <w:tc>
          <w:tcPr>
            <w:tcW w:w="320" w:type="dxa"/>
            <w:vAlign w:val="bottom"/>
            <w:tcBorders>
              <w:bottom w:val="single" w:sz="8" w:color="D2DCE5"/>
            </w:tcBorders>
            <w:shd w:val="clear" w:color="auto" w:fill="D2DCE5"/>
          </w:tcPr>
          <w:p>
            <w:pPr>
              <w:spacing w:after="0"/>
              <w:rPr>
                <w:sz w:val="23"/>
                <w:szCs w:val="23"/>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259</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572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453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538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rPr>
              <w:t>441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new openings</w:t>
            </w:r>
          </w:p>
        </w:tc>
        <w:tc>
          <w:tcPr>
            <w:tcW w:w="160" w:type="dxa"/>
            <w:vAlign w:val="bottom"/>
            <w:tcBorders>
              <w:bottom w:val="single" w:sz="8" w:color="D2DCE5"/>
            </w:tcBorders>
            <w:shd w:val="clear" w:color="auto" w:fill="D2DCE5"/>
          </w:tcPr>
          <w:p>
            <w:pPr>
              <w:spacing w:after="0"/>
              <w:rPr>
                <w:sz w:val="21"/>
                <w:szCs w:val="21"/>
                <w:color w:val="auto"/>
              </w:rPr>
            </w:pPr>
          </w:p>
        </w:tc>
        <w:tc>
          <w:tcPr>
            <w:tcW w:w="128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26</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13</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60</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22</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Franchised new openings</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131E29"/>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131E29"/>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Acquisition of franchise shops</w:t>
            </w:r>
          </w:p>
        </w:tc>
        <w:tc>
          <w:tcPr>
            <w:tcW w:w="160" w:type="dxa"/>
            <w:vAlign w:val="bottom"/>
            <w:tcBorders>
              <w:bottom w:val="single" w:sz="8" w:color="D2DCE5"/>
            </w:tcBorders>
            <w:shd w:val="clear" w:color="auto" w:fill="D2DCE5"/>
          </w:tcPr>
          <w:p>
            <w:pPr>
              <w:spacing w:after="0"/>
              <w:rPr>
                <w:sz w:val="21"/>
                <w:szCs w:val="21"/>
                <w:color w:val="auto"/>
              </w:rPr>
            </w:pPr>
          </w:p>
        </w:tc>
        <w:tc>
          <w:tcPr>
            <w:tcW w:w="1380" w:type="dxa"/>
            <w:vAlign w:val="bottom"/>
            <w:tcBorders>
              <w:bottom w:val="single" w:sz="8" w:color="D2DCE5"/>
            </w:tcBorders>
            <w:gridSpan w:val="2"/>
            <w:shd w:val="clear" w:color="auto" w:fill="D2DCE5"/>
          </w:tcPr>
          <w:p>
            <w:pPr>
              <w:jc w:val="right"/>
              <w:ind w:right="220"/>
              <w:spacing w:after="0"/>
              <w:rPr>
                <w:sz w:val="20"/>
                <w:szCs w:val="20"/>
                <w:color w:val="auto"/>
              </w:rPr>
            </w:pPr>
            <w:r>
              <w:rPr>
                <w:rFonts w:ascii="Arial" w:cs="Arial" w:eastAsia="Arial" w:hAnsi="Arial"/>
                <w:sz w:val="18"/>
                <w:szCs w:val="18"/>
                <w:color w:val="131E29"/>
              </w:rPr>
              <w:t>—</w:t>
            </w: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5</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b w:val="1"/>
                <w:bCs w:val="1"/>
                <w:color w:val="131E29"/>
              </w:rPr>
              <w:t>Shop count, end of period</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Company-operated</w:t>
            </w:r>
          </w:p>
        </w:tc>
        <w:tc>
          <w:tcPr>
            <w:tcW w:w="160" w:type="dxa"/>
            <w:vAlign w:val="bottom"/>
            <w:tcBorders>
              <w:bottom w:val="single" w:sz="8" w:color="D2DCE5"/>
            </w:tcBorders>
            <w:shd w:val="clear" w:color="auto" w:fill="D2DCE5"/>
          </w:tcPr>
          <w:p>
            <w:pPr>
              <w:spacing w:after="0"/>
              <w:rPr>
                <w:sz w:val="21"/>
                <w:szCs w:val="21"/>
                <w:color w:val="auto"/>
              </w:rPr>
            </w:pPr>
          </w:p>
        </w:tc>
        <w:tc>
          <w:tcPr>
            <w:tcW w:w="128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336</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207</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336</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207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131E29"/>
              </w:rPr>
              <w:t>Franchised</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131E29"/>
              </w:rPr>
              <w:t>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131E29"/>
              </w:rPr>
              <w:t>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264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Total shop count</w:t>
            </w:r>
          </w:p>
        </w:tc>
        <w:tc>
          <w:tcPr>
            <w:tcW w:w="160" w:type="dxa"/>
            <w:vAlign w:val="bottom"/>
            <w:tcBorders>
              <w:bottom w:val="single" w:sz="8" w:color="auto"/>
            </w:tcBorders>
            <w:shd w:val="clear" w:color="auto" w:fill="D2DCE5"/>
          </w:tcPr>
          <w:p>
            <w:pPr>
              <w:spacing w:after="0"/>
              <w:rPr>
                <w:sz w:val="24"/>
                <w:szCs w:val="24"/>
                <w:color w:val="auto"/>
              </w:rPr>
            </w:pPr>
          </w:p>
        </w:tc>
        <w:tc>
          <w:tcPr>
            <w:tcW w:w="128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603</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spacing w:after="0"/>
              <w:rPr>
                <w:sz w:val="24"/>
                <w:szCs w:val="24"/>
                <w:color w:val="auto"/>
              </w:rPr>
            </w:pPr>
          </w:p>
        </w:tc>
        <w:tc>
          <w:tcPr>
            <w:tcW w:w="11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471</w:t>
            </w:r>
          </w:p>
        </w:tc>
        <w:tc>
          <w:tcPr>
            <w:tcW w:w="10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spacing w:after="0"/>
              <w:rPr>
                <w:sz w:val="24"/>
                <w:szCs w:val="24"/>
                <w:color w:val="auto"/>
              </w:rPr>
            </w:pPr>
          </w:p>
        </w:tc>
        <w:tc>
          <w:tcPr>
            <w:tcW w:w="12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603</w:t>
            </w:r>
          </w:p>
        </w:tc>
        <w:tc>
          <w:tcPr>
            <w:tcW w:w="100" w:type="dxa"/>
            <w:vAlign w:val="bottom"/>
            <w:tcBorders>
              <w:bottom w:val="single" w:sz="8" w:color="D2DCE5"/>
            </w:tcBorders>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spacing w:after="0"/>
              <w:rPr>
                <w:sz w:val="24"/>
                <w:szCs w:val="24"/>
                <w:color w:val="auto"/>
              </w:rPr>
            </w:pPr>
          </w:p>
        </w:tc>
        <w:tc>
          <w:tcPr>
            <w:tcW w:w="112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rPr>
              <w:t>471</w:t>
            </w:r>
          </w:p>
        </w:tc>
        <w:tc>
          <w:tcPr>
            <w:tcW w:w="0" w:type="dxa"/>
            <w:vAlign w:val="bottom"/>
          </w:tcPr>
          <w:p>
            <w:pPr>
              <w:spacing w:after="0"/>
              <w:rPr>
                <w:sz w:val="1"/>
                <w:szCs w:val="1"/>
                <w:color w:val="auto"/>
              </w:rPr>
            </w:pPr>
          </w:p>
        </w:tc>
      </w:tr>
      <w:tr>
        <w:trPr>
          <w:trHeight w:val="20"/>
        </w:trPr>
        <w:tc>
          <w:tcPr>
            <w:tcW w:w="50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2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Average unit volume (AUV) </w:t>
            </w:r>
            <w:r>
              <w:rPr>
                <w:rFonts w:ascii="Arial" w:cs="Arial" w:eastAsia="Arial" w:hAnsi="Arial"/>
                <w:sz w:val="23"/>
                <w:szCs w:val="23"/>
                <w:color w:val="131E29"/>
                <w:vertAlign w:val="superscript"/>
              </w:rPr>
              <w:t>1</w:t>
            </w:r>
          </w:p>
        </w:tc>
        <w:tc>
          <w:tcPr>
            <w:tcW w:w="160" w:type="dxa"/>
            <w:vAlign w:val="bottom"/>
            <w:shd w:val="clear" w:color="auto" w:fill="D2DCE5"/>
          </w:tcPr>
          <w:p>
            <w:pPr>
              <w:spacing w:after="0"/>
              <w:rPr>
                <w:sz w:val="24"/>
                <w:szCs w:val="24"/>
                <w:color w:val="auto"/>
              </w:rPr>
            </w:pPr>
          </w:p>
        </w:tc>
        <w:tc>
          <w:tcPr>
            <w:tcW w:w="1380" w:type="dxa"/>
            <w:vAlign w:val="bottom"/>
            <w:gridSpan w:val="2"/>
            <w:vMerge w:val="restart"/>
            <w:shd w:val="clear" w:color="auto" w:fill="D2DCE5"/>
          </w:tcPr>
          <w:p>
            <w:pPr>
              <w:ind w:left="860"/>
              <w:spacing w:after="0"/>
              <w:rPr>
                <w:sz w:val="20"/>
                <w:szCs w:val="20"/>
                <w:color w:val="auto"/>
              </w:rPr>
            </w:pPr>
            <w:r>
              <w:rPr>
                <w:rFonts w:ascii="Arial" w:cs="Arial" w:eastAsia="Arial" w:hAnsi="Arial"/>
                <w:sz w:val="18"/>
                <w:szCs w:val="18"/>
                <w:color w:val="131E29"/>
              </w:rPr>
              <w:t>N/A</w:t>
            </w:r>
          </w:p>
        </w:tc>
        <w:tc>
          <w:tcPr>
            <w:tcW w:w="320" w:type="dxa"/>
            <w:vAlign w:val="bottom"/>
            <w:shd w:val="clear" w:color="auto" w:fill="D2DCE5"/>
          </w:tcPr>
          <w:p>
            <w:pPr>
              <w:spacing w:after="0"/>
              <w:rPr>
                <w:sz w:val="24"/>
                <w:szCs w:val="24"/>
                <w:color w:val="auto"/>
              </w:rPr>
            </w:pPr>
          </w:p>
        </w:tc>
        <w:tc>
          <w:tcPr>
            <w:tcW w:w="1220" w:type="dxa"/>
            <w:vAlign w:val="bottom"/>
            <w:gridSpan w:val="2"/>
            <w:vMerge w:val="restart"/>
            <w:shd w:val="clear" w:color="auto" w:fill="D2DCE5"/>
          </w:tcPr>
          <w:p>
            <w:pPr>
              <w:ind w:left="700"/>
              <w:spacing w:after="0"/>
              <w:rPr>
                <w:sz w:val="20"/>
                <w:szCs w:val="20"/>
                <w:color w:val="auto"/>
              </w:rPr>
            </w:pPr>
            <w:r>
              <w:rPr>
                <w:rFonts w:ascii="Arial" w:cs="Arial" w:eastAsia="Arial" w:hAnsi="Arial"/>
                <w:sz w:val="18"/>
                <w:szCs w:val="18"/>
                <w:color w:val="131E29"/>
              </w:rPr>
              <w:t>N/A</w:t>
            </w:r>
          </w:p>
        </w:tc>
        <w:tc>
          <w:tcPr>
            <w:tcW w:w="220" w:type="dxa"/>
            <w:vAlign w:val="bottom"/>
            <w:vMerge w:val="restart"/>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1,900</w:t>
            </w:r>
          </w:p>
        </w:tc>
        <w:tc>
          <w:tcPr>
            <w:tcW w:w="100" w:type="dxa"/>
            <w:vAlign w:val="bottom"/>
            <w:shd w:val="clear" w:color="auto" w:fill="D2DCE5"/>
          </w:tcPr>
          <w:p>
            <w:pPr>
              <w:spacing w:after="0"/>
              <w:rPr>
                <w:sz w:val="24"/>
                <w:szCs w:val="24"/>
                <w:color w:val="auto"/>
              </w:rPr>
            </w:pPr>
          </w:p>
        </w:tc>
        <w:tc>
          <w:tcPr>
            <w:tcW w:w="320" w:type="dxa"/>
            <w:vAlign w:val="bottom"/>
            <w:vMerge w:val="restart"/>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1,766</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60" w:type="dxa"/>
            <w:vAlign w:val="bottom"/>
            <w:tcBorders>
              <w:bottom w:val="single" w:sz="8" w:color="D2DCE5"/>
            </w:tcBorders>
            <w:shd w:val="clear" w:color="auto" w:fill="D2DCE5"/>
          </w:tcPr>
          <w:p>
            <w:pPr>
              <w:spacing w:after="0"/>
              <w:rPr>
                <w:sz w:val="7"/>
                <w:szCs w:val="7"/>
                <w:color w:val="auto"/>
              </w:rPr>
            </w:pPr>
          </w:p>
        </w:tc>
        <w:tc>
          <w:tcPr>
            <w:tcW w:w="1380" w:type="dxa"/>
            <w:vAlign w:val="bottom"/>
            <w:tcBorders>
              <w:bottom w:val="single" w:sz="8" w:color="D2DCE5"/>
            </w:tcBorders>
            <w:gridSpan w:val="2"/>
            <w:vMerge w:val="continue"/>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220" w:type="dxa"/>
            <w:vAlign w:val="bottom"/>
            <w:tcBorders>
              <w:bottom w:val="single" w:sz="8" w:color="D2DCE5"/>
            </w:tcBorders>
            <w:gridSpan w:val="2"/>
            <w:vMerge w:val="continue"/>
            <w:shd w:val="clear" w:color="auto" w:fill="D2DCE5"/>
          </w:tcPr>
          <w:p>
            <w:pPr>
              <w:spacing w:after="0"/>
              <w:rPr>
                <w:sz w:val="7"/>
                <w:szCs w:val="7"/>
                <w:color w:val="auto"/>
              </w:rPr>
            </w:pPr>
          </w:p>
        </w:tc>
        <w:tc>
          <w:tcPr>
            <w:tcW w:w="220" w:type="dxa"/>
            <w:vAlign w:val="bottom"/>
            <w:tcBorders>
              <w:bottom w:val="single" w:sz="8" w:color="D2DCE5"/>
            </w:tcBorders>
            <w:vMerge w:val="continue"/>
            <w:shd w:val="clear" w:color="auto" w:fill="D2DCE5"/>
          </w:tcPr>
          <w:p>
            <w:pPr>
              <w:spacing w:after="0"/>
              <w:rPr>
                <w:sz w:val="7"/>
                <w:szCs w:val="7"/>
                <w:color w:val="auto"/>
              </w:rPr>
            </w:pPr>
          </w:p>
        </w:tc>
        <w:tc>
          <w:tcPr>
            <w:tcW w:w="12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vMerge w:val="continue"/>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16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131E29"/>
              </w:rPr>
              <w:t>N/A</w:t>
            </w:r>
          </w:p>
        </w:tc>
        <w:tc>
          <w:tcPr>
            <w:tcW w:w="320" w:type="dxa"/>
            <w:vAlign w:val="bottom"/>
          </w:tcPr>
          <w:p>
            <w:pPr>
              <w:spacing w:after="0"/>
              <w:rPr>
                <w:sz w:val="21"/>
                <w:szCs w:val="21"/>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131E29"/>
              </w:rPr>
              <w:t>N/A</w:t>
            </w:r>
          </w:p>
        </w:tc>
        <w:tc>
          <w:tcPr>
            <w:tcW w:w="220" w:type="dxa"/>
            <w:vAlign w:val="bottom"/>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131E29"/>
              </w:rPr>
              <w:t>1,862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1,654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12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12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Same shop sales growth (decline) </w:t>
            </w:r>
            <w:r>
              <w:rPr>
                <w:rFonts w:ascii="Arial" w:cs="Arial" w:eastAsia="Arial" w:hAnsi="Arial"/>
                <w:sz w:val="23"/>
                <w:szCs w:val="23"/>
                <w:color w:val="131E29"/>
                <w:vertAlign w:val="superscript"/>
              </w:rPr>
              <w:t>2, 4</w:t>
            </w:r>
          </w:p>
        </w:tc>
        <w:tc>
          <w:tcPr>
            <w:tcW w:w="1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131E29"/>
              </w:rPr>
              <w:t>(3.3)%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9.0 %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131E29"/>
              </w:rPr>
              <w:t>1.0 %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8.0 %</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Company-operated shops</w:t>
            </w:r>
          </w:p>
        </w:tc>
        <w:tc>
          <w:tcPr>
            <w:tcW w:w="160" w:type="dxa"/>
            <w:vAlign w:val="bottom"/>
            <w:tcBorders>
              <w:bottom w:val="single" w:sz="8" w:color="D2DCE5"/>
            </w:tcBorders>
            <w:shd w:val="clear" w:color="auto" w:fill="D2DCE5"/>
          </w:tcPr>
          <w:p>
            <w:pPr>
              <w:spacing w:after="0"/>
              <w:rPr>
                <w:sz w:val="21"/>
                <w:szCs w:val="21"/>
                <w:color w:val="auto"/>
              </w:rPr>
            </w:pPr>
          </w:p>
        </w:tc>
        <w:tc>
          <w:tcPr>
            <w:tcW w:w="1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10.0 %</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0.3 %</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9.0 %</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 revenues</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28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160,512</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102,970</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290,699</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180,887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Company-operated shop gross profit</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131E29"/>
              </w:rPr>
              <w:t>31,218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29,452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131E29"/>
              </w:rPr>
              <w:t>47,857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131E29"/>
              </w:rPr>
              <w:t>47,030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 contribution </w:t>
            </w:r>
            <w:r>
              <w:rPr>
                <w:rFonts w:ascii="Arial" w:cs="Arial" w:eastAsia="Arial" w:hAnsi="Arial"/>
                <w:sz w:val="23"/>
                <w:szCs w:val="23"/>
                <w:color w:val="131E29"/>
                <w:vertAlign w:val="superscript"/>
              </w:rPr>
              <w:t>3</w:t>
            </w:r>
          </w:p>
        </w:tc>
        <w:tc>
          <w:tcPr>
            <w:tcW w:w="160" w:type="dxa"/>
            <w:vAlign w:val="bottom"/>
            <w:shd w:val="clear" w:color="auto" w:fill="D2DCE5"/>
          </w:tcPr>
          <w:p>
            <w:pPr>
              <w:spacing w:after="0"/>
              <w:rPr>
                <w:sz w:val="24"/>
                <w:szCs w:val="24"/>
                <w:color w:val="auto"/>
              </w:rPr>
            </w:pPr>
          </w:p>
        </w:tc>
        <w:tc>
          <w:tcPr>
            <w:tcW w:w="128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39,525</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32,925</w:t>
            </w:r>
          </w:p>
        </w:tc>
        <w:tc>
          <w:tcPr>
            <w:tcW w:w="100" w:type="dxa"/>
            <w:vAlign w:val="bottom"/>
            <w:shd w:val="clear" w:color="auto" w:fill="D2DCE5"/>
          </w:tcPr>
          <w:p>
            <w:pPr>
              <w:spacing w:after="0"/>
              <w:rPr>
                <w:sz w:val="24"/>
                <w:szCs w:val="24"/>
                <w:color w:val="auto"/>
              </w:rPr>
            </w:pPr>
          </w:p>
        </w:tc>
        <w:tc>
          <w:tcPr>
            <w:tcW w:w="220" w:type="dxa"/>
            <w:vAlign w:val="bottom"/>
            <w:vMerge w:val="restart"/>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63,304</w:t>
            </w:r>
          </w:p>
        </w:tc>
        <w:tc>
          <w:tcPr>
            <w:tcW w:w="100" w:type="dxa"/>
            <w:vAlign w:val="bottom"/>
            <w:shd w:val="clear" w:color="auto" w:fill="D2DCE5"/>
          </w:tcPr>
          <w:p>
            <w:pPr>
              <w:spacing w:after="0"/>
              <w:rPr>
                <w:sz w:val="24"/>
                <w:szCs w:val="24"/>
                <w:color w:val="auto"/>
              </w:rPr>
            </w:pPr>
          </w:p>
        </w:tc>
        <w:tc>
          <w:tcPr>
            <w:tcW w:w="320" w:type="dxa"/>
            <w:vAlign w:val="bottom"/>
            <w:vMerge w:val="restart"/>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53,774</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60" w:type="dxa"/>
            <w:vAlign w:val="bottom"/>
            <w:tcBorders>
              <w:bottom w:val="single" w:sz="8" w:color="D2DCE5"/>
            </w:tcBorders>
            <w:shd w:val="clear" w:color="auto" w:fill="D2DCE5"/>
          </w:tcPr>
          <w:p>
            <w:pPr>
              <w:spacing w:after="0"/>
              <w:rPr>
                <w:sz w:val="7"/>
                <w:szCs w:val="7"/>
                <w:color w:val="auto"/>
              </w:rPr>
            </w:pPr>
          </w:p>
        </w:tc>
        <w:tc>
          <w:tcPr>
            <w:tcW w:w="128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220" w:type="dxa"/>
            <w:vAlign w:val="bottom"/>
            <w:tcBorders>
              <w:bottom w:val="single" w:sz="8" w:color="D2DCE5"/>
            </w:tcBorders>
            <w:vMerge w:val="continue"/>
            <w:shd w:val="clear" w:color="auto" w:fill="D2DCE5"/>
          </w:tcPr>
          <w:p>
            <w:pPr>
              <w:spacing w:after="0"/>
              <w:rPr>
                <w:sz w:val="7"/>
                <w:szCs w:val="7"/>
                <w:color w:val="auto"/>
              </w:rPr>
            </w:pPr>
          </w:p>
        </w:tc>
        <w:tc>
          <w:tcPr>
            <w:tcW w:w="12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vMerge w:val="continue"/>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Company-operated shop gross profit as a % of</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company-operated shop revenues</w:t>
            </w:r>
          </w:p>
        </w:tc>
        <w:tc>
          <w:tcPr>
            <w:tcW w:w="16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131E29"/>
              </w:rPr>
              <w:t>19.4 %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28.6 %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131E29"/>
              </w:rPr>
              <w:t>16.5 %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26.0 %</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 contribution as a % of</w:t>
            </w:r>
          </w:p>
        </w:tc>
        <w:tc>
          <w:tcPr>
            <w:tcW w:w="160" w:type="dxa"/>
            <w:vAlign w:val="bottom"/>
            <w:shd w:val="clear" w:color="auto" w:fill="D2DCE5"/>
          </w:tcPr>
          <w:p>
            <w:pPr>
              <w:spacing w:after="0"/>
              <w:rPr>
                <w:sz w:val="21"/>
                <w:szCs w:val="21"/>
                <w:color w:val="auto"/>
              </w:rPr>
            </w:pPr>
          </w:p>
        </w:tc>
        <w:tc>
          <w:tcPr>
            <w:tcW w:w="12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1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12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 revenues </w:t>
            </w:r>
            <w:r>
              <w:rPr>
                <w:rFonts w:ascii="Arial" w:cs="Arial" w:eastAsia="Arial" w:hAnsi="Arial"/>
                <w:sz w:val="23"/>
                <w:szCs w:val="23"/>
                <w:color w:val="131E29"/>
                <w:vertAlign w:val="superscript"/>
              </w:rPr>
              <w:t>3</w:t>
            </w:r>
          </w:p>
        </w:tc>
        <w:tc>
          <w:tcPr>
            <w:tcW w:w="160" w:type="dxa"/>
            <w:vAlign w:val="bottom"/>
            <w:shd w:val="clear" w:color="auto" w:fill="D2DCE5"/>
          </w:tcPr>
          <w:p>
            <w:pPr>
              <w:spacing w:after="0"/>
              <w:rPr>
                <w:sz w:val="24"/>
                <w:szCs w:val="24"/>
                <w:color w:val="auto"/>
              </w:rPr>
            </w:pPr>
          </w:p>
        </w:tc>
        <w:tc>
          <w:tcPr>
            <w:tcW w:w="12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24.6 %</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32.0 %</w:t>
            </w:r>
          </w:p>
        </w:tc>
        <w:tc>
          <w:tcPr>
            <w:tcW w:w="10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12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21.8 %</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29.7 %</w:t>
            </w:r>
          </w:p>
        </w:tc>
        <w:tc>
          <w:tcPr>
            <w:tcW w:w="0" w:type="dxa"/>
            <w:vAlign w:val="bottom"/>
          </w:tcPr>
          <w:p>
            <w:pPr>
              <w:spacing w:after="0"/>
              <w:rPr>
                <w:sz w:val="1"/>
                <w:szCs w:val="1"/>
                <w:color w:val="auto"/>
              </w:rPr>
            </w:pPr>
          </w:p>
        </w:tc>
      </w:tr>
      <w:tr>
        <w:trPr>
          <w:trHeight w:val="84"/>
        </w:trPr>
        <w:tc>
          <w:tcPr>
            <w:tcW w:w="5080" w:type="dxa"/>
            <w:vAlign w:val="bottom"/>
            <w:tcBorders>
              <w:bottom w:val="single" w:sz="8" w:color="D2DCE5"/>
            </w:tcBorders>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160" w:type="dxa"/>
            <w:vAlign w:val="bottom"/>
            <w:tcBorders>
              <w:bottom w:val="single" w:sz="8" w:color="D2DCE5"/>
            </w:tcBorders>
            <w:shd w:val="clear" w:color="auto" w:fill="D2DCE5"/>
          </w:tcPr>
          <w:p>
            <w:pPr>
              <w:spacing w:after="0"/>
              <w:rPr>
                <w:sz w:val="7"/>
                <w:szCs w:val="7"/>
                <w:color w:val="auto"/>
              </w:rPr>
            </w:pPr>
          </w:p>
        </w:tc>
        <w:tc>
          <w:tcPr>
            <w:tcW w:w="128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220" w:type="dxa"/>
            <w:vAlign w:val="bottom"/>
            <w:tcBorders>
              <w:bottom w:val="single" w:sz="8" w:color="D2DCE5"/>
            </w:tcBorders>
            <w:shd w:val="clear" w:color="auto" w:fill="D2DCE5"/>
          </w:tcPr>
          <w:p>
            <w:pPr>
              <w:spacing w:after="0"/>
              <w:rPr>
                <w:sz w:val="7"/>
                <w:szCs w:val="7"/>
                <w:color w:val="auto"/>
              </w:rPr>
            </w:pPr>
          </w:p>
        </w:tc>
        <w:tc>
          <w:tcPr>
            <w:tcW w:w="1220" w:type="dxa"/>
            <w:vAlign w:val="bottom"/>
            <w:tcBorders>
              <w:bottom w:val="single" w:sz="8" w:color="D2DCE5"/>
            </w:tcBorders>
            <w:vMerge w:val="continue"/>
            <w:shd w:val="clear" w:color="auto" w:fill="D2DCE5"/>
          </w:tcPr>
          <w:p>
            <w:pPr>
              <w:spacing w:after="0"/>
              <w:rPr>
                <w:sz w:val="7"/>
                <w:szCs w:val="7"/>
                <w:color w:val="auto"/>
              </w:rPr>
            </w:pPr>
          </w:p>
        </w:tc>
        <w:tc>
          <w:tcPr>
            <w:tcW w:w="100" w:type="dxa"/>
            <w:vAlign w:val="bottom"/>
            <w:tcBorders>
              <w:bottom w:val="single" w:sz="8" w:color="D2DCE5"/>
            </w:tcBorders>
            <w:shd w:val="clear" w:color="auto" w:fill="D2DCE5"/>
          </w:tcPr>
          <w:p>
            <w:pPr>
              <w:spacing w:after="0"/>
              <w:rPr>
                <w:sz w:val="7"/>
                <w:szCs w:val="7"/>
                <w:color w:val="auto"/>
              </w:rPr>
            </w:pPr>
          </w:p>
        </w:tc>
        <w:tc>
          <w:tcPr>
            <w:tcW w:w="320" w:type="dxa"/>
            <w:vAlign w:val="bottom"/>
            <w:tcBorders>
              <w:bottom w:val="single" w:sz="8" w:color="D2DCE5"/>
            </w:tcBorders>
            <w:shd w:val="clear" w:color="auto" w:fill="D2DCE5"/>
          </w:tcPr>
          <w:p>
            <w:pPr>
              <w:spacing w:after="0"/>
              <w:rPr>
                <w:sz w:val="7"/>
                <w:szCs w:val="7"/>
                <w:color w:val="auto"/>
              </w:rPr>
            </w:pPr>
          </w:p>
        </w:tc>
        <w:tc>
          <w:tcPr>
            <w:tcW w:w="1120" w:type="dxa"/>
            <w:vAlign w:val="bottom"/>
            <w:tcBorders>
              <w:bottom w:val="single" w:sz="8" w:color="D2DCE5"/>
            </w:tcBorders>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28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(1,751)</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11,889</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(18,030)</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7,067</w:t>
            </w: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Adjusted EBITDA </w:t>
            </w:r>
            <w:r>
              <w:rPr>
                <w:rFonts w:ascii="Arial" w:cs="Arial" w:eastAsia="Arial" w:hAnsi="Arial"/>
                <w:sz w:val="23"/>
                <w:szCs w:val="23"/>
                <w:color w:val="131E29"/>
                <w:vertAlign w:val="superscript"/>
              </w:rPr>
              <w:t>3</w:t>
            </w:r>
          </w:p>
        </w:tc>
        <w:tc>
          <w:tcPr>
            <w:tcW w:w="160" w:type="dxa"/>
            <w:vAlign w:val="bottom"/>
          </w:tcPr>
          <w:p>
            <w:pPr>
              <w:spacing w:after="0"/>
              <w:rPr>
                <w:sz w:val="24"/>
                <w:szCs w:val="24"/>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131E29"/>
              </w:rPr>
              <w:t>23,939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30,699</w:t>
            </w:r>
          </w:p>
        </w:tc>
        <w:tc>
          <w:tcPr>
            <w:tcW w:w="100" w:type="dxa"/>
            <w:vAlign w:val="bottom"/>
          </w:tcPr>
          <w:p>
            <w:pPr>
              <w:spacing w:after="0"/>
              <w:rPr>
                <w:sz w:val="24"/>
                <w:szCs w:val="2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131E29"/>
              </w:rPr>
              <w:t>33,601</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49,384</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 as % of revenue</w:t>
            </w:r>
          </w:p>
        </w:tc>
        <w:tc>
          <w:tcPr>
            <w:tcW w:w="160" w:type="dxa"/>
            <w:vAlign w:val="bottom"/>
            <w:tcBorders>
              <w:bottom w:val="single" w:sz="8" w:color="D2DCE5"/>
            </w:tcBorders>
            <w:shd w:val="clear" w:color="auto" w:fill="D2DCE5"/>
          </w:tcPr>
          <w:p>
            <w:pPr>
              <w:spacing w:after="0"/>
              <w:rPr>
                <w:sz w:val="21"/>
                <w:szCs w:val="21"/>
                <w:color w:val="auto"/>
              </w:rPr>
            </w:pPr>
          </w:p>
        </w:tc>
        <w:tc>
          <w:tcPr>
            <w:tcW w:w="1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(0.9)%</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9.2 %</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(5.3)%</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3.1 %</w:t>
            </w: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Adjusted EBITDA as % of revenue </w:t>
            </w:r>
            <w:r>
              <w:rPr>
                <w:rFonts w:ascii="Arial" w:cs="Arial" w:eastAsia="Arial" w:hAnsi="Arial"/>
                <w:sz w:val="23"/>
                <w:szCs w:val="23"/>
                <w:color w:val="131E29"/>
                <w:vertAlign w:val="superscript"/>
              </w:rPr>
              <w:t>3</w:t>
            </w:r>
          </w:p>
        </w:tc>
        <w:tc>
          <w:tcPr>
            <w:tcW w:w="1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131E29"/>
              </w:rPr>
              <w:t>12.8 %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23.8 %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131E29"/>
              </w:rPr>
              <w:t>9.9 %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131E29"/>
              </w:rPr>
              <w:t>21.7 %</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12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12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320" w:type="dxa"/>
            <w:vAlign w:val="bottom"/>
            <w:shd w:val="clear" w:color="auto" w:fill="D2DCE5"/>
          </w:tcPr>
          <w:p>
            <w:pPr>
              <w:spacing w:after="0"/>
              <w:rPr>
                <w:sz w:val="22"/>
                <w:szCs w:val="22"/>
                <w:color w:val="auto"/>
              </w:rPr>
            </w:pPr>
          </w:p>
        </w:tc>
        <w:tc>
          <w:tcPr>
            <w:tcW w:w="112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518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sales </w:t>
            </w:r>
            <w:r>
              <w:rPr>
                <w:rFonts w:ascii="Arial" w:cs="Arial" w:eastAsia="Arial" w:hAnsi="Arial"/>
                <w:sz w:val="23"/>
                <w:szCs w:val="23"/>
                <w:color w:val="131E29"/>
                <w:vertAlign w:val="superscript"/>
              </w:rPr>
              <w:t>4</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131E29"/>
                <w:w w:val="99"/>
              </w:rPr>
              <w:t>$</w:t>
            </w: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131E29"/>
              </w:rPr>
              <w:t>297,403</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241,566</w:t>
            </w:r>
          </w:p>
        </w:tc>
        <w:tc>
          <w:tcPr>
            <w:tcW w:w="100" w:type="dxa"/>
            <w:vAlign w:val="bottom"/>
          </w:tcPr>
          <w:p>
            <w:pPr>
              <w:spacing w:after="0"/>
              <w:rPr>
                <w:sz w:val="24"/>
                <w:szCs w:val="2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131E29"/>
              </w:rPr>
              <w:t>551,968</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131E29"/>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131E29"/>
              </w:rPr>
              <w:t>432,043</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8"/>
        </w:trPr>
        <w:tc>
          <w:tcPr>
            <w:tcW w:w="51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Dutch Rewards member registrations </w:t>
            </w:r>
            <w:r>
              <w:rPr>
                <w:rFonts w:ascii="Arial" w:cs="Arial" w:eastAsia="Arial" w:hAnsi="Arial"/>
                <w:sz w:val="23"/>
                <w:szCs w:val="23"/>
                <w:color w:val="131E29"/>
                <w:vertAlign w:val="superscript"/>
              </w:rPr>
              <w:t>5</w:t>
            </w:r>
          </w:p>
        </w:tc>
        <w:tc>
          <w:tcPr>
            <w:tcW w:w="160" w:type="dxa"/>
            <w:vAlign w:val="bottom"/>
            <w:shd w:val="clear" w:color="auto" w:fill="D2DCE5"/>
          </w:tcPr>
          <w:p>
            <w:pPr>
              <w:spacing w:after="0"/>
              <w:rPr>
                <w:sz w:val="24"/>
                <w:szCs w:val="24"/>
                <w:color w:val="auto"/>
              </w:rPr>
            </w:pPr>
          </w:p>
        </w:tc>
        <w:tc>
          <w:tcPr>
            <w:tcW w:w="128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496</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674</w:t>
            </w:r>
          </w:p>
        </w:tc>
        <w:tc>
          <w:tcPr>
            <w:tcW w:w="10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12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985</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2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rPr>
              <w:t>2,229</w:t>
            </w:r>
          </w:p>
        </w:tc>
        <w:tc>
          <w:tcPr>
            <w:tcW w:w="0" w:type="dxa"/>
            <w:vAlign w:val="bottom"/>
          </w:tcPr>
          <w:p>
            <w:pPr>
              <w:spacing w:after="0"/>
              <w:rPr>
                <w:sz w:val="1"/>
                <w:szCs w:val="1"/>
                <w:color w:val="auto"/>
              </w:rPr>
            </w:pPr>
          </w:p>
        </w:tc>
      </w:tr>
      <w:tr>
        <w:trPr>
          <w:trHeight w:val="77"/>
        </w:trPr>
        <w:tc>
          <w:tcPr>
            <w:tcW w:w="5080" w:type="dxa"/>
            <w:vAlign w:val="bottom"/>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160" w:type="dxa"/>
            <w:vAlign w:val="bottom"/>
            <w:shd w:val="clear" w:color="auto" w:fill="D2DCE5"/>
          </w:tcPr>
          <w:p>
            <w:pPr>
              <w:spacing w:after="0"/>
              <w:rPr>
                <w:sz w:val="6"/>
                <w:szCs w:val="6"/>
                <w:color w:val="auto"/>
              </w:rPr>
            </w:pPr>
          </w:p>
        </w:tc>
        <w:tc>
          <w:tcPr>
            <w:tcW w:w="1280" w:type="dxa"/>
            <w:vAlign w:val="bottom"/>
            <w:vMerge w:val="continue"/>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vMerge w:val="continue"/>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220" w:type="dxa"/>
            <w:vAlign w:val="bottom"/>
            <w:shd w:val="clear" w:color="auto" w:fill="D2DCE5"/>
          </w:tcPr>
          <w:p>
            <w:pPr>
              <w:spacing w:after="0"/>
              <w:rPr>
                <w:sz w:val="6"/>
                <w:szCs w:val="6"/>
                <w:color w:val="auto"/>
              </w:rPr>
            </w:pPr>
          </w:p>
        </w:tc>
        <w:tc>
          <w:tcPr>
            <w:tcW w:w="1220" w:type="dxa"/>
            <w:vAlign w:val="bottom"/>
            <w:vMerge w:val="continue"/>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vMerge w:val="continue"/>
            <w:shd w:val="clear" w:color="auto" w:fill="D2DCE5"/>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50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12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12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112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right="20" w:hanging="172"/>
        <w:spacing w:after="0" w:line="226" w:lineRule="auto"/>
        <w:tabs>
          <w:tab w:leader="none" w:pos="241" w:val="left"/>
        </w:tabs>
        <w:numPr>
          <w:ilvl w:val="0"/>
          <w:numId w:val="16"/>
        </w:numPr>
        <w:rPr>
          <w:rFonts w:ascii="Arial" w:cs="Arial" w:eastAsia="Arial" w:hAnsi="Arial"/>
          <w:sz w:val="19"/>
          <w:szCs w:val="19"/>
          <w:color w:val="131E29"/>
          <w:vertAlign w:val="superscript"/>
        </w:rPr>
      </w:pPr>
      <w:r>
        <w:rPr>
          <w:rFonts w:ascii="Arial" w:cs="Arial" w:eastAsia="Arial" w:hAnsi="Arial"/>
          <w:sz w:val="14"/>
          <w:szCs w:val="14"/>
          <w:color w:val="131E29"/>
        </w:rPr>
        <w:t>AUVs are determined based on the net sales for any trailing twelve-month period for systemwide and company-operated shops that have been open a minimum of 15 months. AUVs are calculated by dividing the net sales by the total number of systemwide and company-operated shops, respectively. Management uses this metric as an indicator of shop growth and future expectations of mature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755"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80" w:hanging="172"/>
        <w:spacing w:after="0" w:line="232" w:lineRule="auto"/>
        <w:tabs>
          <w:tab w:leader="none" w:pos="241" w:val="left"/>
        </w:tabs>
        <w:numPr>
          <w:ilvl w:val="0"/>
          <w:numId w:val="17"/>
        </w:numPr>
        <w:rPr>
          <w:rFonts w:ascii="Arial" w:cs="Arial" w:eastAsia="Arial" w:hAnsi="Arial"/>
          <w:sz w:val="19"/>
          <w:szCs w:val="19"/>
          <w:color w:val="131E29"/>
          <w:vertAlign w:val="superscript"/>
        </w:rPr>
      </w:pPr>
      <w:r>
        <w:rPr>
          <w:rFonts w:ascii="Arial" w:cs="Arial" w:eastAsia="Arial" w:hAnsi="Arial"/>
          <w:sz w:val="14"/>
          <w:szCs w:val="14"/>
          <w:color w:val="131E29"/>
        </w:rPr>
        <w:t>Same shop sales growth reflects the change in year-over-year sales for the comparable shop base, which we define as shops open for 15 complete months or longer. Management uses this metric as an indicator of shop growth and future expansion strategy. The number of shops included in the systemwide and company-operated comparable bases for the respective periods are presented in the following table.</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131E29"/>
              </w:rPr>
              <w:t>Three Months Ended June 30,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131E29"/>
              </w:rPr>
              <w:t>Six Months Ended June 30,</w:t>
            </w:r>
          </w:p>
        </w:tc>
      </w:tr>
      <w:tr>
        <w:trPr>
          <w:trHeight w:val="26"/>
        </w:trPr>
        <w:tc>
          <w:tcPr>
            <w:tcW w:w="5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1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131E29"/>
              </w:rPr>
              <w:t>2022</w:t>
            </w:r>
          </w:p>
        </w:tc>
        <w:tc>
          <w:tcPr>
            <w:tcW w:w="1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131E29"/>
              </w:rPr>
              <w:t>2021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b w:val="1"/>
                <w:bCs w:val="1"/>
                <w:color w:val="131E29"/>
              </w:rPr>
              <w:t>2022</w:t>
            </w:r>
          </w:p>
        </w:tc>
        <w:tc>
          <w:tcPr>
            <w:tcW w:w="80" w:type="dxa"/>
            <w:vAlign w:val="bottom"/>
          </w:tcPr>
          <w:p>
            <w:pPr>
              <w:spacing w:after="0"/>
              <w:rPr>
                <w:sz w:val="17"/>
                <w:szCs w:val="17"/>
                <w:color w:val="auto"/>
              </w:rPr>
            </w:pPr>
          </w:p>
        </w:tc>
        <w:tc>
          <w:tcPr>
            <w:tcW w:w="1280" w:type="dxa"/>
            <w:vAlign w:val="bottom"/>
          </w:tcPr>
          <w:p>
            <w:pPr>
              <w:jc w:val="right"/>
              <w:ind w:right="408"/>
              <w:spacing w:after="0"/>
              <w:rPr>
                <w:sz w:val="20"/>
                <w:szCs w:val="20"/>
                <w:color w:val="auto"/>
              </w:rPr>
            </w:pPr>
            <w:r>
              <w:rPr>
                <w:rFonts w:ascii="Arial" w:cs="Arial" w:eastAsia="Arial" w:hAnsi="Arial"/>
                <w:sz w:val="14"/>
                <w:szCs w:val="14"/>
                <w:b w:val="1"/>
                <w:bCs w:val="1"/>
                <w:color w:val="131E29"/>
              </w:rPr>
              <w:t>2021</w:t>
            </w:r>
          </w:p>
        </w:tc>
      </w:tr>
      <w:tr>
        <w:trPr>
          <w:trHeight w:val="26"/>
        </w:trPr>
        <w:tc>
          <w:tcPr>
            <w:tcW w:w="524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61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440</w:t>
            </w:r>
          </w:p>
        </w:tc>
        <w:tc>
          <w:tcPr>
            <w:tcW w:w="80" w:type="dxa"/>
            <w:vAlign w:val="bottom"/>
            <w:tcBorders>
              <w:bottom w:val="single" w:sz="8" w:color="D2DCE5"/>
            </w:tcBorders>
            <w:shd w:val="clear" w:color="auto" w:fill="D2DCE5"/>
          </w:tcPr>
          <w:p>
            <w:pPr>
              <w:spacing w:after="0"/>
              <w:rPr>
                <w:sz w:val="17"/>
                <w:szCs w:val="17"/>
                <w:color w:val="auto"/>
              </w:rPr>
            </w:pPr>
          </w:p>
        </w:tc>
        <w:tc>
          <w:tcPr>
            <w:tcW w:w="1040" w:type="dxa"/>
            <w:vAlign w:val="bottom"/>
            <w:tcBorders>
              <w:bottom w:val="single" w:sz="8" w:color="D2DCE5"/>
            </w:tcBorders>
            <w:shd w:val="clear" w:color="auto" w:fill="D2DCE5"/>
          </w:tcPr>
          <w:p>
            <w:pPr>
              <w:spacing w:after="0"/>
              <w:rPr>
                <w:sz w:val="17"/>
                <w:szCs w:val="17"/>
                <w:color w:val="auto"/>
              </w:rPr>
            </w:pPr>
          </w:p>
        </w:tc>
        <w:tc>
          <w:tcPr>
            <w:tcW w:w="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368</w:t>
            </w:r>
          </w:p>
        </w:tc>
        <w:tc>
          <w:tcPr>
            <w:tcW w:w="80" w:type="dxa"/>
            <w:vAlign w:val="bottom"/>
            <w:tcBorders>
              <w:bottom w:val="single" w:sz="8" w:color="D2DCE5"/>
            </w:tcBorders>
            <w:shd w:val="clear" w:color="auto" w:fill="D2DCE5"/>
          </w:tcPr>
          <w:p>
            <w:pPr>
              <w:spacing w:after="0"/>
              <w:rPr>
                <w:sz w:val="17"/>
                <w:szCs w:val="17"/>
                <w:color w:val="auto"/>
              </w:rPr>
            </w:pPr>
          </w:p>
        </w:tc>
        <w:tc>
          <w:tcPr>
            <w:tcW w:w="13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414</w:t>
            </w:r>
          </w:p>
        </w:tc>
        <w:tc>
          <w:tcPr>
            <w:tcW w:w="80" w:type="dxa"/>
            <w:vAlign w:val="bottom"/>
            <w:tcBorders>
              <w:bottom w:val="single" w:sz="8" w:color="D2DCE5"/>
            </w:tcBorders>
            <w:shd w:val="clear" w:color="auto" w:fill="D2DCE5"/>
          </w:tcPr>
          <w:p>
            <w:pPr>
              <w:spacing w:after="0"/>
              <w:rPr>
                <w:sz w:val="17"/>
                <w:szCs w:val="17"/>
                <w:color w:val="auto"/>
              </w:rPr>
            </w:pPr>
          </w:p>
        </w:tc>
        <w:tc>
          <w:tcPr>
            <w:tcW w:w="1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355</w:t>
            </w:r>
          </w:p>
        </w:tc>
      </w:tr>
      <w:tr>
        <w:trPr>
          <w:trHeight w:val="204"/>
        </w:trPr>
        <w:tc>
          <w:tcPr>
            <w:tcW w:w="6180" w:type="dxa"/>
            <w:vAlign w:val="bottom"/>
            <w:gridSpan w:val="2"/>
          </w:tcPr>
          <w:p>
            <w:pPr>
              <w:ind w:left="20"/>
              <w:spacing w:after="0"/>
              <w:rPr>
                <w:sz w:val="20"/>
                <w:szCs w:val="20"/>
                <w:color w:val="auto"/>
              </w:rPr>
            </w:pPr>
            <w:r>
              <w:rPr>
                <w:rFonts w:ascii="Arial" w:cs="Arial" w:eastAsia="Arial" w:hAnsi="Arial"/>
                <w:sz w:val="14"/>
                <w:szCs w:val="14"/>
                <w:color w:val="131E29"/>
              </w:rPr>
              <w:t>Company-operated shop base</w:t>
            </w:r>
          </w:p>
        </w:tc>
        <w:tc>
          <w:tcPr>
            <w:tcW w:w="400" w:type="dxa"/>
            <w:vAlign w:val="bottom"/>
          </w:tcPr>
          <w:p>
            <w:pPr>
              <w:jc w:val="right"/>
              <w:spacing w:after="0"/>
              <w:rPr>
                <w:sz w:val="20"/>
                <w:szCs w:val="20"/>
                <w:color w:val="auto"/>
              </w:rPr>
            </w:pPr>
            <w:r>
              <w:rPr>
                <w:rFonts w:ascii="Arial" w:cs="Arial" w:eastAsia="Arial" w:hAnsi="Arial"/>
                <w:sz w:val="14"/>
                <w:szCs w:val="14"/>
                <w:color w:val="131E29"/>
              </w:rPr>
              <w:t>193</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131E29"/>
              </w:rPr>
              <w:t>130</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131E29"/>
              </w:rPr>
              <w:t>173</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120</w:t>
            </w:r>
          </w:p>
        </w:tc>
      </w:tr>
    </w:tbl>
    <w:p>
      <w:pPr>
        <w:spacing w:after="0" w:line="287" w:lineRule="exact"/>
        <w:rPr>
          <w:sz w:val="20"/>
          <w:szCs w:val="20"/>
          <w:color w:val="auto"/>
        </w:rPr>
      </w:pPr>
    </w:p>
    <w:p>
      <w:pPr>
        <w:ind w:left="180" w:hanging="172"/>
        <w:spacing w:after="0" w:line="219" w:lineRule="auto"/>
        <w:tabs>
          <w:tab w:leader="none" w:pos="174" w:val="left"/>
        </w:tabs>
        <w:numPr>
          <w:ilvl w:val="0"/>
          <w:numId w:val="18"/>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67" w:lineRule="exact"/>
        <w:rPr>
          <w:sz w:val="20"/>
          <w:szCs w:val="20"/>
          <w:color w:val="auto"/>
        </w:rPr>
      </w:pPr>
    </w:p>
    <w:p>
      <w:pPr>
        <w:jc w:val="both"/>
        <w:ind w:left="180" w:hanging="172"/>
        <w:spacing w:after="0" w:line="239" w:lineRule="auto"/>
        <w:tabs>
          <w:tab w:leader="none" w:pos="241" w:val="left"/>
        </w:tabs>
        <w:numPr>
          <w:ilvl w:val="0"/>
          <w:numId w:val="19"/>
        </w:numPr>
        <w:rPr>
          <w:rFonts w:ascii="Arial" w:cs="Arial" w:eastAsia="Arial" w:hAnsi="Arial"/>
          <w:sz w:val="19"/>
          <w:szCs w:val="19"/>
          <w:color w:val="131E29"/>
          <w:vertAlign w:val="superscript"/>
        </w:rPr>
      </w:pPr>
      <w:r>
        <w:rPr>
          <w:rFonts w:ascii="Arial" w:cs="Arial" w:eastAsia="Arial" w:hAnsi="Arial"/>
          <w:sz w:val="14"/>
          <w:szCs w:val="14"/>
          <w:color w:val="131E29"/>
        </w:rPr>
        <w:t>Systemwide sales and systemwide same shop sales include company-operated shop revenue and sales at franchised shops during the comparable periods presented. Franchise sales represent sales at all franchise shops and are revenues to our franchisees.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overall Dutch Bros financial health, growth and future expansion prospects.</w:t>
      </w:r>
    </w:p>
    <w:p>
      <w:pPr>
        <w:spacing w:after="0" w:line="194" w:lineRule="exact"/>
        <w:rPr>
          <w:sz w:val="20"/>
          <w:szCs w:val="20"/>
          <w:color w:val="auto"/>
        </w:rPr>
      </w:pPr>
    </w:p>
    <w:p>
      <w:pPr>
        <w:ind w:left="180" w:hanging="172"/>
        <w:spacing w:after="0" w:line="228" w:lineRule="auto"/>
        <w:tabs>
          <w:tab w:leader="none" w:pos="174" w:val="left"/>
        </w:tabs>
        <w:numPr>
          <w:ilvl w:val="0"/>
          <w:numId w:val="20"/>
        </w:numPr>
        <w:rPr>
          <w:rFonts w:ascii="Arial" w:cs="Arial" w:eastAsia="Arial" w:hAnsi="Arial"/>
          <w:sz w:val="19"/>
          <w:szCs w:val="19"/>
          <w:color w:val="131E29"/>
          <w:vertAlign w:val="superscript"/>
        </w:rPr>
      </w:pPr>
      <w:r>
        <w:rPr>
          <w:rFonts w:ascii="Arial" w:cs="Arial" w:eastAsia="Arial" w:hAnsi="Arial"/>
          <w:sz w:val="14"/>
          <w:szCs w:val="14"/>
          <w:color w:val="131E29"/>
        </w:rPr>
        <w:t>Dutch Rewards, a digitally-based rewards program available exclusively through the Dutch Rewards mobile app, was launched February 2021. Management uses this metric as an indicator of customer loyalty adoption of our Dutch Rewards mobile app and future promotional plans.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Company-operated Shop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gridSpan w:val="7"/>
          </w:tcPr>
          <w:p>
            <w:pPr>
              <w:spacing w:after="0"/>
              <w:rPr>
                <w:sz w:val="20"/>
                <w:szCs w:val="20"/>
                <w:color w:val="auto"/>
              </w:rPr>
            </w:pPr>
            <w:r>
              <w:rPr>
                <w:rFonts w:ascii="Arial" w:cs="Arial" w:eastAsia="Arial" w:hAnsi="Arial"/>
                <w:sz w:val="18"/>
                <w:szCs w:val="18"/>
                <w:color w:val="131E29"/>
              </w:rPr>
              <w:t>The results for our company-operated shops segment were as follows: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8"/>
          </w:tcPr>
          <w:p>
            <w:pPr>
              <w:ind w:left="600"/>
              <w:spacing w:after="0"/>
              <w:rPr>
                <w:sz w:val="20"/>
                <w:szCs w:val="20"/>
                <w:color w:val="auto"/>
              </w:rPr>
            </w:pPr>
            <w:r>
              <w:rPr>
                <w:rFonts w:ascii="Arial" w:cs="Arial" w:eastAsia="Arial" w:hAnsi="Arial"/>
                <w:sz w:val="18"/>
                <w:szCs w:val="18"/>
                <w:b w:val="1"/>
                <w:bCs w:val="1"/>
                <w:color w:val="131E29"/>
              </w:rPr>
              <w:t>Three Months Ended June 30,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131E29"/>
              </w:rPr>
              <w:t>Six Months Ended June 30,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131E29"/>
              </w:rPr>
              <w:t>2021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40" w:type="dxa"/>
            <w:vAlign w:val="bottom"/>
          </w:tcPr>
          <w:p>
            <w:pPr>
              <w:jc w:val="right"/>
              <w:ind w:right="39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131E29"/>
              </w:rPr>
              <w:t>%</w:t>
            </w:r>
          </w:p>
        </w:tc>
        <w:tc>
          <w:tcPr>
            <w:tcW w:w="8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131E29"/>
              </w:rPr>
              <w:t>$</w:t>
            </w:r>
          </w:p>
        </w:tc>
        <w:tc>
          <w:tcPr>
            <w:tcW w:w="1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5"/>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 revenue</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160,512</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102,970</w:t>
            </w: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10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290,699</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8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180,887</w:t>
            </w:r>
          </w:p>
        </w:tc>
        <w:tc>
          <w:tcPr>
            <w:tcW w:w="10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100.0</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Beverage, food and packaging costs</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43,548</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27.1</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25,520</w:t>
            </w: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24.8</w:t>
            </w:r>
          </w:p>
        </w:tc>
        <w:tc>
          <w:tcPr>
            <w:tcW w:w="10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79,170</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27.2</w:t>
            </w:r>
          </w:p>
        </w:tc>
        <w:tc>
          <w:tcPr>
            <w:tcW w:w="8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43,718</w:t>
            </w:r>
          </w:p>
        </w:tc>
        <w:tc>
          <w:tcPr>
            <w:tcW w:w="10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24.2</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131E29"/>
              </w:rPr>
              <w:t>Labor costs</w:t>
            </w:r>
          </w:p>
        </w:tc>
        <w:tc>
          <w:tcPr>
            <w:tcW w:w="1040" w:type="dxa"/>
            <w:vAlign w:val="bottom"/>
          </w:tcPr>
          <w:p>
            <w:pPr>
              <w:jc w:val="right"/>
              <w:spacing w:after="0"/>
              <w:rPr>
                <w:sz w:val="20"/>
                <w:szCs w:val="20"/>
                <w:color w:val="auto"/>
              </w:rPr>
            </w:pPr>
            <w:r>
              <w:rPr>
                <w:rFonts w:ascii="Arial" w:cs="Arial" w:eastAsia="Arial" w:hAnsi="Arial"/>
                <w:sz w:val="18"/>
                <w:szCs w:val="18"/>
                <w:color w:val="131E29"/>
              </w:rPr>
              <w:t>47,240</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29.4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29,048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28.2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89,001</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30.6</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54,388</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30.1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Occupancy and other costs</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26,621</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16.6</w:t>
            </w:r>
          </w:p>
        </w:tc>
        <w:tc>
          <w:tcPr>
            <w:tcW w:w="8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13,642</w:t>
            </w:r>
          </w:p>
        </w:tc>
        <w:tc>
          <w:tcPr>
            <w:tcW w:w="80" w:type="dxa"/>
            <w:vAlign w:val="bottom"/>
            <w:tcBorders>
              <w:bottom w:val="single" w:sz="8" w:color="D2DCE5"/>
            </w:tcBorders>
            <w:shd w:val="clear" w:color="auto" w:fill="D2DCE5"/>
          </w:tcPr>
          <w:p>
            <w:pPr>
              <w:spacing w:after="0"/>
              <w:rPr>
                <w:sz w:val="21"/>
                <w:szCs w:val="21"/>
                <w:color w:val="auto"/>
              </w:rPr>
            </w:pPr>
          </w:p>
        </w:tc>
        <w:tc>
          <w:tcPr>
            <w:tcW w:w="12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13.2</w:t>
            </w:r>
          </w:p>
        </w:tc>
        <w:tc>
          <w:tcPr>
            <w:tcW w:w="10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49,624</w:t>
            </w:r>
          </w:p>
        </w:tc>
        <w:tc>
          <w:tcPr>
            <w:tcW w:w="100" w:type="dxa"/>
            <w:vAlign w:val="bottom"/>
            <w:tcBorders>
              <w:bottom w:val="single" w:sz="8" w:color="D2DCE5"/>
            </w:tcBorders>
            <w:shd w:val="clear" w:color="auto" w:fill="D2DCE5"/>
          </w:tcPr>
          <w:p>
            <w:pPr>
              <w:spacing w:after="0"/>
              <w:rPr>
                <w:sz w:val="21"/>
                <w:szCs w:val="21"/>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17.1</w:t>
            </w:r>
          </w:p>
        </w:tc>
        <w:tc>
          <w:tcPr>
            <w:tcW w:w="80" w:type="dxa"/>
            <w:vAlign w:val="bottom"/>
            <w:tcBorders>
              <w:bottom w:val="single" w:sz="8" w:color="D2DCE5"/>
            </w:tcBorders>
            <w:shd w:val="clear" w:color="auto" w:fill="D2DCE5"/>
          </w:tcPr>
          <w:p>
            <w:pPr>
              <w:spacing w:after="0"/>
              <w:rPr>
                <w:sz w:val="21"/>
                <w:szCs w:val="21"/>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25,443</w:t>
            </w:r>
          </w:p>
        </w:tc>
        <w:tc>
          <w:tcPr>
            <w:tcW w:w="10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14.1</w:t>
            </w:r>
          </w:p>
        </w:tc>
        <w:tc>
          <w:tcPr>
            <w:tcW w:w="0" w:type="dxa"/>
            <w:vAlign w:val="bottom"/>
          </w:tcPr>
          <w:p>
            <w:pPr>
              <w:spacing w:after="0"/>
              <w:rPr>
                <w:sz w:val="1"/>
                <w:szCs w:val="1"/>
                <w:color w:val="auto"/>
              </w:rPr>
            </w:pP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131E29"/>
              </w:rPr>
              <w:t>Pre-opening costs</w:t>
            </w:r>
          </w:p>
        </w:tc>
        <w:tc>
          <w:tcPr>
            <w:tcW w:w="1040" w:type="dxa"/>
            <w:vAlign w:val="bottom"/>
          </w:tcPr>
          <w:p>
            <w:pPr>
              <w:jc w:val="right"/>
              <w:spacing w:after="0"/>
              <w:rPr>
                <w:sz w:val="20"/>
                <w:szCs w:val="20"/>
                <w:color w:val="auto"/>
              </w:rPr>
            </w:pPr>
            <w:r>
              <w:rPr>
                <w:rFonts w:ascii="Arial" w:cs="Arial" w:eastAsia="Arial" w:hAnsi="Arial"/>
                <w:sz w:val="18"/>
                <w:szCs w:val="18"/>
                <w:color w:val="131E29"/>
              </w:rPr>
              <w:t>3,578</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1,835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1.8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9,600</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131E29"/>
              </w:rPr>
              <w:t>3.3</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131E29"/>
              </w:rPr>
              <w:t>3,564</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2.0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8,307</w:t>
            </w:r>
          </w:p>
        </w:tc>
        <w:tc>
          <w:tcPr>
            <w:tcW w:w="100" w:type="dxa"/>
            <w:vAlign w:val="bottom"/>
            <w:tcBorders>
              <w:bottom w:val="single" w:sz="8" w:color="D2DCE5"/>
            </w:tcBorders>
            <w:shd w:val="clear" w:color="auto" w:fill="D2DCE5"/>
          </w:tcPr>
          <w:p>
            <w:pPr>
              <w:spacing w:after="0"/>
              <w:rPr>
                <w:sz w:val="23"/>
                <w:szCs w:val="23"/>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w:t>
            </w:r>
          </w:p>
        </w:tc>
        <w:tc>
          <w:tcPr>
            <w:tcW w:w="80" w:type="dxa"/>
            <w:vAlign w:val="bottom"/>
            <w:tcBorders>
              <w:bottom w:val="single" w:sz="8" w:color="D2DCE5"/>
            </w:tcBorders>
            <w:shd w:val="clear" w:color="auto" w:fill="D2DCE5"/>
          </w:tcPr>
          <w:p>
            <w:pPr>
              <w:spacing w:after="0"/>
              <w:rPr>
                <w:sz w:val="23"/>
                <w:szCs w:val="23"/>
                <w:color w:val="auto"/>
              </w:rPr>
            </w:pPr>
          </w:p>
        </w:tc>
        <w:tc>
          <w:tcPr>
            <w:tcW w:w="240" w:type="dxa"/>
            <w:vAlign w:val="bottom"/>
            <w:tcBorders>
              <w:bottom w:val="single" w:sz="8" w:color="D2DCE5"/>
            </w:tcBorders>
            <w:shd w:val="clear" w:color="auto" w:fill="D2DCE5"/>
          </w:tcPr>
          <w:p>
            <w:pPr>
              <w:spacing w:after="0"/>
              <w:rPr>
                <w:sz w:val="23"/>
                <w:szCs w:val="23"/>
                <w:color w:val="auto"/>
              </w:rPr>
            </w:pP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3,473</w:t>
            </w:r>
          </w:p>
        </w:tc>
        <w:tc>
          <w:tcPr>
            <w:tcW w:w="80" w:type="dxa"/>
            <w:vAlign w:val="bottom"/>
            <w:tcBorders>
              <w:bottom w:val="single" w:sz="8" w:color="D2DCE5"/>
            </w:tcBorders>
            <w:shd w:val="clear" w:color="auto" w:fill="D2DCE5"/>
          </w:tcPr>
          <w:p>
            <w:pPr>
              <w:spacing w:after="0"/>
              <w:rPr>
                <w:sz w:val="23"/>
                <w:szCs w:val="23"/>
                <w:color w:val="auto"/>
              </w:rPr>
            </w:pPr>
          </w:p>
        </w:tc>
        <w:tc>
          <w:tcPr>
            <w:tcW w:w="120" w:type="dxa"/>
            <w:vAlign w:val="bottom"/>
            <w:tcBorders>
              <w:bottom w:val="single" w:sz="8" w:color="D2DCE5"/>
            </w:tcBorders>
            <w:shd w:val="clear" w:color="auto" w:fill="D2DCE5"/>
          </w:tcPr>
          <w:p>
            <w:pPr>
              <w:spacing w:after="0"/>
              <w:rPr>
                <w:sz w:val="23"/>
                <w:szCs w:val="23"/>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w:t>
            </w:r>
          </w:p>
        </w:tc>
        <w:tc>
          <w:tcPr>
            <w:tcW w:w="100" w:type="dxa"/>
            <w:vAlign w:val="bottom"/>
            <w:tcBorders>
              <w:bottom w:val="single" w:sz="8" w:color="D2DCE5"/>
            </w:tcBorders>
            <w:shd w:val="clear" w:color="auto" w:fill="D2DCE5"/>
          </w:tcPr>
          <w:p>
            <w:pPr>
              <w:spacing w:after="0"/>
              <w:rPr>
                <w:sz w:val="23"/>
                <w:szCs w:val="23"/>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15,447</w:t>
            </w:r>
          </w:p>
        </w:tc>
        <w:tc>
          <w:tcPr>
            <w:tcW w:w="100" w:type="dxa"/>
            <w:vAlign w:val="bottom"/>
            <w:tcBorders>
              <w:bottom w:val="single" w:sz="8" w:color="D2DCE5"/>
            </w:tcBorders>
            <w:shd w:val="clear" w:color="auto" w:fill="D2DCE5"/>
          </w:tcPr>
          <w:p>
            <w:pPr>
              <w:spacing w:after="0"/>
              <w:rPr>
                <w:sz w:val="23"/>
                <w:szCs w:val="23"/>
                <w:color w:val="auto"/>
              </w:rPr>
            </w:pPr>
          </w:p>
        </w:tc>
        <w:tc>
          <w:tcPr>
            <w:tcW w:w="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5.3</w:t>
            </w:r>
          </w:p>
        </w:tc>
        <w:tc>
          <w:tcPr>
            <w:tcW w:w="8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6,744</w:t>
            </w:r>
          </w:p>
        </w:tc>
        <w:tc>
          <w:tcPr>
            <w:tcW w:w="100" w:type="dxa"/>
            <w:vAlign w:val="bottom"/>
            <w:tcBorders>
              <w:bottom w:val="single" w:sz="8" w:color="D2DCE5"/>
            </w:tcBorders>
            <w:shd w:val="clear" w:color="auto" w:fill="D2DCE5"/>
          </w:tcPr>
          <w:p>
            <w:pPr>
              <w:spacing w:after="0"/>
              <w:rPr>
                <w:sz w:val="23"/>
                <w:szCs w:val="23"/>
                <w:color w:val="auto"/>
              </w:rPr>
            </w:pP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3.7</w:t>
            </w:r>
          </w:p>
        </w:tc>
        <w:tc>
          <w:tcPr>
            <w:tcW w:w="0" w:type="dxa"/>
            <w:vAlign w:val="bottom"/>
          </w:tcPr>
          <w:p>
            <w:pPr>
              <w:spacing w:after="0"/>
              <w:rPr>
                <w:sz w:val="1"/>
                <w:szCs w:val="1"/>
                <w:color w:val="auto"/>
              </w:rPr>
            </w:pPr>
          </w:p>
        </w:tc>
      </w:tr>
      <w:tr>
        <w:trPr>
          <w:trHeight w:val="264"/>
        </w:trPr>
        <w:tc>
          <w:tcPr>
            <w:tcW w:w="35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 gross profit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31,218</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19.4</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29,452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28.6</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47,857</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16.5</w:t>
            </w: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47,030</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26.0</w:t>
            </w:r>
          </w:p>
        </w:tc>
        <w:tc>
          <w:tcPr>
            <w:tcW w:w="0" w:type="dxa"/>
            <w:vAlign w:val="bottom"/>
          </w:tcPr>
          <w:p>
            <w:pPr>
              <w:spacing w:after="0"/>
              <w:rPr>
                <w:sz w:val="1"/>
                <w:szCs w:val="1"/>
                <w:color w:val="auto"/>
              </w:rPr>
            </w:pPr>
          </w:p>
        </w:tc>
      </w:tr>
      <w:tr>
        <w:trPr>
          <w:trHeight w:val="20"/>
        </w:trPr>
        <w:tc>
          <w:tcPr>
            <w:tcW w:w="33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5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 xml:space="preserve">Company-operated shop contribution </w:t>
            </w:r>
            <w:r>
              <w:rPr>
                <w:rFonts w:ascii="Arial" w:cs="Arial" w:eastAsia="Arial" w:hAnsi="Arial"/>
                <w:sz w:val="23"/>
                <w:szCs w:val="23"/>
                <w:color w:val="131E29"/>
                <w:vertAlign w:val="superscript"/>
              </w:rPr>
              <w:t>1</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39,525</w:t>
            </w:r>
          </w:p>
        </w:tc>
        <w:tc>
          <w:tcPr>
            <w:tcW w:w="100" w:type="dxa"/>
            <w:vAlign w:val="bottom"/>
            <w:shd w:val="clear" w:color="auto" w:fill="D2DCE5"/>
          </w:tcPr>
          <w:p>
            <w:pPr>
              <w:spacing w:after="0"/>
              <w:rPr>
                <w:sz w:val="24"/>
                <w:szCs w:val="24"/>
                <w:color w:val="auto"/>
              </w:rPr>
            </w:pPr>
          </w:p>
        </w:tc>
        <w:tc>
          <w:tcPr>
            <w:tcW w:w="6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24.6</w:t>
            </w: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8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32,925</w:t>
            </w:r>
          </w:p>
        </w:tc>
        <w:tc>
          <w:tcPr>
            <w:tcW w:w="80" w:type="dxa"/>
            <w:vAlign w:val="bottom"/>
            <w:shd w:val="clear" w:color="auto" w:fill="D2DCE5"/>
          </w:tcPr>
          <w:p>
            <w:pPr>
              <w:spacing w:after="0"/>
              <w:rPr>
                <w:sz w:val="24"/>
                <w:szCs w:val="24"/>
                <w:color w:val="auto"/>
              </w:rPr>
            </w:pPr>
          </w:p>
        </w:tc>
        <w:tc>
          <w:tcPr>
            <w:tcW w:w="120" w:type="dxa"/>
            <w:vAlign w:val="bottom"/>
            <w:shd w:val="clear" w:color="auto" w:fill="D2DCE5"/>
          </w:tcPr>
          <w:p>
            <w:pPr>
              <w:spacing w:after="0"/>
              <w:rPr>
                <w:sz w:val="24"/>
                <w:szCs w:val="24"/>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32.0</w:t>
            </w:r>
          </w:p>
        </w:tc>
        <w:tc>
          <w:tcPr>
            <w:tcW w:w="100" w:type="dxa"/>
            <w:vAlign w:val="bottom"/>
            <w:shd w:val="clear" w:color="auto" w:fill="D2DCE5"/>
          </w:tcPr>
          <w:p>
            <w:pPr>
              <w:spacing w:after="0"/>
              <w:rPr>
                <w:sz w:val="24"/>
                <w:szCs w:val="24"/>
                <w:color w:val="auto"/>
              </w:rPr>
            </w:pP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63,304</w:t>
            </w:r>
          </w:p>
        </w:tc>
        <w:tc>
          <w:tcPr>
            <w:tcW w:w="100" w:type="dxa"/>
            <w:vAlign w:val="bottom"/>
            <w:shd w:val="clear" w:color="auto" w:fill="D2DCE5"/>
          </w:tcPr>
          <w:p>
            <w:pPr>
              <w:spacing w:after="0"/>
              <w:rPr>
                <w:sz w:val="24"/>
                <w:szCs w:val="24"/>
                <w:color w:val="auto"/>
              </w:rPr>
            </w:pPr>
          </w:p>
        </w:tc>
        <w:tc>
          <w:tcPr>
            <w:tcW w:w="6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21.8</w:t>
            </w:r>
          </w:p>
        </w:tc>
        <w:tc>
          <w:tcPr>
            <w:tcW w:w="80" w:type="dxa"/>
            <w:vAlign w:val="bottom"/>
            <w:shd w:val="clear" w:color="auto" w:fill="D2DCE5"/>
          </w:tcPr>
          <w:p>
            <w:pPr>
              <w:spacing w:after="0"/>
              <w:rPr>
                <w:sz w:val="24"/>
                <w:szCs w:val="24"/>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53,774</w:t>
            </w:r>
          </w:p>
        </w:tc>
        <w:tc>
          <w:tcPr>
            <w:tcW w:w="100" w:type="dxa"/>
            <w:vAlign w:val="bottom"/>
            <w:shd w:val="clear" w:color="auto" w:fill="D2DCE5"/>
          </w:tcPr>
          <w:p>
            <w:pPr>
              <w:spacing w:after="0"/>
              <w:rPr>
                <w:sz w:val="24"/>
                <w:szCs w:val="24"/>
                <w:color w:val="auto"/>
              </w:rPr>
            </w:pPr>
          </w:p>
        </w:tc>
        <w:tc>
          <w:tcPr>
            <w:tcW w:w="7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29.7</w:t>
            </w:r>
          </w:p>
        </w:tc>
        <w:tc>
          <w:tcPr>
            <w:tcW w:w="0" w:type="dxa"/>
            <w:vAlign w:val="bottom"/>
          </w:tcPr>
          <w:p>
            <w:pPr>
              <w:spacing w:after="0"/>
              <w:rPr>
                <w:sz w:val="1"/>
                <w:szCs w:val="1"/>
                <w:color w:val="auto"/>
              </w:rPr>
            </w:pPr>
          </w:p>
        </w:tc>
      </w:tr>
      <w:tr>
        <w:trPr>
          <w:trHeight w:val="91"/>
        </w:trPr>
        <w:tc>
          <w:tcPr>
            <w:tcW w:w="3380" w:type="dxa"/>
            <w:vAlign w:val="bottom"/>
            <w:shd w:val="clear" w:color="auto" w:fill="D2DCE5"/>
          </w:tcPr>
          <w:p>
            <w:pPr>
              <w:spacing w:after="0"/>
              <w:rPr>
                <w:sz w:val="7"/>
                <w:szCs w:val="7"/>
                <w:color w:val="auto"/>
              </w:rPr>
            </w:pPr>
          </w:p>
        </w:tc>
        <w:tc>
          <w:tcPr>
            <w:tcW w:w="200" w:type="dxa"/>
            <w:vAlign w:val="bottom"/>
            <w:shd w:val="clear" w:color="auto" w:fill="D2DCE5"/>
          </w:tcPr>
          <w:p>
            <w:pPr>
              <w:spacing w:after="0"/>
              <w:rPr>
                <w:sz w:val="7"/>
                <w:szCs w:val="7"/>
                <w:color w:val="auto"/>
              </w:rPr>
            </w:pPr>
          </w:p>
        </w:tc>
        <w:tc>
          <w:tcPr>
            <w:tcW w:w="104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680" w:type="dxa"/>
            <w:vAlign w:val="bottom"/>
            <w:vMerge w:val="continue"/>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240" w:type="dxa"/>
            <w:vAlign w:val="bottom"/>
            <w:shd w:val="clear" w:color="auto" w:fill="D2DCE5"/>
          </w:tcPr>
          <w:p>
            <w:pPr>
              <w:spacing w:after="0"/>
              <w:rPr>
                <w:sz w:val="7"/>
                <w:szCs w:val="7"/>
                <w:color w:val="auto"/>
              </w:rPr>
            </w:pPr>
          </w:p>
        </w:tc>
        <w:tc>
          <w:tcPr>
            <w:tcW w:w="840" w:type="dxa"/>
            <w:vAlign w:val="bottom"/>
            <w:vMerge w:val="continue"/>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120" w:type="dxa"/>
            <w:vAlign w:val="bottom"/>
            <w:shd w:val="clear" w:color="auto" w:fill="D2DCE5"/>
          </w:tcPr>
          <w:p>
            <w:pPr>
              <w:spacing w:after="0"/>
              <w:rPr>
                <w:sz w:val="7"/>
                <w:szCs w:val="7"/>
                <w:color w:val="auto"/>
              </w:rPr>
            </w:pPr>
          </w:p>
        </w:tc>
        <w:tc>
          <w:tcPr>
            <w:tcW w:w="56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106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680" w:type="dxa"/>
            <w:vAlign w:val="bottom"/>
            <w:vMerge w:val="continue"/>
            <w:shd w:val="clear" w:color="auto" w:fill="D2DCE5"/>
          </w:tcPr>
          <w:p>
            <w:pPr>
              <w:spacing w:after="0"/>
              <w:rPr>
                <w:sz w:val="7"/>
                <w:szCs w:val="7"/>
                <w:color w:val="auto"/>
              </w:rPr>
            </w:pPr>
          </w:p>
        </w:tc>
        <w:tc>
          <w:tcPr>
            <w:tcW w:w="80" w:type="dxa"/>
            <w:vAlign w:val="bottom"/>
            <w:shd w:val="clear" w:color="auto" w:fill="D2DCE5"/>
          </w:tcPr>
          <w:p>
            <w:pPr>
              <w:spacing w:after="0"/>
              <w:rPr>
                <w:sz w:val="7"/>
                <w:szCs w:val="7"/>
                <w:color w:val="auto"/>
              </w:rPr>
            </w:pPr>
          </w:p>
        </w:tc>
        <w:tc>
          <w:tcPr>
            <w:tcW w:w="1080" w:type="dxa"/>
            <w:vAlign w:val="bottom"/>
            <w:vMerge w:val="continue"/>
            <w:shd w:val="clear" w:color="auto" w:fill="D2DCE5"/>
          </w:tcPr>
          <w:p>
            <w:pPr>
              <w:spacing w:after="0"/>
              <w:rPr>
                <w:sz w:val="7"/>
                <w:szCs w:val="7"/>
                <w:color w:val="auto"/>
              </w:rPr>
            </w:pPr>
          </w:p>
        </w:tc>
        <w:tc>
          <w:tcPr>
            <w:tcW w:w="100" w:type="dxa"/>
            <w:vAlign w:val="bottom"/>
            <w:shd w:val="clear" w:color="auto" w:fill="D2DCE5"/>
          </w:tcPr>
          <w:p>
            <w:pPr>
              <w:spacing w:after="0"/>
              <w:rPr>
                <w:sz w:val="7"/>
                <w:szCs w:val="7"/>
                <w:color w:val="auto"/>
              </w:rPr>
            </w:pPr>
          </w:p>
        </w:tc>
        <w:tc>
          <w:tcPr>
            <w:tcW w:w="720" w:type="dxa"/>
            <w:vAlign w:val="bottom"/>
            <w:vMerge w:val="continue"/>
            <w:shd w:val="clear" w:color="auto" w:fill="D2DCE5"/>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38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104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68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240" w:type="dxa"/>
            <w:vAlign w:val="bottom"/>
            <w:shd w:val="clear" w:color="auto" w:fill="D2DCE5"/>
          </w:tcPr>
          <w:p>
            <w:pPr>
              <w:spacing w:after="0"/>
              <w:rPr>
                <w:sz w:val="2"/>
                <w:szCs w:val="2"/>
                <w:color w:val="auto"/>
              </w:rPr>
            </w:pPr>
          </w:p>
        </w:tc>
        <w:tc>
          <w:tcPr>
            <w:tcW w:w="84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5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68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10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72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ind w:left="180" w:hanging="172"/>
        <w:spacing w:after="0" w:line="278" w:lineRule="auto"/>
        <w:tabs>
          <w:tab w:leader="none" w:pos="174" w:val="left"/>
        </w:tabs>
        <w:numPr>
          <w:ilvl w:val="0"/>
          <w:numId w:val="21"/>
        </w:numPr>
        <w:rPr>
          <w:rFonts w:ascii="Arial" w:cs="Arial" w:eastAsia="Arial" w:hAnsi="Arial"/>
          <w:sz w:val="9"/>
          <w:szCs w:val="9"/>
          <w:color w:val="131E29"/>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Shop Segment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6"/>
          </w:tcPr>
          <w:p>
            <w:pPr>
              <w:jc w:val="right"/>
              <w:ind w:right="30"/>
              <w:spacing w:after="0"/>
              <w:rPr>
                <w:sz w:val="20"/>
                <w:szCs w:val="20"/>
                <w:color w:val="auto"/>
              </w:rPr>
            </w:pPr>
            <w:r>
              <w:rPr>
                <w:rFonts w:ascii="Arial" w:cs="Arial" w:eastAsia="Arial" w:hAnsi="Arial"/>
                <w:sz w:val="18"/>
                <w:szCs w:val="18"/>
                <w:b w:val="1"/>
                <w:bCs w:val="1"/>
                <w:color w:val="131E29"/>
              </w:rPr>
              <w:t>Three Months Ended 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7"/>
          </w:tcPr>
          <w:p>
            <w:pPr>
              <w:jc w:val="right"/>
              <w:ind w:right="75"/>
              <w:spacing w:after="0"/>
              <w:rPr>
                <w:sz w:val="20"/>
                <w:szCs w:val="20"/>
                <w:color w:val="auto"/>
              </w:rPr>
            </w:pPr>
            <w:r>
              <w:rPr>
                <w:rFonts w:ascii="Arial" w:cs="Arial" w:eastAsia="Arial" w:hAnsi="Arial"/>
                <w:sz w:val="18"/>
                <w:szCs w:val="18"/>
                <w:b w:val="1"/>
                <w:bCs w:val="1"/>
                <w:color w:val="131E29"/>
              </w:rPr>
              <w:t>Six Months Ended June 30,</w:t>
            </w:r>
          </w:p>
        </w:tc>
        <w:tc>
          <w:tcPr>
            <w:tcW w:w="820" w:type="dxa"/>
            <w:vAlign w:val="bottom"/>
          </w:tcPr>
          <w:p>
            <w:pPr>
              <w:spacing w:after="0"/>
              <w:rPr>
                <w:sz w:val="20"/>
                <w:szCs w:val="20"/>
                <w:color w:val="auto"/>
              </w:rPr>
            </w:pPr>
          </w:p>
        </w:tc>
      </w:tr>
      <w:tr>
        <w:trPr>
          <w:trHeight w:val="27"/>
        </w:trPr>
        <w:tc>
          <w:tcPr>
            <w:tcW w:w="250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38"/>
        </w:trPr>
        <w:tc>
          <w:tcPr>
            <w:tcW w:w="25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131E29"/>
              </w:rPr>
              <w:t>2022 v. 2021</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379"/>
              <w:spacing w:after="0"/>
              <w:rPr>
                <w:sz w:val="20"/>
                <w:szCs w:val="20"/>
                <w:color w:val="auto"/>
              </w:rPr>
            </w:pPr>
            <w:r>
              <w:rPr>
                <w:rFonts w:ascii="Arial" w:cs="Arial" w:eastAsia="Arial" w:hAnsi="Arial"/>
                <w:sz w:val="18"/>
                <w:szCs w:val="18"/>
                <w:b w:val="1"/>
                <w:bCs w:val="1"/>
                <w:color w:val="131E29"/>
              </w:rPr>
              <w:t>2022 v. 2021</w:t>
            </w:r>
          </w:p>
        </w:tc>
      </w:tr>
      <w:tr>
        <w:trPr>
          <w:trHeight w:val="26"/>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6"/>
        </w:trPr>
        <w:tc>
          <w:tcPr>
            <w:tcW w:w="2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w:t>
            </w:r>
          </w:p>
        </w:tc>
        <w:tc>
          <w:tcPr>
            <w:tcW w:w="10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0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8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900" w:type="dxa"/>
            <w:vAlign w:val="bottom"/>
            <w:shd w:val="clear" w:color="auto" w:fill="D2DCE5"/>
          </w:tcPr>
          <w:p>
            <w:pPr>
              <w:spacing w:after="0"/>
              <w:rPr>
                <w:sz w:val="20"/>
                <w:szCs w:val="20"/>
                <w:color w:val="auto"/>
              </w:rPr>
            </w:pPr>
          </w:p>
        </w:tc>
        <w:tc>
          <w:tcPr>
            <w:tcW w:w="820" w:type="dxa"/>
            <w:vAlign w:val="bottom"/>
            <w:shd w:val="clear" w:color="auto" w:fill="D2DCE5"/>
          </w:tcPr>
          <w:p>
            <w:pPr>
              <w:spacing w:after="0"/>
              <w:rPr>
                <w:sz w:val="20"/>
                <w:szCs w:val="20"/>
                <w:color w:val="auto"/>
              </w:rPr>
            </w:pPr>
          </w:p>
        </w:tc>
      </w:tr>
      <w:tr>
        <w:trPr>
          <w:trHeight w:val="244"/>
        </w:trPr>
        <w:tc>
          <w:tcPr>
            <w:tcW w:w="2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revenue</w:t>
            </w:r>
          </w:p>
        </w:tc>
        <w:tc>
          <w:tcPr>
            <w:tcW w:w="108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rPr>
              <w:t>$  160,512</w:t>
            </w:r>
          </w:p>
        </w:tc>
        <w:tc>
          <w:tcPr>
            <w:tcW w:w="80" w:type="dxa"/>
            <w:vAlign w:val="bottom"/>
            <w:shd w:val="clear" w:color="auto" w:fill="D2DCE5"/>
          </w:tcPr>
          <w:p>
            <w:pPr>
              <w:spacing w:after="0"/>
              <w:rPr>
                <w:sz w:val="21"/>
                <w:szCs w:val="21"/>
                <w:color w:val="auto"/>
              </w:rPr>
            </w:pPr>
          </w:p>
        </w:tc>
        <w:tc>
          <w:tcPr>
            <w:tcW w:w="108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  102,970</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4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rPr>
              <w:t>57,542</w:t>
            </w:r>
          </w:p>
        </w:tc>
        <w:tc>
          <w:tcPr>
            <w:tcW w:w="7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rPr>
              <w:t>55.9%</w:t>
            </w:r>
          </w:p>
        </w:tc>
        <w:tc>
          <w:tcPr>
            <w:tcW w:w="100" w:type="dxa"/>
            <w:vAlign w:val="bottom"/>
            <w:shd w:val="clear" w:color="auto" w:fill="D2DCE5"/>
          </w:tcPr>
          <w:p>
            <w:pPr>
              <w:spacing w:after="0"/>
              <w:rPr>
                <w:sz w:val="21"/>
                <w:szCs w:val="21"/>
                <w:color w:val="auto"/>
              </w:rPr>
            </w:pPr>
          </w:p>
        </w:tc>
        <w:tc>
          <w:tcPr>
            <w:tcW w:w="1080" w:type="dxa"/>
            <w:vAlign w:val="bottom"/>
            <w:shd w:val="clear" w:color="auto" w:fill="D2DCE5"/>
          </w:tcPr>
          <w:p>
            <w:pPr>
              <w:jc w:val="right"/>
              <w:ind w:right="12"/>
              <w:spacing w:after="0"/>
              <w:rPr>
                <w:sz w:val="20"/>
                <w:szCs w:val="20"/>
                <w:color w:val="auto"/>
              </w:rPr>
            </w:pPr>
            <w:r>
              <w:rPr>
                <w:rFonts w:ascii="Arial" w:cs="Arial" w:eastAsia="Arial" w:hAnsi="Arial"/>
                <w:sz w:val="16"/>
                <w:szCs w:val="16"/>
                <w:color w:val="131E29"/>
              </w:rPr>
              <w:t>$290,699</w:t>
            </w:r>
          </w:p>
        </w:tc>
        <w:tc>
          <w:tcPr>
            <w:tcW w:w="80" w:type="dxa"/>
            <w:vAlign w:val="bottom"/>
            <w:shd w:val="clear" w:color="auto" w:fill="D2DCE5"/>
          </w:tcPr>
          <w:p>
            <w:pPr>
              <w:spacing w:after="0"/>
              <w:rPr>
                <w:sz w:val="21"/>
                <w:szCs w:val="21"/>
                <w:color w:val="auto"/>
              </w:rPr>
            </w:pPr>
          </w:p>
        </w:tc>
        <w:tc>
          <w:tcPr>
            <w:tcW w:w="24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180,887</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900" w:type="dxa"/>
            <w:vAlign w:val="bottom"/>
            <w:shd w:val="clear" w:color="auto" w:fill="D2DCE5"/>
          </w:tcPr>
          <w:p>
            <w:pPr>
              <w:jc w:val="right"/>
              <w:ind w:right="95"/>
              <w:spacing w:after="0"/>
              <w:rPr>
                <w:sz w:val="20"/>
                <w:szCs w:val="20"/>
                <w:color w:val="auto"/>
              </w:rPr>
            </w:pPr>
            <w:r>
              <w:rPr>
                <w:rFonts w:ascii="Arial" w:cs="Arial" w:eastAsia="Arial" w:hAnsi="Arial"/>
                <w:sz w:val="16"/>
                <w:szCs w:val="16"/>
                <w:color w:val="131E29"/>
              </w:rPr>
              <w:t>109,812</w:t>
            </w:r>
          </w:p>
        </w:tc>
        <w:tc>
          <w:tcPr>
            <w:tcW w:w="82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rPr>
              <w:t>60.7%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revenue increase was driven by the following:</w:t>
      </w:r>
    </w:p>
    <w:p>
      <w:pPr>
        <w:spacing w:after="0" w:line="17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006098"/>
        </w:rPr>
      </w:pPr>
      <w:r>
        <w:rPr>
          <w:rFonts w:ascii="Arial" w:cs="Arial" w:eastAsia="Arial" w:hAnsi="Arial"/>
          <w:sz w:val="18"/>
          <w:szCs w:val="18"/>
          <w:color w:val="131E29"/>
        </w:rPr>
        <w:t>$61.8 million from company-operated shops opened during 2022 and 2021.</w:t>
      </w:r>
    </w:p>
    <w:p>
      <w:pPr>
        <w:spacing w:after="0" w:line="147" w:lineRule="exact"/>
        <w:rPr>
          <w:sz w:val="20"/>
          <w:szCs w:val="20"/>
          <w:color w:val="auto"/>
        </w:rPr>
      </w:pPr>
    </w:p>
    <w:p>
      <w:pPr>
        <w:ind w:left="340" w:right="440" w:hanging="332"/>
        <w:spacing w:after="0" w:line="225" w:lineRule="auto"/>
        <w:tabs>
          <w:tab w:leader="none" w:pos="288" w:val="left"/>
        </w:tabs>
        <w:numPr>
          <w:ilvl w:val="0"/>
          <w:numId w:val="23"/>
        </w:numPr>
        <w:rPr>
          <w:rFonts w:ascii="Arial" w:cs="Arial" w:eastAsia="Arial" w:hAnsi="Arial"/>
          <w:sz w:val="22"/>
          <w:szCs w:val="22"/>
          <w:b w:val="1"/>
          <w:bCs w:val="1"/>
          <w:color w:val="D7282F"/>
        </w:rPr>
      </w:pPr>
      <w:r>
        <w:rPr>
          <w:rFonts w:ascii="Arial" w:cs="Arial" w:eastAsia="Arial" w:hAnsi="Arial"/>
          <w:sz w:val="18"/>
          <w:szCs w:val="18"/>
          <w:color w:val="131E29"/>
        </w:rPr>
        <w:t>$4.3 million from a decline in same shop sales (4.3% for 2022) in the comparable shop base</w:t>
      </w:r>
      <w:r>
        <w:rPr>
          <w:rFonts w:ascii="Arial" w:cs="Arial" w:eastAsia="Arial" w:hAnsi="Arial"/>
          <w:sz w:val="23"/>
          <w:szCs w:val="23"/>
          <w:color w:val="131E29"/>
          <w:vertAlign w:val="superscript"/>
        </w:rPr>
        <w:t>1</w:t>
      </w:r>
      <w:r>
        <w:rPr>
          <w:rFonts w:ascii="Arial" w:cs="Arial" w:eastAsia="Arial" w:hAnsi="Arial"/>
          <w:sz w:val="18"/>
          <w:szCs w:val="18"/>
          <w:color w:val="131E29"/>
        </w:rPr>
        <w:t>, with decreased traffic stabilizing in the latter part of the three months ended June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In the three months ended June 30, 2022, menu prices increased on average 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30"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9"/>
          <w:szCs w:val="19"/>
          <w:color w:val="131E29"/>
          <w:vertAlign w:val="superscript"/>
        </w:rPr>
      </w:pPr>
      <w:r>
        <w:rPr>
          <w:rFonts w:ascii="Arial" w:cs="Arial" w:eastAsia="Arial" w:hAnsi="Arial"/>
          <w:sz w:val="14"/>
          <w:szCs w:val="14"/>
          <w:color w:val="131E29"/>
        </w:rPr>
        <w:t>For purposes of calculating company-operated same shop revenue, the revenue for 193 company-operated shops was included in the comparable shop base.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revenue increase was driven by the following:</w:t>
      </w:r>
    </w:p>
    <w:p>
      <w:pPr>
        <w:spacing w:after="0" w:line="17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b w:val="1"/>
          <w:bCs w:val="1"/>
          <w:color w:val="006098"/>
        </w:rPr>
      </w:pPr>
      <w:r>
        <w:rPr>
          <w:rFonts w:ascii="Arial" w:cs="Arial" w:eastAsia="Arial" w:hAnsi="Arial"/>
          <w:sz w:val="18"/>
          <w:szCs w:val="18"/>
          <w:color w:val="131E29"/>
        </w:rPr>
        <w:t>$110.6 million from company-operated shops opened during 2022 and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Beverage, Food and Packaging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Arial" w:cs="Arial" w:eastAsia="Arial" w:hAnsi="Arial"/>
                <w:sz w:val="18"/>
                <w:szCs w:val="18"/>
                <w:b w:val="1"/>
                <w:bCs w:val="1"/>
                <w:color w:val="131E29"/>
              </w:rPr>
              <w:t>Three Months Ended 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4"/>
          </w:tcPr>
          <w:p>
            <w:pPr>
              <w:ind w:left="60"/>
              <w:spacing w:after="0"/>
              <w:rPr>
                <w:sz w:val="20"/>
                <w:szCs w:val="20"/>
                <w:color w:val="auto"/>
              </w:rPr>
            </w:pPr>
            <w:r>
              <w:rPr>
                <w:rFonts w:ascii="Arial" w:cs="Arial" w:eastAsia="Arial" w:hAnsi="Arial"/>
                <w:sz w:val="18"/>
                <w:szCs w:val="18"/>
                <w:b w:val="1"/>
                <w:bCs w:val="1"/>
                <w:color w:val="131E29"/>
              </w:rPr>
              <w:t>Six Months Ended 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20" w:type="dxa"/>
            <w:vAlign w:val="bottom"/>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92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ind w:left="440"/>
              <w:spacing w:after="0"/>
              <w:rPr>
                <w:sz w:val="20"/>
                <w:szCs w:val="20"/>
                <w:color w:val="auto"/>
              </w:rPr>
            </w:pPr>
            <w:r>
              <w:rPr>
                <w:rFonts w:ascii="Arial" w:cs="Arial" w:eastAsia="Arial" w:hAnsi="Arial"/>
                <w:sz w:val="18"/>
                <w:szCs w:val="18"/>
                <w:b w:val="1"/>
                <w:bCs w:val="1"/>
                <w:color w:val="131E29"/>
              </w:rPr>
              <w:t>2022 v. 2021</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114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9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w:t>
            </w:r>
          </w:p>
        </w:tc>
        <w:tc>
          <w:tcPr>
            <w:tcW w:w="10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43,548</w:t>
            </w:r>
          </w:p>
        </w:tc>
        <w:tc>
          <w:tcPr>
            <w:tcW w:w="1080" w:type="dxa"/>
            <w:vAlign w:val="bottom"/>
            <w:gridSpan w:val="2"/>
            <w:vMerge w:val="restart"/>
            <w:shd w:val="clear" w:color="auto" w:fill="D2DCE5"/>
          </w:tcPr>
          <w:p>
            <w:pPr>
              <w:jc w:val="right"/>
              <w:ind w:right="80"/>
              <w:spacing w:after="0"/>
              <w:rPr>
                <w:sz w:val="20"/>
                <w:szCs w:val="20"/>
                <w:color w:val="auto"/>
              </w:rPr>
            </w:pPr>
            <w:r>
              <w:rPr>
                <w:rFonts w:ascii="Arial" w:cs="Arial" w:eastAsia="Arial" w:hAnsi="Arial"/>
                <w:sz w:val="18"/>
                <w:szCs w:val="18"/>
                <w:color w:val="131E29"/>
              </w:rPr>
              <w:t>$   25,520</w:t>
            </w:r>
          </w:p>
        </w:tc>
        <w:tc>
          <w:tcPr>
            <w:tcW w:w="80" w:type="dxa"/>
            <w:vAlign w:val="bottom"/>
            <w:shd w:val="clear" w:color="auto" w:fill="D2DCE5"/>
          </w:tcPr>
          <w:p>
            <w:pPr>
              <w:spacing w:after="0"/>
              <w:rPr>
                <w:sz w:val="18"/>
                <w:szCs w:val="18"/>
                <w:color w:val="auto"/>
              </w:rPr>
            </w:pPr>
          </w:p>
        </w:tc>
        <w:tc>
          <w:tcPr>
            <w:tcW w:w="24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200" w:type="dxa"/>
            <w:vAlign w:val="bottom"/>
            <w:vMerge w:val="restart"/>
            <w:shd w:val="clear" w:color="auto" w:fill="D2DCE5"/>
          </w:tcPr>
          <w:p>
            <w:pPr>
              <w:ind w:left="120"/>
              <w:spacing w:after="0"/>
              <w:rPr>
                <w:sz w:val="20"/>
                <w:szCs w:val="20"/>
                <w:color w:val="auto"/>
              </w:rPr>
            </w:pPr>
            <w:r>
              <w:rPr>
                <w:rFonts w:ascii="Arial" w:cs="Arial" w:eastAsia="Arial" w:hAnsi="Arial"/>
                <w:sz w:val="18"/>
                <w:szCs w:val="18"/>
                <w:color w:val="131E29"/>
              </w:rPr>
              <w:t>18,028</w:t>
            </w:r>
          </w:p>
        </w:tc>
        <w:tc>
          <w:tcPr>
            <w:tcW w:w="940" w:type="dxa"/>
            <w:vAlign w:val="bottom"/>
            <w:vMerge w:val="restart"/>
            <w:shd w:val="clear" w:color="auto" w:fill="D2DCE5"/>
          </w:tcPr>
          <w:p>
            <w:pPr>
              <w:jc w:val="right"/>
              <w:ind w:right="310"/>
              <w:spacing w:after="0"/>
              <w:rPr>
                <w:sz w:val="20"/>
                <w:szCs w:val="20"/>
                <w:color w:val="auto"/>
              </w:rPr>
            </w:pPr>
            <w:r>
              <w:rPr>
                <w:rFonts w:ascii="Arial" w:cs="Arial" w:eastAsia="Arial" w:hAnsi="Arial"/>
                <w:sz w:val="18"/>
                <w:szCs w:val="18"/>
                <w:color w:val="131E29"/>
              </w:rPr>
              <w:t>70.6%</w:t>
            </w:r>
          </w:p>
        </w:tc>
        <w:tc>
          <w:tcPr>
            <w:tcW w:w="100" w:type="dxa"/>
            <w:vAlign w:val="bottom"/>
            <w:shd w:val="clear" w:color="auto" w:fill="D2DCE5"/>
          </w:tcPr>
          <w:p>
            <w:pPr>
              <w:spacing w:after="0"/>
              <w:rPr>
                <w:sz w:val="18"/>
                <w:szCs w:val="18"/>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79,170</w:t>
            </w:r>
          </w:p>
        </w:tc>
        <w:tc>
          <w:tcPr>
            <w:tcW w:w="80" w:type="dxa"/>
            <w:vAlign w:val="bottom"/>
            <w:shd w:val="clear" w:color="auto" w:fill="D2DCE5"/>
          </w:tcPr>
          <w:p>
            <w:pPr>
              <w:spacing w:after="0"/>
              <w:rPr>
                <w:sz w:val="18"/>
                <w:szCs w:val="18"/>
                <w:color w:val="auto"/>
              </w:rPr>
            </w:pPr>
          </w:p>
        </w:tc>
        <w:tc>
          <w:tcPr>
            <w:tcW w:w="1040" w:type="dxa"/>
            <w:vAlign w:val="bottom"/>
            <w:vMerge w:val="restart"/>
            <w:shd w:val="clear" w:color="auto" w:fill="D2DCE5"/>
          </w:tcPr>
          <w:p>
            <w:pPr>
              <w:ind w:left="20"/>
              <w:spacing w:after="0"/>
              <w:rPr>
                <w:sz w:val="20"/>
                <w:szCs w:val="20"/>
                <w:color w:val="auto"/>
              </w:rPr>
            </w:pPr>
            <w:r>
              <w:rPr>
                <w:rFonts w:ascii="Arial" w:cs="Arial" w:eastAsia="Arial" w:hAnsi="Arial"/>
                <w:sz w:val="18"/>
                <w:szCs w:val="18"/>
                <w:color w:val="131E29"/>
              </w:rPr>
              <w:t>$   43,718</w:t>
            </w:r>
          </w:p>
        </w:tc>
        <w:tc>
          <w:tcPr>
            <w:tcW w:w="80" w:type="dxa"/>
            <w:vAlign w:val="bottom"/>
            <w:shd w:val="clear" w:color="auto" w:fill="D2DCE5"/>
          </w:tcPr>
          <w:p>
            <w:pPr>
              <w:spacing w:after="0"/>
              <w:rPr>
                <w:sz w:val="18"/>
                <w:szCs w:val="18"/>
                <w:color w:val="auto"/>
              </w:rPr>
            </w:pPr>
          </w:p>
        </w:tc>
        <w:tc>
          <w:tcPr>
            <w:tcW w:w="260" w:type="dxa"/>
            <w:vAlign w:val="bottom"/>
            <w:vMerge w:val="restart"/>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140" w:type="dxa"/>
            <w:vAlign w:val="bottom"/>
            <w:vMerge w:val="restart"/>
            <w:shd w:val="clear" w:color="auto" w:fill="D2DCE5"/>
          </w:tcPr>
          <w:p>
            <w:pPr>
              <w:jc w:val="right"/>
              <w:ind w:right="350"/>
              <w:spacing w:after="0"/>
              <w:rPr>
                <w:sz w:val="20"/>
                <w:szCs w:val="20"/>
                <w:color w:val="auto"/>
              </w:rPr>
            </w:pPr>
            <w:r>
              <w:rPr>
                <w:rFonts w:ascii="Arial" w:cs="Arial" w:eastAsia="Arial" w:hAnsi="Arial"/>
                <w:sz w:val="18"/>
                <w:szCs w:val="18"/>
                <w:color w:val="131E29"/>
              </w:rPr>
              <w:t>35,452</w:t>
            </w:r>
          </w:p>
        </w:tc>
        <w:tc>
          <w:tcPr>
            <w:tcW w:w="1040" w:type="dxa"/>
            <w:vAlign w:val="bottom"/>
            <w:vMerge w:val="restart"/>
            <w:shd w:val="clear" w:color="auto" w:fill="D2DCE5"/>
          </w:tcPr>
          <w:p>
            <w:pPr>
              <w:jc w:val="right"/>
              <w:ind w:right="310"/>
              <w:spacing w:after="0"/>
              <w:rPr>
                <w:sz w:val="20"/>
                <w:szCs w:val="20"/>
                <w:color w:val="auto"/>
              </w:rPr>
            </w:pPr>
            <w:r>
              <w:rPr>
                <w:rFonts w:ascii="Arial" w:cs="Arial" w:eastAsia="Arial" w:hAnsi="Arial"/>
                <w:sz w:val="18"/>
                <w:szCs w:val="18"/>
                <w:color w:val="131E29"/>
              </w:rPr>
              <w:t>81.1%</w:t>
            </w:r>
          </w:p>
        </w:tc>
        <w:tc>
          <w:tcPr>
            <w:tcW w:w="0" w:type="dxa"/>
            <w:vAlign w:val="bottom"/>
          </w:tcPr>
          <w:p>
            <w:pPr>
              <w:spacing w:after="0"/>
              <w:rPr>
                <w:sz w:val="1"/>
                <w:szCs w:val="1"/>
                <w:color w:val="auto"/>
              </w:rPr>
            </w:pPr>
          </w:p>
        </w:tc>
      </w:tr>
      <w:tr>
        <w:trPr>
          <w:trHeight w:val="208"/>
        </w:trPr>
        <w:tc>
          <w:tcPr>
            <w:tcW w:w="1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packaging costs</w:t>
            </w:r>
          </w:p>
        </w:tc>
        <w:tc>
          <w:tcPr>
            <w:tcW w:w="1000" w:type="dxa"/>
            <w:vAlign w:val="bottom"/>
            <w:tcBorders>
              <w:bottom w:val="single" w:sz="8" w:color="D2DCE5"/>
            </w:tcBorders>
            <w:vMerge w:val="continue"/>
            <w:shd w:val="clear" w:color="auto" w:fill="D2DCE5"/>
          </w:tcPr>
          <w:p>
            <w:pPr>
              <w:spacing w:after="0"/>
              <w:rPr>
                <w:sz w:val="18"/>
                <w:szCs w:val="18"/>
                <w:color w:val="auto"/>
              </w:rPr>
            </w:pPr>
          </w:p>
        </w:tc>
        <w:tc>
          <w:tcPr>
            <w:tcW w:w="1080" w:type="dxa"/>
            <w:vAlign w:val="bottom"/>
            <w:tcBorders>
              <w:bottom w:val="single" w:sz="8" w:color="D2DCE5"/>
            </w:tcBorders>
            <w:gridSpan w:val="2"/>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vMerge w:val="continue"/>
            <w:shd w:val="clear" w:color="auto" w:fill="D2DCE5"/>
          </w:tcPr>
          <w:p>
            <w:pPr>
              <w:spacing w:after="0"/>
              <w:rPr>
                <w:sz w:val="18"/>
                <w:szCs w:val="18"/>
                <w:color w:val="auto"/>
              </w:rPr>
            </w:pPr>
          </w:p>
        </w:tc>
        <w:tc>
          <w:tcPr>
            <w:tcW w:w="1200" w:type="dxa"/>
            <w:vAlign w:val="bottom"/>
            <w:tcBorders>
              <w:bottom w:val="single" w:sz="8" w:color="D2DCE5"/>
            </w:tcBorders>
            <w:vMerge w:val="continue"/>
            <w:shd w:val="clear" w:color="auto" w:fill="D2DCE5"/>
          </w:tcPr>
          <w:p>
            <w:pPr>
              <w:spacing w:after="0"/>
              <w:rPr>
                <w:sz w:val="18"/>
                <w:szCs w:val="18"/>
                <w:color w:val="auto"/>
              </w:rPr>
            </w:pPr>
          </w:p>
        </w:tc>
        <w:tc>
          <w:tcPr>
            <w:tcW w:w="94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D2DCE5"/>
            </w:tcBorders>
            <w:vMerge w:val="continue"/>
            <w:shd w:val="clear" w:color="auto" w:fill="D2DCE5"/>
          </w:tcPr>
          <w:p>
            <w:pPr>
              <w:spacing w:after="0"/>
              <w:rPr>
                <w:sz w:val="18"/>
                <w:szCs w:val="18"/>
                <w:color w:val="auto"/>
              </w:rPr>
            </w:pPr>
          </w:p>
        </w:tc>
        <w:tc>
          <w:tcPr>
            <w:tcW w:w="1140" w:type="dxa"/>
            <w:vAlign w:val="bottom"/>
            <w:tcBorders>
              <w:bottom w:val="single" w:sz="8" w:color="D2DCE5"/>
            </w:tcBorders>
            <w:vMerge w:val="continue"/>
            <w:shd w:val="clear" w:color="auto" w:fill="D2DCE5"/>
          </w:tcPr>
          <w:p>
            <w:pPr>
              <w:spacing w:after="0"/>
              <w:rPr>
                <w:sz w:val="18"/>
                <w:szCs w:val="18"/>
                <w:color w:val="auto"/>
              </w:rPr>
            </w:pPr>
          </w:p>
        </w:tc>
        <w:tc>
          <w:tcPr>
            <w:tcW w:w="1040" w:type="dxa"/>
            <w:vAlign w:val="bottom"/>
            <w:tcBorders>
              <w:bottom w:val="single" w:sz="8" w:color="D2DCE5"/>
            </w:tcBorders>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131E29"/>
              </w:rPr>
              <w:t>27.1%</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131E29"/>
              </w:rPr>
              <w:t>24.8%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Arial" w:cs="Arial" w:eastAsia="Arial" w:hAnsi="Arial"/>
                <w:sz w:val="18"/>
                <w:szCs w:val="18"/>
                <w:color w:val="131E29"/>
              </w:rPr>
              <w:t>N/A</w:t>
            </w:r>
          </w:p>
        </w:tc>
        <w:tc>
          <w:tcPr>
            <w:tcW w:w="1040" w:type="dxa"/>
            <w:vAlign w:val="bottom"/>
            <w:gridSpan w:val="2"/>
            <w:vMerge w:val="restart"/>
          </w:tcPr>
          <w:p>
            <w:pPr>
              <w:ind w:left="280"/>
              <w:spacing w:after="0"/>
              <w:rPr>
                <w:sz w:val="20"/>
                <w:szCs w:val="20"/>
                <w:color w:val="auto"/>
              </w:rPr>
            </w:pPr>
            <w:r>
              <w:rPr>
                <w:rFonts w:ascii="Arial" w:cs="Arial" w:eastAsia="Arial" w:hAnsi="Arial"/>
                <w:sz w:val="18"/>
                <w:szCs w:val="18"/>
                <w:color w:val="131E29"/>
              </w:rPr>
              <w:t>230 bps</w:t>
            </w: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131E29"/>
              </w:rPr>
              <w:t>27.2%</w:t>
            </w:r>
          </w:p>
        </w:tc>
        <w:tc>
          <w:tcPr>
            <w:tcW w:w="80" w:type="dxa"/>
            <w:vAlign w:val="bottom"/>
          </w:tcPr>
          <w:p>
            <w:pPr>
              <w:spacing w:after="0"/>
              <w:rPr>
                <w:sz w:val="17"/>
                <w:szCs w:val="17"/>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131E29"/>
              </w:rPr>
              <w:t>24.2%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vMerge w:val="restart"/>
          </w:tcPr>
          <w:p>
            <w:pPr>
              <w:jc w:val="right"/>
              <w:ind w:right="630"/>
              <w:spacing w:after="0"/>
              <w:rPr>
                <w:sz w:val="20"/>
                <w:szCs w:val="20"/>
                <w:color w:val="auto"/>
              </w:rPr>
            </w:pPr>
            <w:r>
              <w:rPr>
                <w:rFonts w:ascii="Arial" w:cs="Arial" w:eastAsia="Arial" w:hAnsi="Arial"/>
                <w:sz w:val="18"/>
                <w:szCs w:val="18"/>
                <w:color w:val="131E29"/>
              </w:rPr>
              <w:t>N/A</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131E29"/>
              </w:rPr>
              <w:t>300 bps</w:t>
            </w:r>
          </w:p>
        </w:tc>
        <w:tc>
          <w:tcPr>
            <w:tcW w:w="0" w:type="dxa"/>
            <w:vAlign w:val="bottom"/>
          </w:tcPr>
          <w:p>
            <w:pPr>
              <w:spacing w:after="0"/>
              <w:rPr>
                <w:sz w:val="1"/>
                <w:szCs w:val="1"/>
                <w:color w:val="auto"/>
              </w:rPr>
            </w:pPr>
          </w:p>
        </w:tc>
      </w:tr>
      <w:tr>
        <w:trPr>
          <w:trHeight w:val="217"/>
        </w:trPr>
        <w:tc>
          <w:tcPr>
            <w:tcW w:w="192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w:t>
            </w:r>
          </w:p>
        </w:tc>
        <w:tc>
          <w:tcPr>
            <w:tcW w:w="10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beverage, food and packaging costs impacts for the year-over-year comparison,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60" w:type="dxa"/>
            <w:vAlign w:val="bottom"/>
          </w:tcPr>
          <w:p>
            <w:pPr>
              <w:spacing w:after="0"/>
              <w:rPr>
                <w:sz w:val="20"/>
                <w:szCs w:val="20"/>
                <w:color w:val="auto"/>
              </w:rPr>
            </w:pPr>
          </w:p>
        </w:tc>
        <w:tc>
          <w:tcPr>
            <w:tcW w:w="980" w:type="dxa"/>
            <w:vAlign w:val="bottom"/>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36"/>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13,434</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Higher ingredient costs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5,059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320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(1,173)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Higher new shop operating inefficiencies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116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10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Other costs</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592</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3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tcPr>
          <w:p>
            <w:pPr>
              <w:jc w:val="right"/>
              <w:spacing w:after="0"/>
              <w:rPr>
                <w:sz w:val="20"/>
                <w:szCs w:val="20"/>
                <w:color w:val="auto"/>
              </w:rPr>
            </w:pPr>
            <w:r>
              <w:rPr>
                <w:rFonts w:ascii="Arial" w:cs="Arial" w:eastAsia="Arial" w:hAnsi="Arial"/>
                <w:sz w:val="16"/>
                <w:szCs w:val="16"/>
                <w:color w:val="131E29"/>
              </w:rPr>
              <w:t>(130)</w:t>
            </w:r>
          </w:p>
        </w:tc>
      </w:tr>
      <w:tr>
        <w:trPr>
          <w:trHeight w:val="246"/>
        </w:trPr>
        <w:tc>
          <w:tcPr>
            <w:tcW w:w="8400" w:type="dxa"/>
            <w:vAlign w:val="bottom"/>
            <w:tcBorders>
              <w:bottom w:val="single" w:sz="8" w:color="131E29"/>
            </w:tcBorders>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80" w:type="dxa"/>
            <w:vAlign w:val="bottom"/>
            <w:shd w:val="clear" w:color="auto" w:fill="D2DCE5"/>
          </w:tcPr>
          <w:p>
            <w:pPr>
              <w:spacing w:after="0"/>
              <w:rPr>
                <w:sz w:val="21"/>
                <w:szCs w:val="21"/>
                <w:color w:val="auto"/>
              </w:rPr>
            </w:pPr>
          </w:p>
        </w:tc>
        <w:tc>
          <w:tcPr>
            <w:tcW w:w="360" w:type="dxa"/>
            <w:vAlign w:val="bottom"/>
            <w:tcBorders>
              <w:bottom w:val="single" w:sz="8" w:color="131E29"/>
            </w:tcBorders>
            <w:shd w:val="clear" w:color="auto" w:fill="D2DCE5"/>
          </w:tcPr>
          <w:p>
            <w:pPr>
              <w:spacing w:after="0"/>
              <w:rPr>
                <w:sz w:val="21"/>
                <w:szCs w:val="21"/>
                <w:color w:val="auto"/>
              </w:rPr>
            </w:pPr>
          </w:p>
        </w:tc>
        <w:tc>
          <w:tcPr>
            <w:tcW w:w="980" w:type="dxa"/>
            <w:vAlign w:val="bottom"/>
            <w:tcBorders>
              <w:bottom w:val="single" w:sz="8" w:color="131E29"/>
            </w:tcBorders>
            <w:shd w:val="clear" w:color="auto" w:fill="D2DCE5"/>
          </w:tcPr>
          <w:p>
            <w:pPr>
              <w:ind w:left="700"/>
              <w:spacing w:after="0"/>
              <w:rPr>
                <w:sz w:val="20"/>
                <w:szCs w:val="20"/>
                <w:color w:val="auto"/>
              </w:rPr>
            </w:pPr>
            <w:r>
              <w:rPr>
                <w:rFonts w:ascii="Arial" w:cs="Arial" w:eastAsia="Arial" w:hAnsi="Arial"/>
                <w:sz w:val="16"/>
                <w:szCs w:val="16"/>
                <w:color w:val="131E29"/>
                <w:w w:val="97"/>
              </w:rPr>
              <w:t>N/A</w:t>
            </w:r>
          </w:p>
        </w:tc>
        <w:tc>
          <w:tcPr>
            <w:tcW w:w="100" w:type="dxa"/>
            <w:vAlign w:val="bottom"/>
            <w:shd w:val="clear" w:color="auto" w:fill="D2DCE5"/>
          </w:tcPr>
          <w:p>
            <w:pPr>
              <w:spacing w:after="0"/>
              <w:rPr>
                <w:sz w:val="21"/>
                <w:szCs w:val="21"/>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color w:val="131E29"/>
              </w:rPr>
              <w:t>10</w:t>
            </w:r>
          </w:p>
        </w:tc>
      </w:tr>
      <w:tr>
        <w:trPr>
          <w:trHeight w:val="236"/>
        </w:trPr>
        <w:tc>
          <w:tcPr>
            <w:tcW w:w="8400" w:type="dxa"/>
            <w:vAlign w:val="bottom"/>
            <w:tcBorders>
              <w:bottom w:val="single" w:sz="8" w:color="131E29"/>
            </w:tcBorders>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tcPr>
          <w:p>
            <w:pPr>
              <w:spacing w:after="0"/>
              <w:rPr>
                <w:sz w:val="20"/>
                <w:szCs w:val="20"/>
                <w:color w:val="auto"/>
              </w:rPr>
            </w:pPr>
          </w:p>
        </w:tc>
        <w:tc>
          <w:tcPr>
            <w:tcW w:w="360" w:type="dxa"/>
            <w:vAlign w:val="bottom"/>
            <w:tcBorders>
              <w:bottom w:val="single" w:sz="8" w:color="131E29"/>
            </w:tcBorders>
          </w:tcPr>
          <w:p>
            <w:pPr>
              <w:jc w:val="right"/>
              <w:ind w:right="159"/>
              <w:spacing w:after="0"/>
              <w:rPr>
                <w:sz w:val="20"/>
                <w:szCs w:val="20"/>
                <w:color w:val="auto"/>
              </w:rPr>
            </w:pPr>
            <w:r>
              <w:rPr>
                <w:rFonts w:ascii="Arial" w:cs="Arial" w:eastAsia="Arial" w:hAnsi="Arial"/>
                <w:sz w:val="16"/>
                <w:szCs w:val="16"/>
                <w:b w:val="1"/>
                <w:bCs w:val="1"/>
                <w:color w:val="131E29"/>
              </w:rPr>
              <w:t>$</w:t>
            </w:r>
          </w:p>
        </w:tc>
        <w:tc>
          <w:tcPr>
            <w:tcW w:w="98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18,028</w:t>
            </w:r>
          </w:p>
        </w:tc>
        <w:tc>
          <w:tcPr>
            <w:tcW w:w="100" w:type="dxa"/>
            <w:vAlign w:val="bottom"/>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230</w:t>
            </w: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beverage, food and packaging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536"/>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b w:val="1"/>
                <w:bCs w:val="1"/>
                <w:color w:val="131E29"/>
              </w:rPr>
              <w:t>BPS</w:t>
            </w: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0" w:type="dxa"/>
            <w:vAlign w:val="bottom"/>
            <w:tcBorders>
              <w:bottom w:val="single" w:sz="8" w:color="131E29"/>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1020" w:type="dxa"/>
            <w:vAlign w:val="bottom"/>
            <w:shd w:val="clear" w:color="auto" w:fill="D2DCE5"/>
          </w:tcPr>
          <w:p>
            <w:pPr>
              <w:spacing w:after="0"/>
              <w:rPr>
                <w:sz w:val="22"/>
                <w:szCs w:val="22"/>
                <w:color w:val="auto"/>
              </w:rPr>
            </w:pPr>
          </w:p>
        </w:tc>
        <w:tc>
          <w:tcPr>
            <w:tcW w:w="40" w:type="dxa"/>
            <w:vAlign w:val="bottom"/>
            <w:shd w:val="clear" w:color="auto" w:fill="D2DCE5"/>
          </w:tcPr>
          <w:p>
            <w:pPr>
              <w:spacing w:after="0"/>
              <w:rPr>
                <w:sz w:val="22"/>
                <w:szCs w:val="22"/>
                <w:color w:val="auto"/>
              </w:rPr>
            </w:pPr>
          </w:p>
        </w:tc>
        <w:tc>
          <w:tcPr>
            <w:tcW w:w="60" w:type="dxa"/>
            <w:vAlign w:val="bottom"/>
            <w:shd w:val="clear" w:color="auto" w:fill="D2DCE5"/>
          </w:tcPr>
          <w:p>
            <w:pPr>
              <w:spacing w:after="0"/>
              <w:rPr>
                <w:sz w:val="22"/>
                <w:szCs w:val="22"/>
                <w:color w:val="auto"/>
              </w:rPr>
            </w:pPr>
          </w:p>
        </w:tc>
        <w:tc>
          <w:tcPr>
            <w:tcW w:w="9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1240" w:type="dxa"/>
            <w:vAlign w:val="bottom"/>
            <w:shd w:val="clear" w:color="auto" w:fill="D2DCE5"/>
          </w:tcPr>
          <w:p>
            <w:pPr>
              <w:spacing w:after="0"/>
              <w:rPr>
                <w:sz w:val="22"/>
                <w:szCs w:val="22"/>
                <w:color w:val="auto"/>
              </w:rPr>
            </w:pPr>
          </w:p>
        </w:tc>
        <w:tc>
          <w:tcPr>
            <w:tcW w:w="100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104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62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4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20" w:type="dxa"/>
            <w:vAlign w:val="bottom"/>
            <w:shd w:val="clear" w:color="auto" w:fill="D2DCE5"/>
          </w:tcPr>
          <w:p>
            <w:pPr>
              <w:spacing w:after="0"/>
              <w:rPr>
                <w:sz w:val="22"/>
                <w:szCs w:val="22"/>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25,641</w:t>
            </w:r>
          </w:p>
        </w:tc>
        <w:tc>
          <w:tcPr>
            <w:tcW w:w="100" w:type="dxa"/>
            <w:vAlign w:val="bottom"/>
            <w:shd w:val="clear" w:color="auto" w:fill="D2DCE5"/>
          </w:tcPr>
          <w:p>
            <w:pPr>
              <w:spacing w:after="0"/>
              <w:rPr>
                <w:sz w:val="22"/>
                <w:szCs w:val="22"/>
                <w:color w:val="auto"/>
              </w:rPr>
            </w:pPr>
          </w:p>
        </w:tc>
        <w:tc>
          <w:tcPr>
            <w:tcW w:w="300" w:type="dxa"/>
            <w:vAlign w:val="bottom"/>
            <w:shd w:val="clear" w:color="auto" w:fill="D2DCE5"/>
          </w:tcPr>
          <w:p>
            <w:pPr>
              <w:spacing w:after="0"/>
              <w:rPr>
                <w:sz w:val="22"/>
                <w:szCs w:val="22"/>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260"/>
        </w:trPr>
        <w:tc>
          <w:tcPr>
            <w:tcW w:w="1880" w:type="dxa"/>
            <w:vAlign w:val="bottom"/>
            <w:gridSpan w:val="2"/>
          </w:tcPr>
          <w:p>
            <w:pPr>
              <w:ind w:left="20"/>
              <w:spacing w:after="0"/>
              <w:rPr>
                <w:sz w:val="20"/>
                <w:szCs w:val="20"/>
                <w:color w:val="auto"/>
              </w:rPr>
            </w:pPr>
            <w:r>
              <w:rPr>
                <w:rFonts w:ascii="Arial" w:cs="Arial" w:eastAsia="Arial" w:hAnsi="Arial"/>
                <w:sz w:val="16"/>
                <w:szCs w:val="16"/>
                <w:color w:val="131E29"/>
              </w:rPr>
              <w:t>Higher ingredient costs</w:t>
            </w: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31E29"/>
              </w:rPr>
              <w:t>11,270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380</w:t>
            </w:r>
          </w:p>
        </w:tc>
        <w:tc>
          <w:tcPr>
            <w:tcW w:w="0" w:type="dxa"/>
            <w:vAlign w:val="bottom"/>
          </w:tcPr>
          <w:p>
            <w:pPr>
              <w:spacing w:after="0"/>
              <w:rPr>
                <w:sz w:val="1"/>
                <w:szCs w:val="1"/>
                <w:color w:val="auto"/>
              </w:rPr>
            </w:pPr>
          </w:p>
        </w:tc>
      </w:tr>
      <w:tr>
        <w:trPr>
          <w:trHeight w:val="280"/>
        </w:trPr>
        <w:tc>
          <w:tcPr>
            <w:tcW w:w="18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2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60" w:type="dxa"/>
            <w:vAlign w:val="bottom"/>
            <w:shd w:val="clear" w:color="auto" w:fill="D2DCE5"/>
          </w:tcPr>
          <w:p>
            <w:pPr>
              <w:spacing w:after="0"/>
              <w:rPr>
                <w:sz w:val="24"/>
                <w:szCs w:val="24"/>
                <w:color w:val="auto"/>
              </w:rPr>
            </w:pPr>
          </w:p>
        </w:tc>
        <w:tc>
          <w:tcPr>
            <w:tcW w:w="98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240" w:type="dxa"/>
            <w:vAlign w:val="bottom"/>
            <w:shd w:val="clear" w:color="auto" w:fill="D2DCE5"/>
          </w:tcPr>
          <w:p>
            <w:pPr>
              <w:spacing w:after="0"/>
              <w:rPr>
                <w:sz w:val="24"/>
                <w:szCs w:val="24"/>
                <w:color w:val="auto"/>
              </w:rPr>
            </w:pPr>
          </w:p>
        </w:tc>
        <w:tc>
          <w:tcPr>
            <w:tcW w:w="100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104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6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(2,797)</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spacing w:after="0"/>
              <w:rPr>
                <w:sz w:val="24"/>
                <w:szCs w:val="24"/>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N/A</w:t>
            </w:r>
          </w:p>
        </w:tc>
        <w:tc>
          <w:tcPr>
            <w:tcW w:w="0" w:type="dxa"/>
            <w:vAlign w:val="bottom"/>
          </w:tcPr>
          <w:p>
            <w:pPr>
              <w:spacing w:after="0"/>
              <w:rPr>
                <w:sz w:val="1"/>
                <w:szCs w:val="1"/>
                <w:color w:val="auto"/>
              </w:rPr>
            </w:pPr>
          </w:p>
        </w:tc>
      </w:tr>
      <w:tr>
        <w:trPr>
          <w:trHeight w:val="260"/>
        </w:trPr>
        <w:tc>
          <w:tcPr>
            <w:tcW w:w="2940" w:type="dxa"/>
            <w:vAlign w:val="bottom"/>
            <w:gridSpan w:val="4"/>
          </w:tcPr>
          <w:p>
            <w:pPr>
              <w:ind w:left="20"/>
              <w:spacing w:after="0"/>
              <w:rPr>
                <w:sz w:val="20"/>
                <w:szCs w:val="20"/>
                <w:color w:val="auto"/>
              </w:rPr>
            </w:pPr>
            <w:r>
              <w:rPr>
                <w:rFonts w:ascii="Arial" w:cs="Arial" w:eastAsia="Arial" w:hAnsi="Arial"/>
                <w:sz w:val="16"/>
                <w:szCs w:val="16"/>
                <w:color w:val="131E29"/>
              </w:rPr>
              <w:t>Higher new shop operating inefficiencies</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31E29"/>
              </w:rPr>
              <w:t>746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20</w:t>
            </w:r>
          </w:p>
        </w:tc>
        <w:tc>
          <w:tcPr>
            <w:tcW w:w="0" w:type="dxa"/>
            <w:vAlign w:val="bottom"/>
          </w:tcPr>
          <w:p>
            <w:pPr>
              <w:spacing w:after="0"/>
              <w:rPr>
                <w:sz w:val="1"/>
                <w:szCs w:val="1"/>
                <w:color w:val="auto"/>
              </w:rPr>
            </w:pPr>
          </w:p>
        </w:tc>
      </w:tr>
      <w:tr>
        <w:trPr>
          <w:trHeight w:val="280"/>
        </w:trPr>
        <w:tc>
          <w:tcPr>
            <w:tcW w:w="18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Other costs</w:t>
            </w:r>
          </w:p>
        </w:tc>
        <w:tc>
          <w:tcPr>
            <w:tcW w:w="1020" w:type="dxa"/>
            <w:vAlign w:val="bottom"/>
            <w:shd w:val="clear" w:color="auto" w:fill="D2DCE5"/>
          </w:tcPr>
          <w:p>
            <w:pPr>
              <w:spacing w:after="0"/>
              <w:rPr>
                <w:sz w:val="24"/>
                <w:szCs w:val="24"/>
                <w:color w:val="auto"/>
              </w:rPr>
            </w:pPr>
          </w:p>
        </w:tc>
        <w:tc>
          <w:tcPr>
            <w:tcW w:w="40" w:type="dxa"/>
            <w:vAlign w:val="bottom"/>
            <w:shd w:val="clear" w:color="auto" w:fill="D2DCE5"/>
          </w:tcPr>
          <w:p>
            <w:pPr>
              <w:spacing w:after="0"/>
              <w:rPr>
                <w:sz w:val="24"/>
                <w:szCs w:val="24"/>
                <w:color w:val="auto"/>
              </w:rPr>
            </w:pPr>
          </w:p>
        </w:tc>
        <w:tc>
          <w:tcPr>
            <w:tcW w:w="60" w:type="dxa"/>
            <w:vAlign w:val="bottom"/>
            <w:shd w:val="clear" w:color="auto" w:fill="D2DCE5"/>
          </w:tcPr>
          <w:p>
            <w:pPr>
              <w:spacing w:after="0"/>
              <w:rPr>
                <w:sz w:val="24"/>
                <w:szCs w:val="24"/>
                <w:color w:val="auto"/>
              </w:rPr>
            </w:pPr>
          </w:p>
        </w:tc>
        <w:tc>
          <w:tcPr>
            <w:tcW w:w="98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1240" w:type="dxa"/>
            <w:vAlign w:val="bottom"/>
            <w:shd w:val="clear" w:color="auto" w:fill="D2DCE5"/>
          </w:tcPr>
          <w:p>
            <w:pPr>
              <w:spacing w:after="0"/>
              <w:rPr>
                <w:sz w:val="24"/>
                <w:szCs w:val="24"/>
                <w:color w:val="auto"/>
              </w:rPr>
            </w:pPr>
          </w:p>
        </w:tc>
        <w:tc>
          <w:tcPr>
            <w:tcW w:w="100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1040" w:type="dxa"/>
            <w:vAlign w:val="bottom"/>
            <w:shd w:val="clear" w:color="auto" w:fill="D2DCE5"/>
          </w:tcPr>
          <w:p>
            <w:pPr>
              <w:spacing w:after="0"/>
              <w:rPr>
                <w:sz w:val="24"/>
                <w:szCs w:val="24"/>
                <w:color w:val="auto"/>
              </w:rPr>
            </w:pPr>
          </w:p>
        </w:tc>
        <w:tc>
          <w:tcPr>
            <w:tcW w:w="100" w:type="dxa"/>
            <w:vAlign w:val="bottom"/>
            <w:shd w:val="clear" w:color="auto" w:fill="D2DCE5"/>
          </w:tcPr>
          <w:p>
            <w:pPr>
              <w:spacing w:after="0"/>
              <w:rPr>
                <w:sz w:val="24"/>
                <w:szCs w:val="24"/>
                <w:color w:val="auto"/>
              </w:rPr>
            </w:pPr>
          </w:p>
        </w:tc>
        <w:tc>
          <w:tcPr>
            <w:tcW w:w="6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4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592</w:t>
            </w:r>
          </w:p>
        </w:tc>
        <w:tc>
          <w:tcPr>
            <w:tcW w:w="100" w:type="dxa"/>
            <w:vAlign w:val="bottom"/>
            <w:shd w:val="clear" w:color="auto" w:fill="D2DCE5"/>
          </w:tcPr>
          <w:p>
            <w:pPr>
              <w:spacing w:after="0"/>
              <w:rPr>
                <w:sz w:val="24"/>
                <w:szCs w:val="24"/>
                <w:color w:val="auto"/>
              </w:rPr>
            </w:pPr>
          </w:p>
        </w:tc>
        <w:tc>
          <w:tcPr>
            <w:tcW w:w="300" w:type="dxa"/>
            <w:vAlign w:val="bottom"/>
            <w:shd w:val="clear" w:color="auto" w:fill="D2DCE5"/>
          </w:tcPr>
          <w:p>
            <w:pPr>
              <w:spacing w:after="0"/>
              <w:rPr>
                <w:sz w:val="24"/>
                <w:szCs w:val="24"/>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w:t>
            </w:r>
          </w:p>
        </w:tc>
        <w:tc>
          <w:tcPr>
            <w:tcW w:w="0" w:type="dxa"/>
            <w:vAlign w:val="bottom"/>
          </w:tcPr>
          <w:p>
            <w:pPr>
              <w:spacing w:after="0"/>
              <w:rPr>
                <w:sz w:val="1"/>
                <w:szCs w:val="1"/>
                <w:color w:val="auto"/>
              </w:rPr>
            </w:pPr>
          </w:p>
        </w:tc>
      </w:tr>
      <w:tr>
        <w:trPr>
          <w:trHeight w:val="260"/>
        </w:trPr>
        <w:tc>
          <w:tcPr>
            <w:tcW w:w="188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6"/>
                <w:szCs w:val="16"/>
                <w:color w:val="131E2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(100)</w:t>
            </w:r>
          </w:p>
        </w:tc>
        <w:tc>
          <w:tcPr>
            <w:tcW w:w="0" w:type="dxa"/>
            <w:vAlign w:val="bottom"/>
          </w:tcPr>
          <w:p>
            <w:pPr>
              <w:spacing w:after="0"/>
              <w:rPr>
                <w:sz w:val="1"/>
                <w:szCs w:val="1"/>
                <w:color w:val="auto"/>
              </w:rPr>
            </w:pPr>
          </w:p>
        </w:tc>
      </w:tr>
      <w:tr>
        <w:trPr>
          <w:trHeight w:val="273"/>
        </w:trPr>
        <w:tc>
          <w:tcPr>
            <w:tcW w:w="1880" w:type="dxa"/>
            <w:vAlign w:val="bottom"/>
            <w:tcBorders>
              <w:bottom w:val="single" w:sz="8" w:color="131E29"/>
            </w:tcBorders>
            <w:gridSpan w:val="2"/>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1020" w:type="dxa"/>
            <w:vAlign w:val="bottom"/>
            <w:tcBorders>
              <w:bottom w:val="single" w:sz="8" w:color="131E29"/>
            </w:tcBorders>
            <w:shd w:val="clear" w:color="auto" w:fill="D2DCE5"/>
          </w:tcPr>
          <w:p>
            <w:pPr>
              <w:spacing w:after="0"/>
              <w:rPr>
                <w:sz w:val="23"/>
                <w:szCs w:val="23"/>
                <w:color w:val="auto"/>
              </w:rPr>
            </w:pPr>
          </w:p>
        </w:tc>
        <w:tc>
          <w:tcPr>
            <w:tcW w:w="40" w:type="dxa"/>
            <w:vAlign w:val="bottom"/>
            <w:tcBorders>
              <w:bottom w:val="single" w:sz="8" w:color="131E29"/>
            </w:tcBorders>
            <w:shd w:val="clear" w:color="auto" w:fill="D2DCE5"/>
          </w:tcPr>
          <w:p>
            <w:pPr>
              <w:spacing w:after="0"/>
              <w:rPr>
                <w:sz w:val="23"/>
                <w:szCs w:val="23"/>
                <w:color w:val="auto"/>
              </w:rPr>
            </w:pPr>
          </w:p>
        </w:tc>
        <w:tc>
          <w:tcPr>
            <w:tcW w:w="60" w:type="dxa"/>
            <w:vAlign w:val="bottom"/>
            <w:tcBorders>
              <w:bottom w:val="single" w:sz="8" w:color="131E29"/>
            </w:tcBorders>
            <w:shd w:val="clear" w:color="auto" w:fill="D2DCE5"/>
          </w:tcPr>
          <w:p>
            <w:pPr>
              <w:spacing w:after="0"/>
              <w:rPr>
                <w:sz w:val="23"/>
                <w:szCs w:val="23"/>
                <w:color w:val="auto"/>
              </w:rPr>
            </w:pPr>
          </w:p>
        </w:tc>
        <w:tc>
          <w:tcPr>
            <w:tcW w:w="980" w:type="dxa"/>
            <w:vAlign w:val="bottom"/>
            <w:tcBorders>
              <w:bottom w:val="single" w:sz="8" w:color="131E29"/>
            </w:tcBorders>
            <w:shd w:val="clear" w:color="auto" w:fill="D2DCE5"/>
          </w:tcPr>
          <w:p>
            <w:pPr>
              <w:spacing w:after="0"/>
              <w:rPr>
                <w:sz w:val="23"/>
                <w:szCs w:val="23"/>
                <w:color w:val="auto"/>
              </w:rPr>
            </w:pPr>
          </w:p>
        </w:tc>
        <w:tc>
          <w:tcPr>
            <w:tcW w:w="100" w:type="dxa"/>
            <w:vAlign w:val="bottom"/>
            <w:tcBorders>
              <w:bottom w:val="single" w:sz="8" w:color="131E29"/>
            </w:tcBorders>
            <w:shd w:val="clear" w:color="auto" w:fill="D2DCE5"/>
          </w:tcPr>
          <w:p>
            <w:pPr>
              <w:spacing w:after="0"/>
              <w:rPr>
                <w:sz w:val="23"/>
                <w:szCs w:val="23"/>
                <w:color w:val="auto"/>
              </w:rPr>
            </w:pPr>
          </w:p>
        </w:tc>
        <w:tc>
          <w:tcPr>
            <w:tcW w:w="240" w:type="dxa"/>
            <w:vAlign w:val="bottom"/>
            <w:tcBorders>
              <w:bottom w:val="single" w:sz="8" w:color="131E29"/>
            </w:tcBorders>
            <w:shd w:val="clear" w:color="auto" w:fill="D2DCE5"/>
          </w:tcPr>
          <w:p>
            <w:pPr>
              <w:spacing w:after="0"/>
              <w:rPr>
                <w:sz w:val="23"/>
                <w:szCs w:val="23"/>
                <w:color w:val="auto"/>
              </w:rPr>
            </w:pPr>
          </w:p>
        </w:tc>
        <w:tc>
          <w:tcPr>
            <w:tcW w:w="1240" w:type="dxa"/>
            <w:vAlign w:val="bottom"/>
            <w:tcBorders>
              <w:bottom w:val="single" w:sz="8" w:color="131E29"/>
            </w:tcBorders>
            <w:shd w:val="clear" w:color="auto" w:fill="D2DCE5"/>
          </w:tcPr>
          <w:p>
            <w:pPr>
              <w:spacing w:after="0"/>
              <w:rPr>
                <w:sz w:val="23"/>
                <w:szCs w:val="23"/>
                <w:color w:val="auto"/>
              </w:rPr>
            </w:pPr>
          </w:p>
        </w:tc>
        <w:tc>
          <w:tcPr>
            <w:tcW w:w="1000" w:type="dxa"/>
            <w:vAlign w:val="bottom"/>
            <w:tcBorders>
              <w:bottom w:val="single" w:sz="8" w:color="131E29"/>
            </w:tcBorders>
            <w:shd w:val="clear" w:color="auto" w:fill="D2DCE5"/>
          </w:tcPr>
          <w:p>
            <w:pPr>
              <w:spacing w:after="0"/>
              <w:rPr>
                <w:sz w:val="23"/>
                <w:szCs w:val="23"/>
                <w:color w:val="auto"/>
              </w:rPr>
            </w:pPr>
          </w:p>
        </w:tc>
        <w:tc>
          <w:tcPr>
            <w:tcW w:w="80" w:type="dxa"/>
            <w:vAlign w:val="bottom"/>
            <w:tcBorders>
              <w:bottom w:val="single" w:sz="8" w:color="131E29"/>
            </w:tcBorders>
            <w:shd w:val="clear" w:color="auto" w:fill="D2DCE5"/>
          </w:tcPr>
          <w:p>
            <w:pPr>
              <w:spacing w:after="0"/>
              <w:rPr>
                <w:sz w:val="23"/>
                <w:szCs w:val="23"/>
                <w:color w:val="auto"/>
              </w:rPr>
            </w:pPr>
          </w:p>
        </w:tc>
        <w:tc>
          <w:tcPr>
            <w:tcW w:w="1040" w:type="dxa"/>
            <w:vAlign w:val="bottom"/>
            <w:tcBorders>
              <w:bottom w:val="single" w:sz="8" w:color="131E29"/>
            </w:tcBorders>
            <w:shd w:val="clear" w:color="auto" w:fill="D2DCE5"/>
          </w:tcPr>
          <w:p>
            <w:pPr>
              <w:spacing w:after="0"/>
              <w:rPr>
                <w:sz w:val="23"/>
                <w:szCs w:val="23"/>
                <w:color w:val="auto"/>
              </w:rPr>
            </w:pPr>
          </w:p>
        </w:tc>
        <w:tc>
          <w:tcPr>
            <w:tcW w:w="100" w:type="dxa"/>
            <w:vAlign w:val="bottom"/>
            <w:tcBorders>
              <w:bottom w:val="single" w:sz="8" w:color="131E29"/>
            </w:tcBorders>
            <w:shd w:val="clear" w:color="auto" w:fill="D2DCE5"/>
          </w:tcPr>
          <w:p>
            <w:pPr>
              <w:spacing w:after="0"/>
              <w:rPr>
                <w:sz w:val="23"/>
                <w:szCs w:val="23"/>
                <w:color w:val="auto"/>
              </w:rPr>
            </w:pPr>
          </w:p>
        </w:tc>
        <w:tc>
          <w:tcPr>
            <w:tcW w:w="620" w:type="dxa"/>
            <w:vAlign w:val="bottom"/>
            <w:tcBorders>
              <w:bottom w:val="single" w:sz="8" w:color="131E29"/>
            </w:tcBorders>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40" w:type="dxa"/>
            <w:vAlign w:val="bottom"/>
            <w:tcBorders>
              <w:bottom w:val="single" w:sz="8" w:color="131E29"/>
            </w:tcBorders>
            <w:shd w:val="clear" w:color="auto" w:fill="D2DCE5"/>
          </w:tcPr>
          <w:p>
            <w:pPr>
              <w:spacing w:after="0"/>
              <w:rPr>
                <w:sz w:val="23"/>
                <w:szCs w:val="23"/>
                <w:color w:val="auto"/>
              </w:rPr>
            </w:pPr>
          </w:p>
        </w:tc>
        <w:tc>
          <w:tcPr>
            <w:tcW w:w="80" w:type="dxa"/>
            <w:vAlign w:val="bottom"/>
            <w:tcBorders>
              <w:bottom w:val="single" w:sz="8" w:color="131E29"/>
            </w:tcBorders>
            <w:shd w:val="clear" w:color="auto" w:fill="D2DCE5"/>
          </w:tcPr>
          <w:p>
            <w:pPr>
              <w:spacing w:after="0"/>
              <w:rPr>
                <w:sz w:val="23"/>
                <w:szCs w:val="23"/>
                <w:color w:val="auto"/>
              </w:rPr>
            </w:pPr>
          </w:p>
        </w:tc>
        <w:tc>
          <w:tcPr>
            <w:tcW w:w="220" w:type="dxa"/>
            <w:vAlign w:val="bottom"/>
            <w:tcBorders>
              <w:bottom w:val="single" w:sz="8" w:color="131E29"/>
            </w:tcBorders>
            <w:shd w:val="clear" w:color="auto" w:fill="D2DCE5"/>
          </w:tcPr>
          <w:p>
            <w:pPr>
              <w:spacing w:after="0"/>
              <w:rPr>
                <w:sz w:val="23"/>
                <w:szCs w:val="23"/>
                <w:color w:val="auto"/>
              </w:rPr>
            </w:pPr>
          </w:p>
        </w:tc>
        <w:tc>
          <w:tcPr>
            <w:tcW w:w="8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100" w:type="dxa"/>
            <w:vAlign w:val="bottom"/>
            <w:shd w:val="clear" w:color="auto" w:fill="D2DCE5"/>
          </w:tcPr>
          <w:p>
            <w:pPr>
              <w:spacing w:after="0"/>
              <w:rPr>
                <w:sz w:val="23"/>
                <w:szCs w:val="23"/>
                <w:color w:val="auto"/>
              </w:rPr>
            </w:pPr>
          </w:p>
        </w:tc>
        <w:tc>
          <w:tcPr>
            <w:tcW w:w="300" w:type="dxa"/>
            <w:vAlign w:val="bottom"/>
            <w:tcBorders>
              <w:bottom w:val="single" w:sz="8" w:color="131E29"/>
            </w:tcBorders>
            <w:shd w:val="clear" w:color="auto" w:fill="D2DCE5"/>
          </w:tcPr>
          <w:p>
            <w:pPr>
              <w:spacing w:after="0"/>
              <w:rPr>
                <w:sz w:val="23"/>
                <w:szCs w:val="23"/>
                <w:color w:val="auto"/>
              </w:rPr>
            </w:pPr>
          </w:p>
        </w:tc>
        <w:tc>
          <w:tcPr>
            <w:tcW w:w="10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c>
          <w:tcPr>
            <w:tcW w:w="0" w:type="dxa"/>
            <w:vAlign w:val="bottom"/>
          </w:tcPr>
          <w:p>
            <w:pPr>
              <w:spacing w:after="0"/>
              <w:rPr>
                <w:sz w:val="1"/>
                <w:szCs w:val="1"/>
                <w:color w:val="auto"/>
              </w:rPr>
            </w:pPr>
          </w:p>
        </w:tc>
      </w:tr>
      <w:tr>
        <w:trPr>
          <w:trHeight w:val="236"/>
        </w:trPr>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131E29"/>
              </w:rPr>
              <w:t>Total change</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131E29"/>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131E29"/>
              </w:rPr>
              <w:t>35,452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131E29"/>
              </w:rPr>
              <w:t>300</w:t>
            </w:r>
          </w:p>
        </w:tc>
        <w:tc>
          <w:tcPr>
            <w:tcW w:w="0" w:type="dxa"/>
            <w:vAlign w:val="bottom"/>
          </w:tcPr>
          <w:p>
            <w:pPr>
              <w:spacing w:after="0"/>
              <w:rPr>
                <w:sz w:val="1"/>
                <w:szCs w:val="1"/>
                <w:color w:val="auto"/>
              </w:rPr>
            </w:pPr>
          </w:p>
        </w:tc>
      </w:tr>
      <w:tr>
        <w:trPr>
          <w:trHeight w:val="473"/>
        </w:trPr>
        <w:tc>
          <w:tcPr>
            <w:tcW w:w="1880" w:type="dxa"/>
            <w:vAlign w:val="bottom"/>
            <w:tcBorders>
              <w:top w:val="single" w:sz="8" w:color="131E29"/>
            </w:tcBorders>
            <w:gridSpan w:val="2"/>
          </w:tcPr>
          <w:p>
            <w:pPr>
              <w:spacing w:after="0"/>
              <w:rPr>
                <w:sz w:val="20"/>
                <w:szCs w:val="20"/>
                <w:color w:val="auto"/>
              </w:rPr>
            </w:pPr>
            <w:r>
              <w:rPr>
                <w:rFonts w:ascii="Arial" w:cs="Arial" w:eastAsia="Arial" w:hAnsi="Arial"/>
                <w:sz w:val="18"/>
                <w:szCs w:val="18"/>
                <w:b w:val="1"/>
                <w:bCs w:val="1"/>
                <w:i w:val="1"/>
                <w:iCs w:val="1"/>
                <w:color w:val="006098"/>
              </w:rPr>
              <w:t>Labor Costs</w:t>
            </w:r>
          </w:p>
        </w:tc>
        <w:tc>
          <w:tcPr>
            <w:tcW w:w="1020" w:type="dxa"/>
            <w:vAlign w:val="bottom"/>
            <w:tcBorders>
              <w:top w:val="single" w:sz="8" w:color="131E29"/>
            </w:tcBorders>
          </w:tcPr>
          <w:p>
            <w:pPr>
              <w:spacing w:after="0"/>
              <w:rPr>
                <w:sz w:val="24"/>
                <w:szCs w:val="24"/>
                <w:color w:val="auto"/>
              </w:rPr>
            </w:pPr>
          </w:p>
        </w:tc>
        <w:tc>
          <w:tcPr>
            <w:tcW w:w="40" w:type="dxa"/>
            <w:vAlign w:val="bottom"/>
            <w:tcBorders>
              <w:top w:val="single" w:sz="8" w:color="131E29"/>
            </w:tcBorders>
          </w:tcPr>
          <w:p>
            <w:pPr>
              <w:spacing w:after="0"/>
              <w:rPr>
                <w:sz w:val="24"/>
                <w:szCs w:val="24"/>
                <w:color w:val="auto"/>
              </w:rPr>
            </w:pPr>
          </w:p>
        </w:tc>
        <w:tc>
          <w:tcPr>
            <w:tcW w:w="60" w:type="dxa"/>
            <w:vAlign w:val="bottom"/>
            <w:tcBorders>
              <w:top w:val="single" w:sz="8" w:color="131E29"/>
            </w:tcBorders>
          </w:tcPr>
          <w:p>
            <w:pPr>
              <w:spacing w:after="0"/>
              <w:rPr>
                <w:sz w:val="24"/>
                <w:szCs w:val="24"/>
                <w:color w:val="auto"/>
              </w:rPr>
            </w:pPr>
          </w:p>
        </w:tc>
        <w:tc>
          <w:tcPr>
            <w:tcW w:w="98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40" w:type="dxa"/>
            <w:vAlign w:val="bottom"/>
            <w:tcBorders>
              <w:top w:val="single" w:sz="8" w:color="131E29"/>
            </w:tcBorders>
          </w:tcPr>
          <w:p>
            <w:pPr>
              <w:spacing w:after="0"/>
              <w:rPr>
                <w:sz w:val="24"/>
                <w:szCs w:val="24"/>
                <w:color w:val="auto"/>
              </w:rPr>
            </w:pPr>
          </w:p>
        </w:tc>
        <w:tc>
          <w:tcPr>
            <w:tcW w:w="1240" w:type="dxa"/>
            <w:vAlign w:val="bottom"/>
            <w:tcBorders>
              <w:top w:val="single" w:sz="8" w:color="131E29"/>
            </w:tcBorders>
          </w:tcPr>
          <w:p>
            <w:pPr>
              <w:spacing w:after="0"/>
              <w:rPr>
                <w:sz w:val="24"/>
                <w:szCs w:val="24"/>
                <w:color w:val="auto"/>
              </w:rPr>
            </w:pPr>
          </w:p>
        </w:tc>
        <w:tc>
          <w:tcPr>
            <w:tcW w:w="100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04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620" w:type="dxa"/>
            <w:vAlign w:val="bottom"/>
            <w:tcBorders>
              <w:top w:val="single" w:sz="8" w:color="131E29"/>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220" w:type="dxa"/>
            <w:vAlign w:val="bottom"/>
            <w:tcBorders>
              <w:top w:val="single" w:sz="8" w:color="131E29"/>
            </w:tcBorders>
          </w:tcPr>
          <w:p>
            <w:pPr>
              <w:spacing w:after="0"/>
              <w:rPr>
                <w:sz w:val="24"/>
                <w:szCs w:val="24"/>
                <w:color w:val="auto"/>
              </w:rPr>
            </w:pPr>
          </w:p>
        </w:tc>
        <w:tc>
          <w:tcPr>
            <w:tcW w:w="80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131E29"/>
            </w:tcBorders>
          </w:tcPr>
          <w:p>
            <w:pPr>
              <w:spacing w:after="0"/>
              <w:rPr>
                <w:sz w:val="24"/>
                <w:szCs w:val="24"/>
                <w:color w:val="auto"/>
              </w:rPr>
            </w:pPr>
          </w:p>
        </w:tc>
        <w:tc>
          <w:tcPr>
            <w:tcW w:w="1020" w:type="dxa"/>
            <w:vAlign w:val="bottom"/>
            <w:tcBorders>
              <w:top w:val="single" w:sz="8" w:color="131E29"/>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131E29"/>
                <w:w w:val="98"/>
              </w:rPr>
              <w:t>Three Months Ended June 30,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8"/>
          </w:tcPr>
          <w:p>
            <w:pPr>
              <w:spacing w:after="0"/>
              <w:rPr>
                <w:sz w:val="20"/>
                <w:szCs w:val="20"/>
                <w:color w:val="auto"/>
              </w:rPr>
            </w:pPr>
            <w:r>
              <w:rPr>
                <w:rFonts w:ascii="Arial" w:cs="Arial" w:eastAsia="Arial" w:hAnsi="Arial"/>
                <w:sz w:val="18"/>
                <w:szCs w:val="18"/>
                <w:b w:val="1"/>
                <w:bCs w:val="1"/>
                <w:color w:val="131E29"/>
              </w:rPr>
              <w:t>Six Months Ended June 30,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80" w:type="dxa"/>
            <w:vAlign w:val="bottom"/>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8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4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3"/>
          </w:tcPr>
          <w:p>
            <w:pPr>
              <w:ind w:left="480"/>
              <w:spacing w:after="0"/>
              <w:rPr>
                <w:sz w:val="20"/>
                <w:szCs w:val="20"/>
                <w:color w:val="auto"/>
              </w:rPr>
            </w:pPr>
            <w:r>
              <w:rPr>
                <w:rFonts w:ascii="Arial" w:cs="Arial" w:eastAsia="Arial" w:hAnsi="Arial"/>
                <w:sz w:val="18"/>
                <w:szCs w:val="18"/>
                <w:b w:val="1"/>
                <w:bCs w:val="1"/>
                <w:color w:val="131E29"/>
              </w:rPr>
              <w:t>2022 v. 2021</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131E29"/>
              </w:rPr>
              <w:t>2021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D2DCE5"/>
            </w:tcBorders>
          </w:tcPr>
          <w:p>
            <w:pPr>
              <w:spacing w:after="0"/>
              <w:rPr>
                <w:sz w:val="2"/>
                <w:szCs w:val="2"/>
                <w:color w:val="auto"/>
              </w:rPr>
            </w:pPr>
          </w:p>
        </w:tc>
        <w:tc>
          <w:tcPr>
            <w:tcW w:w="60" w:type="dxa"/>
            <w:vAlign w:val="bottom"/>
            <w:tcBorders>
              <w:bottom w:val="single" w:sz="8" w:color="D2DCE5"/>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240" w:type="dxa"/>
            <w:vAlign w:val="bottom"/>
            <w:tcBorders>
              <w:bottom w:val="single" w:sz="8" w:color="131E29"/>
            </w:tcBorders>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131E29"/>
            </w:tcBorders>
            <w:gridSpan w:val="3"/>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8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Labor costs</w:t>
            </w:r>
          </w:p>
        </w:tc>
        <w:tc>
          <w:tcPr>
            <w:tcW w:w="10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   47,240</w:t>
            </w:r>
          </w:p>
        </w:tc>
        <w:tc>
          <w:tcPr>
            <w:tcW w:w="40" w:type="dxa"/>
            <w:vAlign w:val="bottom"/>
            <w:shd w:val="clear" w:color="auto" w:fill="D2DCE5"/>
          </w:tcPr>
          <w:p>
            <w:pPr>
              <w:spacing w:after="0"/>
              <w:rPr>
                <w:sz w:val="22"/>
                <w:szCs w:val="22"/>
                <w:color w:val="auto"/>
              </w:rPr>
            </w:pPr>
          </w:p>
        </w:tc>
        <w:tc>
          <w:tcPr>
            <w:tcW w:w="104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   29,048</w:t>
            </w:r>
          </w:p>
        </w:tc>
        <w:tc>
          <w:tcPr>
            <w:tcW w:w="100" w:type="dxa"/>
            <w:vAlign w:val="bottom"/>
            <w:shd w:val="clear" w:color="auto" w:fill="D2DCE5"/>
          </w:tcPr>
          <w:p>
            <w:pPr>
              <w:spacing w:after="0"/>
              <w:rPr>
                <w:sz w:val="22"/>
                <w:szCs w:val="22"/>
                <w:color w:val="auto"/>
              </w:rPr>
            </w:pPr>
          </w:p>
        </w:tc>
        <w:tc>
          <w:tcPr>
            <w:tcW w:w="24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w w:val="79"/>
              </w:rPr>
              <w:t>$</w:t>
            </w:r>
          </w:p>
        </w:tc>
        <w:tc>
          <w:tcPr>
            <w:tcW w:w="1240" w:type="dxa"/>
            <w:vAlign w:val="bottom"/>
            <w:shd w:val="clear" w:color="auto" w:fill="D2DCE5"/>
          </w:tcPr>
          <w:p>
            <w:pPr>
              <w:jc w:val="right"/>
              <w:ind w:right="450"/>
              <w:spacing w:after="0"/>
              <w:rPr>
                <w:sz w:val="20"/>
                <w:szCs w:val="20"/>
                <w:color w:val="auto"/>
              </w:rPr>
            </w:pPr>
            <w:r>
              <w:rPr>
                <w:rFonts w:ascii="Arial" w:cs="Arial" w:eastAsia="Arial" w:hAnsi="Arial"/>
                <w:sz w:val="18"/>
                <w:szCs w:val="18"/>
                <w:color w:val="131E29"/>
              </w:rPr>
              <w:t>18,192</w:t>
            </w:r>
          </w:p>
        </w:tc>
        <w:tc>
          <w:tcPr>
            <w:tcW w:w="1000" w:type="dxa"/>
            <w:vAlign w:val="bottom"/>
            <w:shd w:val="clear" w:color="auto" w:fill="D2DCE5"/>
          </w:tcPr>
          <w:p>
            <w:pPr>
              <w:jc w:val="right"/>
              <w:ind w:right="350"/>
              <w:spacing w:after="0"/>
              <w:rPr>
                <w:sz w:val="20"/>
                <w:szCs w:val="20"/>
                <w:color w:val="auto"/>
              </w:rPr>
            </w:pPr>
            <w:r>
              <w:rPr>
                <w:rFonts w:ascii="Arial" w:cs="Arial" w:eastAsia="Arial" w:hAnsi="Arial"/>
                <w:sz w:val="18"/>
                <w:szCs w:val="18"/>
                <w:color w:val="131E29"/>
              </w:rPr>
              <w:t>62.6%</w:t>
            </w:r>
          </w:p>
        </w:tc>
        <w:tc>
          <w:tcPr>
            <w:tcW w:w="80" w:type="dxa"/>
            <w:vAlign w:val="bottom"/>
            <w:shd w:val="clear" w:color="auto" w:fill="D2DCE5"/>
          </w:tcPr>
          <w:p>
            <w:pPr>
              <w:spacing w:after="0"/>
              <w:rPr>
                <w:sz w:val="22"/>
                <w:szCs w:val="22"/>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   89,001</w:t>
            </w:r>
          </w:p>
        </w:tc>
        <w:tc>
          <w:tcPr>
            <w:tcW w:w="100" w:type="dxa"/>
            <w:vAlign w:val="bottom"/>
            <w:shd w:val="clear" w:color="auto" w:fill="D2DCE5"/>
          </w:tcPr>
          <w:p>
            <w:pPr>
              <w:spacing w:after="0"/>
              <w:rPr>
                <w:sz w:val="22"/>
                <w:szCs w:val="22"/>
                <w:color w:val="auto"/>
              </w:rPr>
            </w:pPr>
          </w:p>
        </w:tc>
        <w:tc>
          <w:tcPr>
            <w:tcW w:w="940" w:type="dxa"/>
            <w:vAlign w:val="bottom"/>
            <w:gridSpan w:val="3"/>
            <w:shd w:val="clear" w:color="auto" w:fill="D2DCE5"/>
          </w:tcPr>
          <w:p>
            <w:pPr>
              <w:spacing w:after="0"/>
              <w:rPr>
                <w:sz w:val="20"/>
                <w:szCs w:val="20"/>
                <w:color w:val="auto"/>
              </w:rPr>
            </w:pPr>
            <w:r>
              <w:rPr>
                <w:rFonts w:ascii="Arial" w:cs="Arial" w:eastAsia="Arial" w:hAnsi="Arial"/>
                <w:sz w:val="18"/>
                <w:szCs w:val="18"/>
                <w:color w:val="131E29"/>
              </w:rPr>
              <w:t>$  54,388</w:t>
            </w:r>
          </w:p>
        </w:tc>
        <w:tc>
          <w:tcPr>
            <w:tcW w:w="80" w:type="dxa"/>
            <w:vAlign w:val="bottom"/>
            <w:shd w:val="clear" w:color="auto" w:fill="D2DCE5"/>
          </w:tcPr>
          <w:p>
            <w:pPr>
              <w:spacing w:after="0"/>
              <w:rPr>
                <w:sz w:val="22"/>
                <w:szCs w:val="22"/>
                <w:color w:val="auto"/>
              </w:rPr>
            </w:pPr>
          </w:p>
        </w:tc>
        <w:tc>
          <w:tcPr>
            <w:tcW w:w="22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34,613</w:t>
            </w:r>
          </w:p>
        </w:tc>
        <w:tc>
          <w:tcPr>
            <w:tcW w:w="100" w:type="dxa"/>
            <w:vAlign w:val="bottom"/>
            <w:shd w:val="clear" w:color="auto" w:fill="D2DCE5"/>
          </w:tcPr>
          <w:p>
            <w:pPr>
              <w:spacing w:after="0"/>
              <w:rPr>
                <w:sz w:val="22"/>
                <w:szCs w:val="22"/>
                <w:color w:val="auto"/>
              </w:rPr>
            </w:pPr>
          </w:p>
        </w:tc>
        <w:tc>
          <w:tcPr>
            <w:tcW w:w="300" w:type="dxa"/>
            <w:vAlign w:val="bottom"/>
            <w:shd w:val="clear" w:color="auto" w:fill="D2DCE5"/>
          </w:tcPr>
          <w:p>
            <w:pPr>
              <w:spacing w:after="0"/>
              <w:rPr>
                <w:sz w:val="22"/>
                <w:szCs w:val="22"/>
                <w:color w:val="auto"/>
              </w:rPr>
            </w:pPr>
          </w:p>
        </w:tc>
        <w:tc>
          <w:tcPr>
            <w:tcW w:w="1020" w:type="dxa"/>
            <w:vAlign w:val="bottom"/>
            <w:shd w:val="clear" w:color="auto" w:fill="D2DCE5"/>
          </w:tcPr>
          <w:p>
            <w:pPr>
              <w:jc w:val="right"/>
              <w:ind w:right="311"/>
              <w:spacing w:after="0"/>
              <w:rPr>
                <w:sz w:val="20"/>
                <w:szCs w:val="20"/>
                <w:color w:val="auto"/>
              </w:rPr>
            </w:pPr>
            <w:r>
              <w:rPr>
                <w:rFonts w:ascii="Arial" w:cs="Arial" w:eastAsia="Arial" w:hAnsi="Arial"/>
                <w:sz w:val="18"/>
                <w:szCs w:val="18"/>
                <w:color w:val="131E29"/>
              </w:rPr>
              <w:t>63.6%</w:t>
            </w:r>
          </w:p>
        </w:tc>
        <w:tc>
          <w:tcPr>
            <w:tcW w:w="0" w:type="dxa"/>
            <w:vAlign w:val="bottom"/>
          </w:tcPr>
          <w:p>
            <w:pPr>
              <w:spacing w:after="0"/>
              <w:rPr>
                <w:sz w:val="1"/>
                <w:szCs w:val="1"/>
                <w:color w:val="auto"/>
              </w:rPr>
            </w:pPr>
          </w:p>
        </w:tc>
      </w:tr>
      <w:tr>
        <w:trPr>
          <w:trHeight w:val="202"/>
        </w:trPr>
        <w:tc>
          <w:tcPr>
            <w:tcW w:w="188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131E29"/>
              </w:rPr>
              <w:t>29.4%</w:t>
            </w:r>
          </w:p>
        </w:tc>
        <w:tc>
          <w:tcPr>
            <w:tcW w:w="40" w:type="dxa"/>
            <w:vAlign w:val="bottom"/>
          </w:tcPr>
          <w:p>
            <w:pPr>
              <w:spacing w:after="0"/>
              <w:rPr>
                <w:sz w:val="17"/>
                <w:szCs w:val="17"/>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131E29"/>
              </w:rPr>
              <w:t>28.2%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restart"/>
          </w:tcPr>
          <w:p>
            <w:pPr>
              <w:jc w:val="right"/>
              <w:ind w:right="730"/>
              <w:spacing w:after="0"/>
              <w:rPr>
                <w:sz w:val="20"/>
                <w:szCs w:val="20"/>
                <w:color w:val="auto"/>
              </w:rPr>
            </w:pPr>
            <w:r>
              <w:rPr>
                <w:rFonts w:ascii="Arial" w:cs="Arial" w:eastAsia="Arial" w:hAnsi="Arial"/>
                <w:sz w:val="18"/>
                <w:szCs w:val="18"/>
                <w:color w:val="131E29"/>
              </w:rPr>
              <w:t>N/A</w:t>
            </w:r>
          </w:p>
        </w:tc>
        <w:tc>
          <w:tcPr>
            <w:tcW w:w="1080" w:type="dxa"/>
            <w:vAlign w:val="bottom"/>
            <w:gridSpan w:val="2"/>
            <w:vMerge w:val="restart"/>
          </w:tcPr>
          <w:p>
            <w:pPr>
              <w:ind w:left="340"/>
              <w:spacing w:after="0"/>
              <w:rPr>
                <w:sz w:val="20"/>
                <w:szCs w:val="20"/>
                <w:color w:val="auto"/>
              </w:rPr>
            </w:pPr>
            <w:r>
              <w:rPr>
                <w:rFonts w:ascii="Arial" w:cs="Arial" w:eastAsia="Arial" w:hAnsi="Arial"/>
                <w:sz w:val="18"/>
                <w:szCs w:val="18"/>
                <w:color w:val="131E29"/>
              </w:rPr>
              <w:t>120 bps</w:t>
            </w: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131E29"/>
              </w:rPr>
              <w:t>30.6%</w:t>
            </w:r>
          </w:p>
        </w:tc>
        <w:tc>
          <w:tcPr>
            <w:tcW w:w="100" w:type="dxa"/>
            <w:vAlign w:val="bottom"/>
          </w:tcPr>
          <w:p>
            <w:pPr>
              <w:spacing w:after="0"/>
              <w:rPr>
                <w:sz w:val="17"/>
                <w:szCs w:val="17"/>
                <w:color w:val="auto"/>
              </w:rPr>
            </w:pP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131E29"/>
              </w:rPr>
              <w:t>30.1%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8"/>
                <w:szCs w:val="18"/>
                <w:color w:val="131E29"/>
              </w:rPr>
              <w:t>N/A</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131E29"/>
              </w:rPr>
              <w:t>50 bps</w:t>
            </w:r>
          </w:p>
        </w:tc>
        <w:tc>
          <w:tcPr>
            <w:tcW w:w="0" w:type="dxa"/>
            <w:vAlign w:val="bottom"/>
          </w:tcPr>
          <w:p>
            <w:pPr>
              <w:spacing w:after="0"/>
              <w:rPr>
                <w:sz w:val="1"/>
                <w:szCs w:val="1"/>
                <w:color w:val="auto"/>
              </w:rPr>
            </w:pPr>
          </w:p>
        </w:tc>
      </w:tr>
      <w:tr>
        <w:trPr>
          <w:trHeight w:val="217"/>
        </w:trPr>
        <w:tc>
          <w:tcPr>
            <w:tcW w:w="188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w:t>
            </w: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labor costs impacts for the year-over-year comparison, presented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60" w:type="dxa"/>
            <w:vAlign w:val="bottom"/>
          </w:tcPr>
          <w:p>
            <w:pPr>
              <w:spacing w:after="0"/>
              <w:rPr>
                <w:sz w:val="20"/>
                <w:szCs w:val="20"/>
                <w:color w:val="auto"/>
              </w:rPr>
            </w:pPr>
          </w:p>
        </w:tc>
        <w:tc>
          <w:tcPr>
            <w:tcW w:w="980" w:type="dxa"/>
            <w:vAlign w:val="bottom"/>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37"/>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16,896</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Legislated minimum wage increases and higher minimum staffing standards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4,625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290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(1,343)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Lower COVID-19 leave expenses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38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Higher new shop operating inefficiencies</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(193)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3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tcPr>
          <w:p>
            <w:pPr>
              <w:jc w:val="right"/>
              <w:spacing w:after="0"/>
              <w:rPr>
                <w:sz w:val="20"/>
                <w:szCs w:val="20"/>
                <w:color w:val="auto"/>
              </w:rPr>
            </w:pPr>
            <w:r>
              <w:rPr>
                <w:rFonts w:ascii="Arial" w:cs="Arial" w:eastAsia="Arial" w:hAnsi="Arial"/>
                <w:sz w:val="16"/>
                <w:szCs w:val="16"/>
                <w:color w:val="131E29"/>
              </w:rPr>
              <w:t>(50)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360" w:type="dxa"/>
            <w:vAlign w:val="bottom"/>
            <w:shd w:val="clear" w:color="auto" w:fill="D2DCE5"/>
          </w:tcPr>
          <w:p>
            <w:pPr>
              <w:spacing w:after="0"/>
              <w:rPr>
                <w:sz w:val="21"/>
                <w:szCs w:val="21"/>
                <w:color w:val="auto"/>
              </w:rPr>
            </w:pPr>
          </w:p>
        </w:tc>
        <w:tc>
          <w:tcPr>
            <w:tcW w:w="1080" w:type="dxa"/>
            <w:vAlign w:val="bottom"/>
            <w:gridSpan w:val="2"/>
            <w:shd w:val="clear" w:color="auto" w:fill="D2DCE5"/>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w:t>
            </w:r>
          </w:p>
        </w:tc>
      </w:tr>
      <w:tr>
        <w:trPr>
          <w:trHeight w:val="236"/>
        </w:trPr>
        <w:tc>
          <w:tcPr>
            <w:tcW w:w="840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Other</w:t>
            </w:r>
          </w:p>
        </w:tc>
        <w:tc>
          <w:tcPr>
            <w:tcW w:w="80" w:type="dxa"/>
            <w:vAlign w:val="bottom"/>
            <w:tcBorders>
              <w:bottom w:val="single" w:sz="8" w:color="D2DCE5"/>
            </w:tcBorders>
          </w:tcPr>
          <w:p>
            <w:pPr>
              <w:spacing w:after="0"/>
              <w:rPr>
                <w:sz w:val="20"/>
                <w:szCs w:val="20"/>
                <w:color w:val="auto"/>
              </w:rPr>
            </w:pPr>
          </w:p>
        </w:tc>
        <w:tc>
          <w:tcPr>
            <w:tcW w:w="360" w:type="dxa"/>
            <w:vAlign w:val="bottom"/>
            <w:tcBorders>
              <w:bottom w:val="single" w:sz="8" w:color="131E29"/>
            </w:tcBorders>
          </w:tcPr>
          <w:p>
            <w:pPr>
              <w:spacing w:after="0"/>
              <w:rPr>
                <w:sz w:val="20"/>
                <w:szCs w:val="20"/>
                <w:color w:val="auto"/>
              </w:rPr>
            </w:pPr>
          </w:p>
        </w:tc>
        <w:tc>
          <w:tcPr>
            <w:tcW w:w="98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(1,831)</w:t>
            </w:r>
          </w:p>
        </w:tc>
        <w:tc>
          <w:tcPr>
            <w:tcW w:w="100" w:type="dxa"/>
            <w:vAlign w:val="bottom"/>
            <w:tcBorders>
              <w:bottom w:val="single" w:sz="8" w:color="D2DCE5"/>
            </w:tcBorders>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(120)</w:t>
            </w:r>
          </w:p>
        </w:tc>
      </w:tr>
      <w:tr>
        <w:trPr>
          <w:trHeight w:val="237"/>
        </w:trPr>
        <w:tc>
          <w:tcPr>
            <w:tcW w:w="840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shd w:val="clear" w:color="auto" w:fill="D2DCE5"/>
          </w:tcPr>
          <w:p>
            <w:pPr>
              <w:spacing w:after="0"/>
              <w:rPr>
                <w:sz w:val="20"/>
                <w:szCs w:val="20"/>
                <w:color w:val="auto"/>
              </w:rPr>
            </w:pPr>
          </w:p>
        </w:tc>
        <w:tc>
          <w:tcPr>
            <w:tcW w:w="360" w:type="dxa"/>
            <w:vAlign w:val="bottom"/>
            <w:tcBorders>
              <w:bottom w:val="single" w:sz="8" w:color="131E29"/>
            </w:tcBorders>
            <w:shd w:val="clear" w:color="auto" w:fill="D2DCE5"/>
          </w:tcPr>
          <w:p>
            <w:pPr>
              <w:jc w:val="right"/>
              <w:ind w:right="159"/>
              <w:spacing w:after="0"/>
              <w:rPr>
                <w:sz w:val="20"/>
                <w:szCs w:val="20"/>
                <w:color w:val="auto"/>
              </w:rPr>
            </w:pPr>
            <w:r>
              <w:rPr>
                <w:rFonts w:ascii="Arial" w:cs="Arial" w:eastAsia="Arial" w:hAnsi="Arial"/>
                <w:sz w:val="16"/>
                <w:szCs w:val="16"/>
                <w:b w:val="1"/>
                <w:bCs w:val="1"/>
                <w:color w:val="131E29"/>
              </w:rPr>
              <w:t>$</w:t>
            </w:r>
          </w:p>
        </w:tc>
        <w:tc>
          <w:tcPr>
            <w:tcW w:w="98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18,192</w:t>
            </w:r>
          </w:p>
        </w:tc>
        <w:tc>
          <w:tcPr>
            <w:tcW w:w="100" w:type="dxa"/>
            <w:vAlign w:val="bottom"/>
            <w:shd w:val="clear" w:color="auto" w:fill="D2DCE5"/>
          </w:tcPr>
          <w:p>
            <w:pPr>
              <w:spacing w:after="0"/>
              <w:rPr>
                <w:sz w:val="20"/>
                <w:szCs w:val="20"/>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labor costs impacts for the year-over-year comparison, presented in dollars and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131E29"/>
                <w:w w:val="99"/>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7"/>
              <w:spacing w:after="0"/>
              <w:rPr>
                <w:sz w:val="20"/>
                <w:szCs w:val="20"/>
                <w:color w:val="auto"/>
              </w:rPr>
            </w:pPr>
            <w:r>
              <w:rPr>
                <w:rFonts w:ascii="Arial" w:cs="Arial" w:eastAsia="Arial" w:hAnsi="Arial"/>
                <w:sz w:val="18"/>
                <w:szCs w:val="18"/>
                <w:b w:val="1"/>
                <w:bCs w:val="1"/>
                <w:color w:val="131E29"/>
              </w:rPr>
              <w:t>BPS</w:t>
            </w:r>
          </w:p>
        </w:tc>
        <w:tc>
          <w:tcPr>
            <w:tcW w:w="0" w:type="dxa"/>
            <w:vAlign w:val="bottom"/>
          </w:tcPr>
          <w:p>
            <w:pPr>
              <w:spacing w:after="0"/>
              <w:rPr>
                <w:sz w:val="1"/>
                <w:szCs w:val="1"/>
                <w:color w:val="auto"/>
              </w:rPr>
            </w:pPr>
          </w:p>
        </w:tc>
      </w:tr>
      <w:tr>
        <w:trPr>
          <w:trHeight w:val="26"/>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40" w:type="dxa"/>
            <w:vAlign w:val="bottom"/>
            <w:tcBorders>
              <w:bottom w:val="single" w:sz="8" w:color="131E29"/>
            </w:tcBorders>
          </w:tcPr>
          <w:p>
            <w:pPr>
              <w:spacing w:after="0"/>
              <w:rPr>
                <w:sz w:val="2"/>
                <w:szCs w:val="2"/>
                <w:color w:val="auto"/>
              </w:rPr>
            </w:pPr>
          </w:p>
        </w:tc>
        <w:tc>
          <w:tcPr>
            <w:tcW w:w="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6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1200" w:type="dxa"/>
            <w:vAlign w:val="bottom"/>
            <w:shd w:val="clear" w:color="auto" w:fill="D2DCE5"/>
          </w:tcPr>
          <w:p>
            <w:pPr>
              <w:spacing w:after="0"/>
              <w:rPr>
                <w:sz w:val="20"/>
                <w:szCs w:val="20"/>
                <w:color w:val="auto"/>
              </w:rPr>
            </w:pPr>
          </w:p>
        </w:tc>
        <w:tc>
          <w:tcPr>
            <w:tcW w:w="9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640" w:type="dxa"/>
            <w:vAlign w:val="bottom"/>
            <w:shd w:val="clear" w:color="auto" w:fill="D2DCE5"/>
          </w:tcPr>
          <w:p>
            <w:pPr>
              <w:spacing w:after="0"/>
              <w:rPr>
                <w:sz w:val="20"/>
                <w:szCs w:val="20"/>
                <w:color w:val="auto"/>
              </w:rPr>
            </w:pP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30,922</w:t>
            </w:r>
          </w:p>
        </w:tc>
        <w:tc>
          <w:tcPr>
            <w:tcW w:w="100" w:type="dxa"/>
            <w:vAlign w:val="bottom"/>
            <w:shd w:val="clear" w:color="auto" w:fill="D2DCE5"/>
          </w:tcPr>
          <w:p>
            <w:pPr>
              <w:spacing w:after="0"/>
              <w:rPr>
                <w:sz w:val="20"/>
                <w:szCs w:val="20"/>
                <w:color w:val="auto"/>
              </w:rPr>
            </w:pPr>
          </w:p>
        </w:tc>
        <w:tc>
          <w:tcPr>
            <w:tcW w:w="540" w:type="dxa"/>
            <w:vAlign w:val="bottom"/>
            <w:shd w:val="clear" w:color="auto" w:fill="D2DCE5"/>
          </w:tcPr>
          <w:p>
            <w:pPr>
              <w:spacing w:after="0"/>
              <w:rPr>
                <w:sz w:val="20"/>
                <w:szCs w:val="20"/>
                <w:color w:val="auto"/>
              </w:rPr>
            </w:pPr>
          </w:p>
        </w:tc>
        <w:tc>
          <w:tcPr>
            <w:tcW w:w="1060" w:type="dxa"/>
            <w:vAlign w:val="bottom"/>
            <w:shd w:val="clear" w:color="auto" w:fill="D2DCE5"/>
          </w:tcPr>
          <w:p>
            <w:pPr>
              <w:jc w:val="center"/>
              <w:ind w:left="677"/>
              <w:spacing w:after="0"/>
              <w:rPr>
                <w:sz w:val="20"/>
                <w:szCs w:val="20"/>
                <w:color w:val="auto"/>
              </w:rPr>
            </w:pPr>
            <w:r>
              <w:rPr>
                <w:rFonts w:ascii="Arial" w:cs="Arial" w:eastAsia="Arial" w:hAnsi="Arial"/>
                <w:sz w:val="16"/>
                <w:szCs w:val="16"/>
                <w:color w:val="131E29"/>
                <w:w w:val="97"/>
              </w:rPr>
              <w:t>N/A</w:t>
            </w:r>
          </w:p>
        </w:tc>
        <w:tc>
          <w:tcPr>
            <w:tcW w:w="0" w:type="dxa"/>
            <w:vAlign w:val="bottom"/>
          </w:tcPr>
          <w:p>
            <w:pPr>
              <w:spacing w:after="0"/>
              <w:rPr>
                <w:sz w:val="1"/>
                <w:szCs w:val="1"/>
                <w:color w:val="auto"/>
              </w:rPr>
            </w:pPr>
          </w:p>
        </w:tc>
      </w:tr>
      <w:tr>
        <w:trPr>
          <w:trHeight w:val="233"/>
        </w:trPr>
        <w:tc>
          <w:tcPr>
            <w:tcW w:w="5540" w:type="dxa"/>
            <w:vAlign w:val="bottom"/>
            <w:gridSpan w:val="8"/>
          </w:tcPr>
          <w:p>
            <w:pPr>
              <w:ind w:left="20"/>
              <w:spacing w:after="0"/>
              <w:rPr>
                <w:sz w:val="20"/>
                <w:szCs w:val="20"/>
                <w:color w:val="auto"/>
              </w:rPr>
            </w:pPr>
            <w:r>
              <w:rPr>
                <w:rFonts w:ascii="Arial" w:cs="Arial" w:eastAsia="Arial" w:hAnsi="Arial"/>
                <w:sz w:val="16"/>
                <w:szCs w:val="16"/>
                <w:color w:val="131E29"/>
              </w:rPr>
              <w:t>Legislated minimum wage increases and higher minimum staffing standards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131E29"/>
              </w:rPr>
              <w:t>7,750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131E29"/>
              </w:rPr>
              <w:t>270</w:t>
            </w:r>
          </w:p>
        </w:tc>
        <w:tc>
          <w:tcPr>
            <w:tcW w:w="0" w:type="dxa"/>
            <w:vAlign w:val="bottom"/>
          </w:tcPr>
          <w:p>
            <w:pPr>
              <w:spacing w:after="0"/>
              <w:rPr>
                <w:sz w:val="1"/>
                <w:szCs w:val="1"/>
                <w:color w:val="auto"/>
              </w:rPr>
            </w:pPr>
          </w:p>
        </w:tc>
      </w:tr>
      <w:tr>
        <w:trPr>
          <w:trHeight w:val="253"/>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20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40" w:type="dxa"/>
            <w:vAlign w:val="bottom"/>
            <w:shd w:val="clear" w:color="auto" w:fill="D2DCE5"/>
          </w:tcPr>
          <w:p>
            <w:pPr>
              <w:spacing w:after="0"/>
              <w:rPr>
                <w:sz w:val="21"/>
                <w:szCs w:val="21"/>
                <w:color w:val="auto"/>
              </w:rPr>
            </w:pP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(512)</w:t>
            </w:r>
          </w:p>
        </w:tc>
        <w:tc>
          <w:tcPr>
            <w:tcW w:w="100" w:type="dxa"/>
            <w:vAlign w:val="bottom"/>
            <w:shd w:val="clear" w:color="auto" w:fill="D2DCE5"/>
          </w:tcPr>
          <w:p>
            <w:pPr>
              <w:spacing w:after="0"/>
              <w:rPr>
                <w:sz w:val="21"/>
                <w:szCs w:val="21"/>
                <w:color w:val="auto"/>
              </w:rPr>
            </w:pPr>
          </w:p>
        </w:tc>
        <w:tc>
          <w:tcPr>
            <w:tcW w:w="540" w:type="dxa"/>
            <w:vAlign w:val="bottom"/>
            <w:shd w:val="clear" w:color="auto" w:fill="D2DCE5"/>
          </w:tcPr>
          <w:p>
            <w:pPr>
              <w:spacing w:after="0"/>
              <w:rPr>
                <w:sz w:val="21"/>
                <w:szCs w:val="21"/>
                <w:color w:val="auto"/>
              </w:rPr>
            </w:pPr>
          </w:p>
        </w:tc>
        <w:tc>
          <w:tcPr>
            <w:tcW w:w="1060" w:type="dxa"/>
            <w:vAlign w:val="bottom"/>
            <w:shd w:val="clear" w:color="auto" w:fill="D2DCE5"/>
          </w:tcPr>
          <w:p>
            <w:pPr>
              <w:jc w:val="center"/>
              <w:ind w:left="677"/>
              <w:spacing w:after="0"/>
              <w:rPr>
                <w:sz w:val="20"/>
                <w:szCs w:val="20"/>
                <w:color w:val="auto"/>
              </w:rPr>
            </w:pPr>
            <w:r>
              <w:rPr>
                <w:rFonts w:ascii="Arial" w:cs="Arial" w:eastAsia="Arial" w:hAnsi="Arial"/>
                <w:sz w:val="16"/>
                <w:szCs w:val="16"/>
                <w:color w:val="131E29"/>
                <w:w w:val="97"/>
              </w:rPr>
              <w:t>N/A</w:t>
            </w:r>
          </w:p>
        </w:tc>
        <w:tc>
          <w:tcPr>
            <w:tcW w:w="0" w:type="dxa"/>
            <w:vAlign w:val="bottom"/>
          </w:tcPr>
          <w:p>
            <w:pPr>
              <w:spacing w:after="0"/>
              <w:rPr>
                <w:sz w:val="1"/>
                <w:szCs w:val="1"/>
                <w:color w:val="auto"/>
              </w:rPr>
            </w:pPr>
          </w:p>
        </w:tc>
      </w:tr>
      <w:tr>
        <w:trPr>
          <w:trHeight w:val="233"/>
        </w:trPr>
        <w:tc>
          <w:tcPr>
            <w:tcW w:w="2880" w:type="dxa"/>
            <w:vAlign w:val="bottom"/>
            <w:gridSpan w:val="3"/>
          </w:tcPr>
          <w:p>
            <w:pPr>
              <w:ind w:left="20"/>
              <w:spacing w:after="0"/>
              <w:rPr>
                <w:sz w:val="20"/>
                <w:szCs w:val="20"/>
                <w:color w:val="auto"/>
              </w:rPr>
            </w:pPr>
            <w:r>
              <w:rPr>
                <w:rFonts w:ascii="Arial" w:cs="Arial" w:eastAsia="Arial" w:hAnsi="Arial"/>
                <w:sz w:val="16"/>
                <w:szCs w:val="16"/>
                <w:color w:val="131E29"/>
              </w:rPr>
              <w:t>Lower COVID-19 leave expenses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131E29"/>
              </w:rPr>
              <w:t>(1,524)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center"/>
              <w:ind w:left="637"/>
              <w:spacing w:after="0"/>
              <w:rPr>
                <w:sz w:val="20"/>
                <w:szCs w:val="20"/>
                <w:color w:val="auto"/>
              </w:rPr>
            </w:pPr>
            <w:r>
              <w:rPr>
                <w:rFonts w:ascii="Arial" w:cs="Arial" w:eastAsia="Arial" w:hAnsi="Arial"/>
                <w:sz w:val="16"/>
                <w:szCs w:val="16"/>
                <w:color w:val="131E29"/>
              </w:rPr>
              <w:t>(50)</w:t>
            </w:r>
          </w:p>
        </w:tc>
        <w:tc>
          <w:tcPr>
            <w:tcW w:w="0" w:type="dxa"/>
            <w:vAlign w:val="bottom"/>
          </w:tcPr>
          <w:p>
            <w:pPr>
              <w:spacing w:after="0"/>
              <w:rPr>
                <w:sz w:val="1"/>
                <w:szCs w:val="1"/>
                <w:color w:val="auto"/>
              </w:rPr>
            </w:pPr>
          </w:p>
        </w:tc>
      </w:tr>
      <w:tr>
        <w:trPr>
          <w:trHeight w:val="253"/>
        </w:trPr>
        <w:tc>
          <w:tcPr>
            <w:tcW w:w="4100" w:type="dxa"/>
            <w:vAlign w:val="bottom"/>
            <w:gridSpan w:val="6"/>
            <w:shd w:val="clear" w:color="auto" w:fill="D2DCE5"/>
          </w:tcPr>
          <w:p>
            <w:pPr>
              <w:ind w:left="20"/>
              <w:spacing w:after="0"/>
              <w:rPr>
                <w:sz w:val="20"/>
                <w:szCs w:val="20"/>
                <w:color w:val="auto"/>
              </w:rPr>
            </w:pPr>
            <w:r>
              <w:rPr>
                <w:rFonts w:ascii="Arial" w:cs="Arial" w:eastAsia="Arial" w:hAnsi="Arial"/>
                <w:sz w:val="16"/>
                <w:szCs w:val="16"/>
                <w:color w:val="131E29"/>
              </w:rPr>
              <w:t>Higher new shop operating inefficiencies</w:t>
            </w:r>
          </w:p>
        </w:tc>
        <w:tc>
          <w:tcPr>
            <w:tcW w:w="240" w:type="dxa"/>
            <w:vAlign w:val="bottom"/>
            <w:shd w:val="clear" w:color="auto" w:fill="D2DCE5"/>
          </w:tcPr>
          <w:p>
            <w:pPr>
              <w:spacing w:after="0"/>
              <w:rPr>
                <w:sz w:val="21"/>
                <w:szCs w:val="21"/>
                <w:color w:val="auto"/>
              </w:rPr>
            </w:pPr>
          </w:p>
        </w:tc>
        <w:tc>
          <w:tcPr>
            <w:tcW w:w="120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40" w:type="dxa"/>
            <w:vAlign w:val="bottom"/>
            <w:shd w:val="clear" w:color="auto" w:fill="D2DCE5"/>
          </w:tcPr>
          <w:p>
            <w:pPr>
              <w:spacing w:after="0"/>
              <w:rPr>
                <w:sz w:val="21"/>
                <w:szCs w:val="21"/>
                <w:color w:val="auto"/>
              </w:rPr>
            </w:pP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(193)</w:t>
            </w:r>
          </w:p>
        </w:tc>
        <w:tc>
          <w:tcPr>
            <w:tcW w:w="100" w:type="dxa"/>
            <w:vAlign w:val="bottom"/>
            <w:shd w:val="clear" w:color="auto" w:fill="D2DCE5"/>
          </w:tcPr>
          <w:p>
            <w:pPr>
              <w:spacing w:after="0"/>
              <w:rPr>
                <w:sz w:val="21"/>
                <w:szCs w:val="21"/>
                <w:color w:val="auto"/>
              </w:rPr>
            </w:pPr>
          </w:p>
        </w:tc>
        <w:tc>
          <w:tcPr>
            <w:tcW w:w="540" w:type="dxa"/>
            <w:vAlign w:val="bottom"/>
            <w:shd w:val="clear" w:color="auto" w:fill="D2DCE5"/>
          </w:tcPr>
          <w:p>
            <w:pPr>
              <w:spacing w:after="0"/>
              <w:rPr>
                <w:sz w:val="21"/>
                <w:szCs w:val="21"/>
                <w:color w:val="auto"/>
              </w:rPr>
            </w:pPr>
          </w:p>
        </w:tc>
        <w:tc>
          <w:tcPr>
            <w:tcW w:w="1060" w:type="dxa"/>
            <w:vAlign w:val="bottom"/>
            <w:shd w:val="clear" w:color="auto" w:fill="D2DCE5"/>
          </w:tcPr>
          <w:p>
            <w:pPr>
              <w:jc w:val="center"/>
              <w:ind w:left="637"/>
              <w:spacing w:after="0"/>
              <w:rPr>
                <w:sz w:val="20"/>
                <w:szCs w:val="20"/>
                <w:color w:val="auto"/>
              </w:rPr>
            </w:pPr>
            <w:r>
              <w:rPr>
                <w:rFonts w:ascii="Arial" w:cs="Arial" w:eastAsia="Arial" w:hAnsi="Arial"/>
                <w:sz w:val="16"/>
                <w:szCs w:val="16"/>
                <w:color w:val="131E29"/>
              </w:rPr>
              <w:t>(10)</w:t>
            </w:r>
          </w:p>
        </w:tc>
        <w:tc>
          <w:tcPr>
            <w:tcW w:w="0" w:type="dxa"/>
            <w:vAlign w:val="bottom"/>
          </w:tcPr>
          <w:p>
            <w:pPr>
              <w:spacing w:after="0"/>
              <w:rPr>
                <w:sz w:val="1"/>
                <w:szCs w:val="1"/>
                <w:color w:val="auto"/>
              </w:rPr>
            </w:pPr>
          </w:p>
        </w:tc>
      </w:tr>
      <w:tr>
        <w:trPr>
          <w:trHeight w:val="233"/>
        </w:trPr>
        <w:tc>
          <w:tcPr>
            <w:tcW w:w="186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color w:val="131E29"/>
              </w:rPr>
              <w:t>N/A</w:t>
            </w:r>
          </w:p>
        </w:tc>
        <w:tc>
          <w:tcPr>
            <w:tcW w:w="1060" w:type="dxa"/>
            <w:vAlign w:val="bottom"/>
          </w:tcPr>
          <w:p>
            <w:pPr>
              <w:jc w:val="center"/>
              <w:ind w:left="637"/>
              <w:spacing w:after="0"/>
              <w:rPr>
                <w:sz w:val="20"/>
                <w:szCs w:val="20"/>
                <w:color w:val="auto"/>
              </w:rPr>
            </w:pPr>
            <w:r>
              <w:rPr>
                <w:rFonts w:ascii="Arial" w:cs="Arial" w:eastAsia="Arial" w:hAnsi="Arial"/>
                <w:sz w:val="16"/>
                <w:szCs w:val="16"/>
                <w:color w:val="131E29"/>
              </w:rPr>
              <w:t>(80)</w:t>
            </w:r>
          </w:p>
        </w:tc>
        <w:tc>
          <w:tcPr>
            <w:tcW w:w="0" w:type="dxa"/>
            <w:vAlign w:val="bottom"/>
          </w:tcPr>
          <w:p>
            <w:pPr>
              <w:spacing w:after="0"/>
              <w:rPr>
                <w:sz w:val="1"/>
                <w:szCs w:val="1"/>
                <w:color w:val="auto"/>
              </w:rPr>
            </w:pPr>
          </w:p>
        </w:tc>
      </w:tr>
      <w:tr>
        <w:trPr>
          <w:trHeight w:val="253"/>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Promotional discounts</w:t>
            </w: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0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200" w:type="dxa"/>
            <w:vAlign w:val="bottom"/>
            <w:shd w:val="clear" w:color="auto" w:fill="D2DCE5"/>
          </w:tcPr>
          <w:p>
            <w:pPr>
              <w:spacing w:after="0"/>
              <w:rPr>
                <w:sz w:val="21"/>
                <w:szCs w:val="21"/>
                <w:color w:val="auto"/>
              </w:rPr>
            </w:pPr>
          </w:p>
        </w:tc>
        <w:tc>
          <w:tcPr>
            <w:tcW w:w="9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64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300" w:type="dxa"/>
            <w:vAlign w:val="bottom"/>
            <w:gridSpan w:val="3"/>
            <w:shd w:val="clear" w:color="auto" w:fill="D2DCE5"/>
          </w:tcPr>
          <w:p>
            <w:pPr>
              <w:jc w:val="right"/>
              <w:ind w:right="660"/>
              <w:spacing w:after="0"/>
              <w:rPr>
                <w:sz w:val="20"/>
                <w:szCs w:val="20"/>
                <w:color w:val="auto"/>
              </w:rPr>
            </w:pPr>
            <w:r>
              <w:rPr>
                <w:rFonts w:ascii="Arial" w:cs="Arial" w:eastAsia="Arial" w:hAnsi="Arial"/>
                <w:sz w:val="16"/>
                <w:szCs w:val="16"/>
                <w:color w:val="131E29"/>
              </w:rPr>
              <w:t>N/A</w:t>
            </w:r>
          </w:p>
        </w:tc>
        <w:tc>
          <w:tcPr>
            <w:tcW w:w="1060" w:type="dxa"/>
            <w:vAlign w:val="bottom"/>
            <w:shd w:val="clear" w:color="auto" w:fill="D2DCE5"/>
          </w:tcPr>
          <w:p>
            <w:pPr>
              <w:jc w:val="center"/>
              <w:ind w:left="637"/>
              <w:spacing w:after="0"/>
              <w:rPr>
                <w:sz w:val="20"/>
                <w:szCs w:val="20"/>
                <w:color w:val="auto"/>
              </w:rPr>
            </w:pPr>
            <w:r>
              <w:rPr>
                <w:rFonts w:ascii="Arial" w:cs="Arial" w:eastAsia="Arial" w:hAnsi="Arial"/>
                <w:sz w:val="16"/>
                <w:szCs w:val="16"/>
                <w:color w:val="131E29"/>
              </w:rPr>
              <w:t>(10)</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131E29"/>
            </w:tcBorders>
            <w:gridSpan w:val="2"/>
          </w:tcPr>
          <w:p>
            <w:pPr>
              <w:ind w:left="20"/>
              <w:spacing w:after="0"/>
              <w:rPr>
                <w:sz w:val="20"/>
                <w:szCs w:val="20"/>
                <w:color w:val="auto"/>
              </w:rPr>
            </w:pPr>
            <w:r>
              <w:rPr>
                <w:rFonts w:ascii="Arial" w:cs="Arial" w:eastAsia="Arial" w:hAnsi="Arial"/>
                <w:sz w:val="16"/>
                <w:szCs w:val="16"/>
                <w:color w:val="131E29"/>
              </w:rPr>
              <w:t>Other</w:t>
            </w:r>
          </w:p>
        </w:tc>
        <w:tc>
          <w:tcPr>
            <w:tcW w:w="102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102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40" w:type="dxa"/>
            <w:vAlign w:val="bottom"/>
            <w:tcBorders>
              <w:bottom w:val="single" w:sz="8" w:color="131E29"/>
            </w:tcBorders>
          </w:tcPr>
          <w:p>
            <w:pPr>
              <w:spacing w:after="0"/>
              <w:rPr>
                <w:sz w:val="20"/>
                <w:szCs w:val="20"/>
                <w:color w:val="auto"/>
              </w:rPr>
            </w:pPr>
          </w:p>
        </w:tc>
        <w:tc>
          <w:tcPr>
            <w:tcW w:w="1200" w:type="dxa"/>
            <w:vAlign w:val="bottom"/>
            <w:tcBorders>
              <w:bottom w:val="single" w:sz="8" w:color="131E29"/>
            </w:tcBorders>
          </w:tcPr>
          <w:p>
            <w:pPr>
              <w:spacing w:after="0"/>
              <w:rPr>
                <w:sz w:val="20"/>
                <w:szCs w:val="20"/>
                <w:color w:val="auto"/>
              </w:rPr>
            </w:pPr>
          </w:p>
        </w:tc>
        <w:tc>
          <w:tcPr>
            <w:tcW w:w="980" w:type="dxa"/>
            <w:vAlign w:val="bottom"/>
            <w:tcBorders>
              <w:bottom w:val="single" w:sz="8" w:color="131E29"/>
            </w:tcBorders>
          </w:tcPr>
          <w:p>
            <w:pPr>
              <w:spacing w:after="0"/>
              <w:rPr>
                <w:sz w:val="20"/>
                <w:szCs w:val="20"/>
                <w:color w:val="auto"/>
              </w:rPr>
            </w:pPr>
          </w:p>
        </w:tc>
        <w:tc>
          <w:tcPr>
            <w:tcW w:w="80" w:type="dxa"/>
            <w:vAlign w:val="bottom"/>
            <w:tcBorders>
              <w:bottom w:val="single" w:sz="8" w:color="131E29"/>
            </w:tcBorders>
          </w:tcPr>
          <w:p>
            <w:pPr>
              <w:spacing w:after="0"/>
              <w:rPr>
                <w:sz w:val="20"/>
                <w:szCs w:val="20"/>
                <w:color w:val="auto"/>
              </w:rPr>
            </w:pPr>
          </w:p>
        </w:tc>
        <w:tc>
          <w:tcPr>
            <w:tcW w:w="104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60" w:type="dxa"/>
            <w:vAlign w:val="bottom"/>
            <w:tcBorders>
              <w:bottom w:val="single" w:sz="8" w:color="131E29"/>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640" w:type="dxa"/>
            <w:vAlign w:val="bottom"/>
            <w:tcBorders>
              <w:bottom w:val="single" w:sz="8" w:color="131E29"/>
            </w:tcBorders>
          </w:tcPr>
          <w:p>
            <w:pPr>
              <w:spacing w:after="0"/>
              <w:rPr>
                <w:sz w:val="20"/>
                <w:szCs w:val="20"/>
                <w:color w:val="auto"/>
              </w:rPr>
            </w:pPr>
          </w:p>
        </w:tc>
        <w:tc>
          <w:tcPr>
            <w:tcW w:w="800" w:type="dxa"/>
            <w:vAlign w:val="bottom"/>
            <w:tcBorders>
              <w:bottom w:val="single" w:sz="8" w:color="131E29"/>
            </w:tcBorders>
            <w:gridSpan w:val="3"/>
          </w:tcPr>
          <w:p>
            <w:pPr>
              <w:jc w:val="right"/>
              <w:spacing w:after="0"/>
              <w:rPr>
                <w:sz w:val="20"/>
                <w:szCs w:val="20"/>
                <w:color w:val="auto"/>
              </w:rPr>
            </w:pPr>
            <w:r>
              <w:rPr>
                <w:rFonts w:ascii="Arial" w:cs="Arial" w:eastAsia="Arial" w:hAnsi="Arial"/>
                <w:sz w:val="16"/>
                <w:szCs w:val="16"/>
                <w:color w:val="131E29"/>
              </w:rPr>
              <w:t>(1,830)</w:t>
            </w:r>
          </w:p>
        </w:tc>
        <w:tc>
          <w:tcPr>
            <w:tcW w:w="100" w:type="dxa"/>
            <w:vAlign w:val="bottom"/>
            <w:tcBorders>
              <w:bottom w:val="single" w:sz="8" w:color="D2DCE5"/>
            </w:tcBorders>
          </w:tcPr>
          <w:p>
            <w:pPr>
              <w:spacing w:after="0"/>
              <w:rPr>
                <w:sz w:val="20"/>
                <w:szCs w:val="20"/>
                <w:color w:val="auto"/>
              </w:rPr>
            </w:pPr>
          </w:p>
        </w:tc>
        <w:tc>
          <w:tcPr>
            <w:tcW w:w="540" w:type="dxa"/>
            <w:vAlign w:val="bottom"/>
            <w:tcBorders>
              <w:bottom w:val="single" w:sz="8" w:color="131E29"/>
            </w:tcBorders>
          </w:tcPr>
          <w:p>
            <w:pPr>
              <w:spacing w:after="0"/>
              <w:rPr>
                <w:sz w:val="20"/>
                <w:szCs w:val="20"/>
                <w:color w:val="auto"/>
              </w:rPr>
            </w:pPr>
          </w:p>
        </w:tc>
        <w:tc>
          <w:tcPr>
            <w:tcW w:w="1060" w:type="dxa"/>
            <w:vAlign w:val="bottom"/>
            <w:tcBorders>
              <w:bottom w:val="single" w:sz="8" w:color="131E29"/>
            </w:tcBorders>
          </w:tcPr>
          <w:p>
            <w:pPr>
              <w:jc w:val="center"/>
              <w:ind w:left="637"/>
              <w:spacing w:after="0"/>
              <w:rPr>
                <w:sz w:val="20"/>
                <w:szCs w:val="20"/>
                <w:color w:val="auto"/>
              </w:rPr>
            </w:pPr>
            <w:r>
              <w:rPr>
                <w:rFonts w:ascii="Arial" w:cs="Arial" w:eastAsia="Arial" w:hAnsi="Arial"/>
                <w:sz w:val="16"/>
                <w:szCs w:val="16"/>
                <w:color w:val="131E29"/>
              </w:rPr>
              <w:t>(70)</w:t>
            </w:r>
          </w:p>
        </w:tc>
        <w:tc>
          <w:tcPr>
            <w:tcW w:w="0" w:type="dxa"/>
            <w:vAlign w:val="bottom"/>
          </w:tcPr>
          <w:p>
            <w:pPr>
              <w:spacing w:after="0"/>
              <w:rPr>
                <w:sz w:val="1"/>
                <w:szCs w:val="1"/>
                <w:color w:val="auto"/>
              </w:rPr>
            </w:pPr>
          </w:p>
        </w:tc>
      </w:tr>
      <w:tr>
        <w:trPr>
          <w:trHeight w:val="237"/>
        </w:trPr>
        <w:tc>
          <w:tcPr>
            <w:tcW w:w="1860" w:type="dxa"/>
            <w:vAlign w:val="bottom"/>
            <w:gridSpan w:val="2"/>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1200" w:type="dxa"/>
            <w:vAlign w:val="bottom"/>
            <w:shd w:val="clear" w:color="auto" w:fill="D2DCE5"/>
          </w:tcPr>
          <w:p>
            <w:pPr>
              <w:spacing w:after="0"/>
              <w:rPr>
                <w:sz w:val="20"/>
                <w:szCs w:val="20"/>
                <w:color w:val="auto"/>
              </w:rPr>
            </w:pPr>
          </w:p>
        </w:tc>
        <w:tc>
          <w:tcPr>
            <w:tcW w:w="9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0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00" w:type="dxa"/>
            <w:vAlign w:val="bottom"/>
            <w:gridSpan w:val="3"/>
            <w:shd w:val="clear" w:color="auto" w:fill="D2DCE5"/>
          </w:tcPr>
          <w:p>
            <w:pPr>
              <w:jc w:val="right"/>
              <w:ind w:right="540"/>
              <w:spacing w:after="0"/>
              <w:rPr>
                <w:sz w:val="20"/>
                <w:szCs w:val="20"/>
                <w:color w:val="auto"/>
              </w:rPr>
            </w:pPr>
            <w:r>
              <w:rPr>
                <w:rFonts w:ascii="Arial" w:cs="Arial" w:eastAsia="Arial" w:hAnsi="Arial"/>
                <w:sz w:val="16"/>
                <w:szCs w:val="16"/>
                <w:b w:val="1"/>
                <w:bCs w:val="1"/>
                <w:color w:val="131E29"/>
              </w:rPr>
              <w:t>$</w:t>
            </w:r>
          </w:p>
        </w:tc>
        <w:tc>
          <w:tcPr>
            <w:tcW w:w="800" w:type="dxa"/>
            <w:vAlign w:val="bottom"/>
            <w:gridSpan w:val="3"/>
            <w:shd w:val="clear" w:color="auto" w:fill="D2DCE5"/>
          </w:tcPr>
          <w:p>
            <w:pPr>
              <w:jc w:val="right"/>
              <w:spacing w:after="0"/>
              <w:rPr>
                <w:sz w:val="20"/>
                <w:szCs w:val="20"/>
                <w:color w:val="auto"/>
              </w:rPr>
            </w:pPr>
            <w:r>
              <w:rPr>
                <w:rFonts w:ascii="Arial" w:cs="Arial" w:eastAsia="Arial" w:hAnsi="Arial"/>
                <w:sz w:val="16"/>
                <w:szCs w:val="16"/>
                <w:b w:val="1"/>
                <w:bCs w:val="1"/>
                <w:color w:val="131E29"/>
              </w:rPr>
              <w:t>34,613</w:t>
            </w:r>
          </w:p>
        </w:tc>
        <w:tc>
          <w:tcPr>
            <w:tcW w:w="100" w:type="dxa"/>
            <w:vAlign w:val="bottom"/>
            <w:shd w:val="clear" w:color="auto" w:fill="D2DCE5"/>
          </w:tcPr>
          <w:p>
            <w:pPr>
              <w:spacing w:after="0"/>
              <w:rPr>
                <w:sz w:val="20"/>
                <w:szCs w:val="20"/>
                <w:color w:val="auto"/>
              </w:rPr>
            </w:pPr>
          </w:p>
        </w:tc>
        <w:tc>
          <w:tcPr>
            <w:tcW w:w="540" w:type="dxa"/>
            <w:vAlign w:val="bottom"/>
            <w:shd w:val="clear" w:color="auto" w:fill="D2DCE5"/>
          </w:tcPr>
          <w:p>
            <w:pPr>
              <w:spacing w:after="0"/>
              <w:rPr>
                <w:sz w:val="20"/>
                <w:szCs w:val="20"/>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131E29"/>
              </w:rPr>
              <w:t>50</w:t>
            </w:r>
          </w:p>
        </w:tc>
        <w:tc>
          <w:tcPr>
            <w:tcW w:w="0" w:type="dxa"/>
            <w:vAlign w:val="bottom"/>
          </w:tcPr>
          <w:p>
            <w:pPr>
              <w:spacing w:after="0"/>
              <w:rPr>
                <w:sz w:val="1"/>
                <w:szCs w:val="1"/>
                <w:color w:val="auto"/>
              </w:rPr>
            </w:pPr>
          </w:p>
        </w:tc>
      </w:tr>
      <w:tr>
        <w:trPr>
          <w:trHeight w:val="473"/>
        </w:trPr>
        <w:tc>
          <w:tcPr>
            <w:tcW w:w="2880" w:type="dxa"/>
            <w:vAlign w:val="bottom"/>
            <w:tcBorders>
              <w:top w:val="single" w:sz="8" w:color="131E29"/>
            </w:tcBorders>
            <w:gridSpan w:val="3"/>
          </w:tcPr>
          <w:p>
            <w:pPr>
              <w:spacing w:after="0"/>
              <w:rPr>
                <w:sz w:val="20"/>
                <w:szCs w:val="20"/>
                <w:color w:val="auto"/>
              </w:rPr>
            </w:pPr>
            <w:r>
              <w:rPr>
                <w:rFonts w:ascii="Arial" w:cs="Arial" w:eastAsia="Arial" w:hAnsi="Arial"/>
                <w:sz w:val="18"/>
                <w:szCs w:val="18"/>
                <w:b w:val="1"/>
                <w:bCs w:val="1"/>
                <w:i w:val="1"/>
                <w:iCs w:val="1"/>
                <w:color w:val="006098"/>
              </w:rPr>
              <w:t>Occupancy and Other Costs</w:t>
            </w:r>
          </w:p>
        </w:tc>
        <w:tc>
          <w:tcPr>
            <w:tcW w:w="100" w:type="dxa"/>
            <w:vAlign w:val="bottom"/>
            <w:tcBorders>
              <w:top w:val="single" w:sz="8" w:color="131E29"/>
            </w:tcBorders>
          </w:tcPr>
          <w:p>
            <w:pPr>
              <w:spacing w:after="0"/>
              <w:rPr>
                <w:sz w:val="24"/>
                <w:szCs w:val="24"/>
                <w:color w:val="auto"/>
              </w:rPr>
            </w:pPr>
          </w:p>
        </w:tc>
        <w:tc>
          <w:tcPr>
            <w:tcW w:w="102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40" w:type="dxa"/>
            <w:vAlign w:val="bottom"/>
            <w:tcBorders>
              <w:top w:val="single" w:sz="8" w:color="131E29"/>
            </w:tcBorders>
          </w:tcPr>
          <w:p>
            <w:pPr>
              <w:spacing w:after="0"/>
              <w:rPr>
                <w:sz w:val="24"/>
                <w:szCs w:val="24"/>
                <w:color w:val="auto"/>
              </w:rPr>
            </w:pPr>
          </w:p>
        </w:tc>
        <w:tc>
          <w:tcPr>
            <w:tcW w:w="1200" w:type="dxa"/>
            <w:vAlign w:val="bottom"/>
            <w:tcBorders>
              <w:top w:val="single" w:sz="8" w:color="131E29"/>
            </w:tcBorders>
          </w:tcPr>
          <w:p>
            <w:pPr>
              <w:spacing w:after="0"/>
              <w:rPr>
                <w:sz w:val="24"/>
                <w:szCs w:val="24"/>
                <w:color w:val="auto"/>
              </w:rPr>
            </w:pPr>
          </w:p>
        </w:tc>
        <w:tc>
          <w:tcPr>
            <w:tcW w:w="980" w:type="dxa"/>
            <w:vAlign w:val="bottom"/>
            <w:tcBorders>
              <w:top w:val="single" w:sz="8" w:color="131E29"/>
            </w:tcBorders>
          </w:tcPr>
          <w:p>
            <w:pPr>
              <w:spacing w:after="0"/>
              <w:rPr>
                <w:sz w:val="24"/>
                <w:szCs w:val="24"/>
                <w:color w:val="auto"/>
              </w:rPr>
            </w:pPr>
          </w:p>
        </w:tc>
        <w:tc>
          <w:tcPr>
            <w:tcW w:w="80" w:type="dxa"/>
            <w:vAlign w:val="bottom"/>
            <w:tcBorders>
              <w:top w:val="single" w:sz="8" w:color="131E29"/>
            </w:tcBorders>
          </w:tcPr>
          <w:p>
            <w:pPr>
              <w:spacing w:after="0"/>
              <w:rPr>
                <w:sz w:val="24"/>
                <w:szCs w:val="24"/>
                <w:color w:val="auto"/>
              </w:rPr>
            </w:pPr>
          </w:p>
        </w:tc>
        <w:tc>
          <w:tcPr>
            <w:tcW w:w="104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6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131E29"/>
            </w:tcBorders>
          </w:tcPr>
          <w:p>
            <w:pPr>
              <w:spacing w:after="0"/>
              <w:rPr>
                <w:sz w:val="24"/>
                <w:szCs w:val="24"/>
                <w:color w:val="auto"/>
              </w:rPr>
            </w:pPr>
          </w:p>
        </w:tc>
        <w:tc>
          <w:tcPr>
            <w:tcW w:w="4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66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131E29"/>
            </w:tcBorders>
          </w:tcPr>
          <w:p>
            <w:pPr>
              <w:spacing w:after="0"/>
              <w:rPr>
                <w:sz w:val="24"/>
                <w:szCs w:val="24"/>
                <w:color w:val="auto"/>
              </w:rPr>
            </w:pPr>
          </w:p>
        </w:tc>
        <w:tc>
          <w:tcPr>
            <w:tcW w:w="1060" w:type="dxa"/>
            <w:vAlign w:val="bottom"/>
            <w:tcBorders>
              <w:top w:val="single" w:sz="8" w:color="131E29"/>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131E29"/>
                <w:w w:val="99"/>
              </w:rPr>
              <w:t>Three Months Ended June 30,</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8"/>
          </w:tcPr>
          <w:p>
            <w:pPr>
              <w:ind w:left="20"/>
              <w:spacing w:after="0"/>
              <w:rPr>
                <w:sz w:val="20"/>
                <w:szCs w:val="20"/>
                <w:color w:val="auto"/>
              </w:rPr>
            </w:pPr>
            <w:r>
              <w:rPr>
                <w:rFonts w:ascii="Arial" w:cs="Arial" w:eastAsia="Arial" w:hAnsi="Arial"/>
                <w:sz w:val="18"/>
                <w:szCs w:val="18"/>
                <w:b w:val="1"/>
                <w:bCs w:val="1"/>
                <w:color w:val="131E29"/>
              </w:rPr>
              <w:t>Six Months Ended June 30,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60" w:type="dxa"/>
            <w:vAlign w:val="bottom"/>
            <w:gridSpan w:val="2"/>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120" w:type="dxa"/>
            <w:vAlign w:val="bottom"/>
            <w:tcBorders>
              <w:bottom w:val="single" w:sz="8" w:color="131E29"/>
            </w:tcBorders>
            <w:gridSpan w:val="2"/>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2180" w:type="dxa"/>
            <w:vAlign w:val="bottom"/>
            <w:tcBorders>
              <w:bottom w:val="single" w:sz="8" w:color="131E29"/>
            </w:tcBorders>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8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ind w:left="440"/>
              <w:spacing w:after="0"/>
              <w:rPr>
                <w:sz w:val="20"/>
                <w:szCs w:val="20"/>
                <w:color w:val="auto"/>
              </w:rPr>
            </w:pPr>
            <w:r>
              <w:rPr>
                <w:rFonts w:ascii="Arial" w:cs="Arial" w:eastAsia="Arial" w:hAnsi="Arial"/>
                <w:sz w:val="18"/>
                <w:szCs w:val="18"/>
                <w:b w:val="1"/>
                <w:bCs w:val="1"/>
                <w:color w:val="131E29"/>
              </w:rPr>
              <w:t>2022 v. 2021</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131E29"/>
              </w:rPr>
              <w:t>2021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gridSpan w:val="3"/>
          </w:tcPr>
          <w:p>
            <w:pPr>
              <w:jc w:val="right"/>
              <w:ind w:right="577"/>
              <w:spacing w:after="0"/>
              <w:rPr>
                <w:sz w:val="20"/>
                <w:szCs w:val="20"/>
                <w:color w:val="auto"/>
              </w:rPr>
            </w:pPr>
            <w:r>
              <w:rPr>
                <w:rFonts w:ascii="Arial" w:cs="Arial" w:eastAsia="Arial" w:hAnsi="Arial"/>
                <w:sz w:val="18"/>
                <w:szCs w:val="18"/>
                <w:b w:val="1"/>
                <w:bCs w:val="1"/>
                <w:color w:val="131E29"/>
                <w:w w:val="97"/>
              </w:rPr>
              <w:t>2022 v. 2021</w:t>
            </w:r>
          </w:p>
        </w:tc>
        <w:tc>
          <w:tcPr>
            <w:tcW w:w="0" w:type="dxa"/>
            <w:vAlign w:val="bottom"/>
          </w:tcPr>
          <w:p>
            <w:pPr>
              <w:spacing w:after="0"/>
              <w:rPr>
                <w:sz w:val="1"/>
                <w:szCs w:val="1"/>
                <w:color w:val="auto"/>
              </w:rPr>
            </w:pPr>
          </w:p>
        </w:tc>
      </w:tr>
      <w:tr>
        <w:trPr>
          <w:trHeight w:val="26"/>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640" w:type="dxa"/>
            <w:vAlign w:val="bottom"/>
            <w:tcBorders>
              <w:bottom w:val="single" w:sz="8" w:color="131E29"/>
            </w:tcBorders>
          </w:tcPr>
          <w:p>
            <w:pPr>
              <w:spacing w:after="0"/>
              <w:rPr>
                <w:sz w:val="2"/>
                <w:szCs w:val="2"/>
                <w:color w:val="auto"/>
              </w:rPr>
            </w:pPr>
          </w:p>
        </w:tc>
        <w:tc>
          <w:tcPr>
            <w:tcW w:w="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6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540" w:type="dxa"/>
            <w:vAlign w:val="bottom"/>
            <w:tcBorders>
              <w:bottom w:val="single" w:sz="8" w:color="131E29"/>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8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w:t>
            </w:r>
          </w:p>
        </w:tc>
        <w:tc>
          <w:tcPr>
            <w:tcW w:w="102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26,621</w:t>
            </w:r>
          </w:p>
        </w:tc>
        <w:tc>
          <w:tcPr>
            <w:tcW w:w="1120" w:type="dxa"/>
            <w:vAlign w:val="bottom"/>
            <w:gridSpan w:val="2"/>
            <w:vMerge w:val="restart"/>
            <w:shd w:val="clear" w:color="auto" w:fill="D2DCE5"/>
          </w:tcPr>
          <w:p>
            <w:pPr>
              <w:jc w:val="right"/>
              <w:ind w:right="80"/>
              <w:spacing w:after="0"/>
              <w:rPr>
                <w:sz w:val="20"/>
                <w:szCs w:val="20"/>
                <w:color w:val="auto"/>
              </w:rPr>
            </w:pPr>
            <w:r>
              <w:rPr>
                <w:rFonts w:ascii="Arial" w:cs="Arial" w:eastAsia="Arial" w:hAnsi="Arial"/>
                <w:sz w:val="18"/>
                <w:szCs w:val="18"/>
                <w:color w:val="131E29"/>
              </w:rPr>
              <w:t>$   13,642</w:t>
            </w:r>
          </w:p>
        </w:tc>
        <w:tc>
          <w:tcPr>
            <w:tcW w:w="100" w:type="dxa"/>
            <w:vAlign w:val="bottom"/>
            <w:shd w:val="clear" w:color="auto" w:fill="D2DCE5"/>
          </w:tcPr>
          <w:p>
            <w:pPr>
              <w:spacing w:after="0"/>
              <w:rPr>
                <w:sz w:val="18"/>
                <w:szCs w:val="18"/>
                <w:color w:val="auto"/>
              </w:rPr>
            </w:pPr>
          </w:p>
        </w:tc>
        <w:tc>
          <w:tcPr>
            <w:tcW w:w="240" w:type="dxa"/>
            <w:vAlign w:val="bottom"/>
            <w:vMerge w:val="restart"/>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200" w:type="dxa"/>
            <w:vAlign w:val="bottom"/>
            <w:vMerge w:val="restart"/>
            <w:shd w:val="clear" w:color="auto" w:fill="D2DCE5"/>
          </w:tcPr>
          <w:p>
            <w:pPr>
              <w:jc w:val="right"/>
              <w:ind w:right="390"/>
              <w:spacing w:after="0"/>
              <w:rPr>
                <w:sz w:val="20"/>
                <w:szCs w:val="20"/>
                <w:color w:val="auto"/>
              </w:rPr>
            </w:pPr>
            <w:r>
              <w:rPr>
                <w:rFonts w:ascii="Arial" w:cs="Arial" w:eastAsia="Arial" w:hAnsi="Arial"/>
                <w:sz w:val="18"/>
                <w:szCs w:val="18"/>
                <w:color w:val="131E29"/>
              </w:rPr>
              <w:t>12,979</w:t>
            </w:r>
          </w:p>
        </w:tc>
        <w:tc>
          <w:tcPr>
            <w:tcW w:w="980" w:type="dxa"/>
            <w:vAlign w:val="bottom"/>
            <w:vMerge w:val="restart"/>
            <w:shd w:val="clear" w:color="auto" w:fill="D2DCE5"/>
          </w:tcPr>
          <w:p>
            <w:pPr>
              <w:jc w:val="right"/>
              <w:ind w:right="310"/>
              <w:spacing w:after="0"/>
              <w:rPr>
                <w:sz w:val="20"/>
                <w:szCs w:val="20"/>
                <w:color w:val="auto"/>
              </w:rPr>
            </w:pPr>
            <w:r>
              <w:rPr>
                <w:rFonts w:ascii="Arial" w:cs="Arial" w:eastAsia="Arial" w:hAnsi="Arial"/>
                <w:sz w:val="18"/>
                <w:szCs w:val="18"/>
                <w:color w:val="131E29"/>
              </w:rPr>
              <w:t>95.1%</w:t>
            </w:r>
          </w:p>
        </w:tc>
        <w:tc>
          <w:tcPr>
            <w:tcW w:w="80" w:type="dxa"/>
            <w:vAlign w:val="bottom"/>
            <w:shd w:val="clear" w:color="auto" w:fill="D2DCE5"/>
          </w:tcPr>
          <w:p>
            <w:pPr>
              <w:spacing w:after="0"/>
              <w:rPr>
                <w:sz w:val="18"/>
                <w:szCs w:val="18"/>
                <w:color w:val="auto"/>
              </w:rPr>
            </w:pP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   49,624</w:t>
            </w:r>
          </w:p>
        </w:tc>
        <w:tc>
          <w:tcPr>
            <w:tcW w:w="100" w:type="dxa"/>
            <w:vAlign w:val="bottom"/>
            <w:shd w:val="clear" w:color="auto" w:fill="D2DCE5"/>
          </w:tcPr>
          <w:p>
            <w:pPr>
              <w:spacing w:after="0"/>
              <w:rPr>
                <w:sz w:val="18"/>
                <w:szCs w:val="18"/>
                <w:color w:val="auto"/>
              </w:rPr>
            </w:pPr>
          </w:p>
        </w:tc>
        <w:tc>
          <w:tcPr>
            <w:tcW w:w="1000" w:type="dxa"/>
            <w:vAlign w:val="bottom"/>
            <w:gridSpan w:val="3"/>
            <w:vMerge w:val="restart"/>
            <w:shd w:val="clear" w:color="auto" w:fill="D2DCE5"/>
          </w:tcPr>
          <w:p>
            <w:pPr>
              <w:ind w:left="20"/>
              <w:spacing w:after="0"/>
              <w:rPr>
                <w:sz w:val="20"/>
                <w:szCs w:val="20"/>
                <w:color w:val="auto"/>
              </w:rPr>
            </w:pPr>
            <w:r>
              <w:rPr>
                <w:rFonts w:ascii="Arial" w:cs="Arial" w:eastAsia="Arial" w:hAnsi="Arial"/>
                <w:sz w:val="18"/>
                <w:szCs w:val="18"/>
                <w:color w:val="131E29"/>
              </w:rPr>
              <w:t>$   25,443</w:t>
            </w:r>
          </w:p>
        </w:tc>
        <w:tc>
          <w:tcPr>
            <w:tcW w:w="1440" w:type="dxa"/>
            <w:vAlign w:val="bottom"/>
            <w:gridSpan w:val="5"/>
            <w:vMerge w:val="restart"/>
            <w:shd w:val="clear" w:color="auto" w:fill="D2DCE5"/>
          </w:tcPr>
          <w:p>
            <w:pPr>
              <w:jc w:val="right"/>
              <w:ind w:right="400"/>
              <w:spacing w:after="0"/>
              <w:rPr>
                <w:sz w:val="20"/>
                <w:szCs w:val="20"/>
                <w:color w:val="auto"/>
              </w:rPr>
            </w:pPr>
            <w:r>
              <w:rPr>
                <w:rFonts w:ascii="Arial" w:cs="Arial" w:eastAsia="Arial" w:hAnsi="Arial"/>
                <w:sz w:val="18"/>
                <w:szCs w:val="18"/>
                <w:color w:val="131E29"/>
              </w:rPr>
              <w:t>$   24,181</w:t>
            </w:r>
          </w:p>
        </w:tc>
        <w:tc>
          <w:tcPr>
            <w:tcW w:w="1060" w:type="dxa"/>
            <w:vAlign w:val="bottom"/>
            <w:vMerge w:val="restart"/>
            <w:shd w:val="clear" w:color="auto" w:fill="D2DCE5"/>
          </w:tcPr>
          <w:p>
            <w:pPr>
              <w:jc w:val="right"/>
              <w:ind w:right="297"/>
              <w:spacing w:after="0"/>
              <w:rPr>
                <w:sz w:val="20"/>
                <w:szCs w:val="20"/>
                <w:color w:val="auto"/>
              </w:rPr>
            </w:pPr>
            <w:r>
              <w:rPr>
                <w:rFonts w:ascii="Arial" w:cs="Arial" w:eastAsia="Arial" w:hAnsi="Arial"/>
                <w:sz w:val="18"/>
                <w:szCs w:val="18"/>
                <w:color w:val="131E29"/>
              </w:rPr>
              <w:t>95.0%</w:t>
            </w:r>
          </w:p>
        </w:tc>
        <w:tc>
          <w:tcPr>
            <w:tcW w:w="0" w:type="dxa"/>
            <w:vAlign w:val="bottom"/>
          </w:tcPr>
          <w:p>
            <w:pPr>
              <w:spacing w:after="0"/>
              <w:rPr>
                <w:sz w:val="1"/>
                <w:szCs w:val="1"/>
                <w:color w:val="auto"/>
              </w:rPr>
            </w:pPr>
          </w:p>
        </w:tc>
      </w:tr>
      <w:tr>
        <w:trPr>
          <w:trHeight w:val="208"/>
        </w:trPr>
        <w:tc>
          <w:tcPr>
            <w:tcW w:w="1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6"/>
                <w:szCs w:val="16"/>
                <w:color w:val="131E29"/>
              </w:rPr>
              <w:t>costs</w:t>
            </w:r>
          </w:p>
        </w:tc>
        <w:tc>
          <w:tcPr>
            <w:tcW w:w="1020" w:type="dxa"/>
            <w:vAlign w:val="bottom"/>
            <w:tcBorders>
              <w:bottom w:val="single" w:sz="8" w:color="D2DCE5"/>
            </w:tcBorders>
            <w:vMerge w:val="continue"/>
            <w:shd w:val="clear" w:color="auto" w:fill="D2DCE5"/>
          </w:tcPr>
          <w:p>
            <w:pPr>
              <w:spacing w:after="0"/>
              <w:rPr>
                <w:sz w:val="18"/>
                <w:szCs w:val="18"/>
                <w:color w:val="auto"/>
              </w:rPr>
            </w:pPr>
          </w:p>
        </w:tc>
        <w:tc>
          <w:tcPr>
            <w:tcW w:w="1120" w:type="dxa"/>
            <w:vAlign w:val="bottom"/>
            <w:tcBorders>
              <w:bottom w:val="single" w:sz="8" w:color="D2DCE5"/>
            </w:tcBorders>
            <w:gridSpan w:val="2"/>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D2DCE5"/>
            </w:tcBorders>
            <w:vMerge w:val="continue"/>
            <w:shd w:val="clear" w:color="auto" w:fill="D2DCE5"/>
          </w:tcPr>
          <w:p>
            <w:pPr>
              <w:spacing w:after="0"/>
              <w:rPr>
                <w:sz w:val="18"/>
                <w:szCs w:val="18"/>
                <w:color w:val="auto"/>
              </w:rPr>
            </w:pPr>
          </w:p>
        </w:tc>
        <w:tc>
          <w:tcPr>
            <w:tcW w:w="1200" w:type="dxa"/>
            <w:vAlign w:val="bottom"/>
            <w:tcBorders>
              <w:bottom w:val="single" w:sz="8" w:color="D2DCE5"/>
            </w:tcBorders>
            <w:vMerge w:val="continue"/>
            <w:shd w:val="clear" w:color="auto" w:fill="D2DCE5"/>
          </w:tcPr>
          <w:p>
            <w:pPr>
              <w:spacing w:after="0"/>
              <w:rPr>
                <w:sz w:val="18"/>
                <w:szCs w:val="18"/>
                <w:color w:val="auto"/>
              </w:rPr>
            </w:pPr>
          </w:p>
        </w:tc>
        <w:tc>
          <w:tcPr>
            <w:tcW w:w="980" w:type="dxa"/>
            <w:vAlign w:val="bottom"/>
            <w:tcBorders>
              <w:bottom w:val="single" w:sz="8" w:color="D2DCE5"/>
            </w:tcBorders>
            <w:vMerge w:val="continue"/>
            <w:shd w:val="clear" w:color="auto" w:fill="D2DCE5"/>
          </w:tcPr>
          <w:p>
            <w:pPr>
              <w:spacing w:after="0"/>
              <w:rPr>
                <w:sz w:val="18"/>
                <w:szCs w:val="18"/>
                <w:color w:val="auto"/>
              </w:rPr>
            </w:pPr>
          </w:p>
        </w:tc>
        <w:tc>
          <w:tcPr>
            <w:tcW w:w="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vMerge w:val="continue"/>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1000" w:type="dxa"/>
            <w:vAlign w:val="bottom"/>
            <w:tcBorders>
              <w:bottom w:val="single" w:sz="8" w:color="D2DCE5"/>
            </w:tcBorders>
            <w:gridSpan w:val="3"/>
            <w:vMerge w:val="continue"/>
            <w:shd w:val="clear" w:color="auto" w:fill="D2DCE5"/>
          </w:tcPr>
          <w:p>
            <w:pPr>
              <w:spacing w:after="0"/>
              <w:rPr>
                <w:sz w:val="18"/>
                <w:szCs w:val="18"/>
                <w:color w:val="auto"/>
              </w:rPr>
            </w:pPr>
          </w:p>
        </w:tc>
        <w:tc>
          <w:tcPr>
            <w:tcW w:w="1440" w:type="dxa"/>
            <w:vAlign w:val="bottom"/>
            <w:tcBorders>
              <w:bottom w:val="single" w:sz="8" w:color="D2DCE5"/>
            </w:tcBorders>
            <w:gridSpan w:val="5"/>
            <w:vMerge w:val="continue"/>
            <w:shd w:val="clear" w:color="auto" w:fill="D2DCE5"/>
          </w:tcPr>
          <w:p>
            <w:pPr>
              <w:spacing w:after="0"/>
              <w:rPr>
                <w:sz w:val="18"/>
                <w:szCs w:val="18"/>
                <w:color w:val="auto"/>
              </w:rPr>
            </w:pPr>
          </w:p>
        </w:tc>
        <w:tc>
          <w:tcPr>
            <w:tcW w:w="1060" w:type="dxa"/>
            <w:vAlign w:val="bottom"/>
            <w:tcBorders>
              <w:bottom w:val="single" w:sz="8" w:color="D2DCE5"/>
            </w:tcBorders>
            <w:vMerge w:val="continue"/>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131E29"/>
              </w:rPr>
              <w:t>16.6%</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131E29"/>
              </w:rPr>
              <w:t>13.2%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restart"/>
          </w:tcPr>
          <w:p>
            <w:pPr>
              <w:jc w:val="right"/>
              <w:ind w:right="690"/>
              <w:spacing w:after="0"/>
              <w:rPr>
                <w:sz w:val="20"/>
                <w:szCs w:val="20"/>
                <w:color w:val="auto"/>
              </w:rPr>
            </w:pPr>
            <w:r>
              <w:rPr>
                <w:rFonts w:ascii="Arial" w:cs="Arial" w:eastAsia="Arial" w:hAnsi="Arial"/>
                <w:sz w:val="18"/>
                <w:szCs w:val="18"/>
                <w:color w:val="131E29"/>
              </w:rPr>
              <w:t>N/A</w:t>
            </w:r>
          </w:p>
        </w:tc>
        <w:tc>
          <w:tcPr>
            <w:tcW w:w="1060" w:type="dxa"/>
            <w:vAlign w:val="bottom"/>
            <w:gridSpan w:val="2"/>
            <w:vMerge w:val="restart"/>
          </w:tcPr>
          <w:p>
            <w:pPr>
              <w:ind w:left="320"/>
              <w:spacing w:after="0"/>
              <w:rPr>
                <w:sz w:val="20"/>
                <w:szCs w:val="20"/>
                <w:color w:val="auto"/>
              </w:rPr>
            </w:pPr>
            <w:r>
              <w:rPr>
                <w:rFonts w:ascii="Arial" w:cs="Arial" w:eastAsia="Arial" w:hAnsi="Arial"/>
                <w:sz w:val="18"/>
                <w:szCs w:val="18"/>
                <w:color w:val="131E29"/>
              </w:rPr>
              <w:t>340 bps</w:t>
            </w: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131E29"/>
              </w:rPr>
              <w:t>17.1%</w:t>
            </w:r>
          </w:p>
        </w:tc>
        <w:tc>
          <w:tcPr>
            <w:tcW w:w="100" w:type="dxa"/>
            <w:vAlign w:val="bottom"/>
          </w:tcPr>
          <w:p>
            <w:pPr>
              <w:spacing w:after="0"/>
              <w:rPr>
                <w:sz w:val="17"/>
                <w:szCs w:val="17"/>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131E29"/>
              </w:rPr>
              <w:t>14.1%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131E29"/>
              </w:rPr>
              <w:t>N/A</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131E29"/>
              </w:rPr>
              <w:t>300 bps</w:t>
            </w:r>
          </w:p>
        </w:tc>
        <w:tc>
          <w:tcPr>
            <w:tcW w:w="0" w:type="dxa"/>
            <w:vAlign w:val="bottom"/>
          </w:tcPr>
          <w:p>
            <w:pPr>
              <w:spacing w:after="0"/>
              <w:rPr>
                <w:sz w:val="1"/>
                <w:szCs w:val="1"/>
                <w:color w:val="auto"/>
              </w:rPr>
            </w:pPr>
          </w:p>
        </w:tc>
      </w:tr>
      <w:tr>
        <w:trPr>
          <w:trHeight w:val="217"/>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131E29"/>
              </w:rPr>
              <w:t>revenue</w:t>
            </w:r>
          </w:p>
        </w:tc>
        <w:tc>
          <w:tcPr>
            <w:tcW w:w="10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occupancy and other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60" w:type="dxa"/>
            <w:vAlign w:val="bottom"/>
          </w:tcPr>
          <w:p>
            <w:pPr>
              <w:spacing w:after="0"/>
              <w:rPr>
                <w:sz w:val="20"/>
                <w:szCs w:val="20"/>
                <w:color w:val="auto"/>
              </w:rPr>
            </w:pPr>
          </w:p>
        </w:tc>
        <w:tc>
          <w:tcPr>
            <w:tcW w:w="980" w:type="dxa"/>
            <w:vAlign w:val="bottom"/>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8"/>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6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37"/>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9,731</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center"/>
              <w:ind w:left="938"/>
              <w:spacing w:after="0"/>
              <w:rPr>
                <w:sz w:val="20"/>
                <w:szCs w:val="20"/>
                <w:color w:val="auto"/>
              </w:rPr>
            </w:pPr>
            <w:r>
              <w:rPr>
                <w:rFonts w:ascii="Arial" w:cs="Arial" w:eastAsia="Arial" w:hAnsi="Arial"/>
                <w:sz w:val="16"/>
                <w:szCs w:val="16"/>
                <w:color w:val="131E29"/>
                <w:w w:val="97"/>
              </w:rPr>
              <w:t>N/A</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Other occupancy cost escalation</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524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50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Higher preventative maintenance programs and higher shop operating expenses</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1,823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Rent/CAMS</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552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30</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Higher new shop operating inefficiencies</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1,285</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Volume</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(223)</w:t>
            </w:r>
          </w:p>
        </w:tc>
        <w:tc>
          <w:tcPr>
            <w:tcW w:w="100" w:type="dxa"/>
            <w:vAlign w:val="bottom"/>
          </w:tcPr>
          <w:p>
            <w:pPr>
              <w:spacing w:after="0"/>
              <w:rPr>
                <w:sz w:val="20"/>
                <w:szCs w:val="20"/>
                <w:color w:val="auto"/>
              </w:rPr>
            </w:pPr>
          </w:p>
        </w:tc>
        <w:tc>
          <w:tcPr>
            <w:tcW w:w="1320" w:type="dxa"/>
            <w:vAlign w:val="bottom"/>
          </w:tcPr>
          <w:p>
            <w:pPr>
              <w:jc w:val="center"/>
              <w:ind w:left="938"/>
              <w:spacing w:after="0"/>
              <w:rPr>
                <w:sz w:val="20"/>
                <w:szCs w:val="20"/>
                <w:color w:val="auto"/>
              </w:rPr>
            </w:pPr>
            <w:r>
              <w:rPr>
                <w:rFonts w:ascii="Arial" w:cs="Arial" w:eastAsia="Arial" w:hAnsi="Arial"/>
                <w:sz w:val="16"/>
                <w:szCs w:val="16"/>
                <w:color w:val="131E29"/>
                <w:w w:val="97"/>
              </w:rPr>
              <w:t>N/A</w:t>
            </w:r>
          </w:p>
        </w:tc>
      </w:tr>
      <w:tr>
        <w:trPr>
          <w:trHeight w:val="25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tender reinstitution</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(713)</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center"/>
              <w:ind w:left="898"/>
              <w:spacing w:after="0"/>
              <w:rPr>
                <w:sz w:val="20"/>
                <w:szCs w:val="20"/>
                <w:color w:val="auto"/>
              </w:rPr>
            </w:pPr>
            <w:r>
              <w:rPr>
                <w:rFonts w:ascii="Arial" w:cs="Arial" w:eastAsia="Arial" w:hAnsi="Arial"/>
                <w:sz w:val="16"/>
                <w:szCs w:val="16"/>
                <w:color w:val="131E29"/>
              </w:rPr>
              <w:t>(40)</w:t>
            </w:r>
          </w:p>
        </w:tc>
      </w:tr>
      <w:tr>
        <w:trPr>
          <w:trHeight w:val="233"/>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Leverage/deleverage</w:t>
            </w:r>
          </w:p>
        </w:tc>
        <w:tc>
          <w:tcPr>
            <w:tcW w:w="3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tcPr>
          <w:p>
            <w:pPr>
              <w:jc w:val="right"/>
              <w:spacing w:after="0"/>
              <w:rPr>
                <w:sz w:val="20"/>
                <w:szCs w:val="20"/>
                <w:color w:val="auto"/>
              </w:rPr>
            </w:pPr>
            <w:r>
              <w:rPr>
                <w:rFonts w:ascii="Arial" w:cs="Arial" w:eastAsia="Arial" w:hAnsi="Arial"/>
                <w:sz w:val="16"/>
                <w:szCs w:val="16"/>
                <w:color w:val="131E29"/>
              </w:rPr>
              <w:t>180</w:t>
            </w:r>
          </w:p>
        </w:tc>
      </w:tr>
      <w:tr>
        <w:trPr>
          <w:trHeight w:val="246"/>
        </w:trPr>
        <w:tc>
          <w:tcPr>
            <w:tcW w:w="8400" w:type="dxa"/>
            <w:vAlign w:val="bottom"/>
            <w:tcBorders>
              <w:bottom w:val="single" w:sz="8" w:color="131E29"/>
            </w:tcBorders>
            <w:shd w:val="clear" w:color="auto" w:fill="D2DCE5"/>
          </w:tcPr>
          <w:p>
            <w:pPr>
              <w:ind w:left="20"/>
              <w:spacing w:after="0"/>
              <w:rPr>
                <w:sz w:val="20"/>
                <w:szCs w:val="20"/>
                <w:color w:val="auto"/>
              </w:rPr>
            </w:pPr>
            <w:r>
              <w:rPr>
                <w:rFonts w:ascii="Arial" w:cs="Arial" w:eastAsia="Arial" w:hAnsi="Arial"/>
                <w:sz w:val="16"/>
                <w:szCs w:val="16"/>
                <w:color w:val="131E29"/>
              </w:rPr>
              <w:t>Pricing impacts</w:t>
            </w:r>
          </w:p>
        </w:tc>
        <w:tc>
          <w:tcPr>
            <w:tcW w:w="80" w:type="dxa"/>
            <w:vAlign w:val="bottom"/>
            <w:shd w:val="clear" w:color="auto" w:fill="D2DCE5"/>
          </w:tcPr>
          <w:p>
            <w:pPr>
              <w:spacing w:after="0"/>
              <w:rPr>
                <w:sz w:val="21"/>
                <w:szCs w:val="21"/>
                <w:color w:val="auto"/>
              </w:rPr>
            </w:pPr>
          </w:p>
        </w:tc>
        <w:tc>
          <w:tcPr>
            <w:tcW w:w="360" w:type="dxa"/>
            <w:vAlign w:val="bottom"/>
            <w:tcBorders>
              <w:bottom w:val="single" w:sz="8" w:color="131E29"/>
            </w:tcBorders>
            <w:shd w:val="clear" w:color="auto" w:fill="D2DCE5"/>
          </w:tcPr>
          <w:p>
            <w:pPr>
              <w:spacing w:after="0"/>
              <w:rPr>
                <w:sz w:val="21"/>
                <w:szCs w:val="21"/>
                <w:color w:val="auto"/>
              </w:rPr>
            </w:pPr>
          </w:p>
        </w:tc>
        <w:tc>
          <w:tcPr>
            <w:tcW w:w="980" w:type="dxa"/>
            <w:vAlign w:val="bottom"/>
            <w:tcBorders>
              <w:bottom w:val="single" w:sz="8" w:color="131E29"/>
            </w:tcBorders>
            <w:shd w:val="clear" w:color="auto" w:fill="D2DCE5"/>
          </w:tcPr>
          <w:p>
            <w:pPr>
              <w:ind w:left="700"/>
              <w:spacing w:after="0"/>
              <w:rPr>
                <w:sz w:val="20"/>
                <w:szCs w:val="20"/>
                <w:color w:val="auto"/>
              </w:rPr>
            </w:pPr>
            <w:r>
              <w:rPr>
                <w:rFonts w:ascii="Arial" w:cs="Arial" w:eastAsia="Arial" w:hAnsi="Arial"/>
                <w:sz w:val="16"/>
                <w:szCs w:val="16"/>
                <w:color w:val="131E29"/>
                <w:w w:val="97"/>
              </w:rPr>
              <w:t>N/A</w:t>
            </w:r>
          </w:p>
        </w:tc>
        <w:tc>
          <w:tcPr>
            <w:tcW w:w="100" w:type="dxa"/>
            <w:vAlign w:val="bottom"/>
            <w:shd w:val="clear" w:color="auto" w:fill="D2DCE5"/>
          </w:tcPr>
          <w:p>
            <w:pPr>
              <w:spacing w:after="0"/>
              <w:rPr>
                <w:sz w:val="21"/>
                <w:szCs w:val="21"/>
                <w:color w:val="auto"/>
              </w:rPr>
            </w:pPr>
          </w:p>
        </w:tc>
        <w:tc>
          <w:tcPr>
            <w:tcW w:w="1320" w:type="dxa"/>
            <w:vAlign w:val="bottom"/>
            <w:tcBorders>
              <w:bottom w:val="single" w:sz="8" w:color="131E29"/>
            </w:tcBorders>
            <w:shd w:val="clear" w:color="auto" w:fill="D2DCE5"/>
          </w:tcPr>
          <w:p>
            <w:pPr>
              <w:jc w:val="center"/>
              <w:ind w:left="898"/>
              <w:spacing w:after="0"/>
              <w:rPr>
                <w:sz w:val="20"/>
                <w:szCs w:val="20"/>
                <w:color w:val="auto"/>
              </w:rPr>
            </w:pPr>
            <w:r>
              <w:rPr>
                <w:rFonts w:ascii="Arial" w:cs="Arial" w:eastAsia="Arial" w:hAnsi="Arial"/>
                <w:sz w:val="16"/>
                <w:szCs w:val="16"/>
                <w:color w:val="131E29"/>
              </w:rPr>
              <w:t>(70)</w:t>
            </w:r>
          </w:p>
        </w:tc>
      </w:tr>
      <w:tr>
        <w:trPr>
          <w:trHeight w:val="237"/>
        </w:trPr>
        <w:tc>
          <w:tcPr>
            <w:tcW w:w="8400" w:type="dxa"/>
            <w:vAlign w:val="bottom"/>
            <w:tcBorders>
              <w:bottom w:val="single" w:sz="8" w:color="131E29"/>
            </w:tcBorders>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tcPr>
          <w:p>
            <w:pPr>
              <w:spacing w:after="0"/>
              <w:rPr>
                <w:sz w:val="20"/>
                <w:szCs w:val="20"/>
                <w:color w:val="auto"/>
              </w:rPr>
            </w:pPr>
          </w:p>
        </w:tc>
        <w:tc>
          <w:tcPr>
            <w:tcW w:w="360" w:type="dxa"/>
            <w:vAlign w:val="bottom"/>
            <w:tcBorders>
              <w:bottom w:val="single" w:sz="8" w:color="131E29"/>
            </w:tcBorders>
          </w:tcPr>
          <w:p>
            <w:pPr>
              <w:jc w:val="right"/>
              <w:ind w:right="159"/>
              <w:spacing w:after="0"/>
              <w:rPr>
                <w:sz w:val="20"/>
                <w:szCs w:val="20"/>
                <w:color w:val="auto"/>
              </w:rPr>
            </w:pPr>
            <w:r>
              <w:rPr>
                <w:rFonts w:ascii="Arial" w:cs="Arial" w:eastAsia="Arial" w:hAnsi="Arial"/>
                <w:sz w:val="16"/>
                <w:szCs w:val="16"/>
                <w:b w:val="1"/>
                <w:bCs w:val="1"/>
                <w:color w:val="131E29"/>
              </w:rPr>
              <w:t>$</w:t>
            </w:r>
          </w:p>
        </w:tc>
        <w:tc>
          <w:tcPr>
            <w:tcW w:w="98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12,979</w:t>
            </w:r>
          </w:p>
        </w:tc>
        <w:tc>
          <w:tcPr>
            <w:tcW w:w="100" w:type="dxa"/>
            <w:vAlign w:val="bottom"/>
          </w:tcPr>
          <w:p>
            <w:pPr>
              <w:spacing w:after="0"/>
              <w:rPr>
                <w:sz w:val="20"/>
                <w:szCs w:val="20"/>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340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occupancy and other costs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7"/>
              <w:spacing w:after="0"/>
              <w:rPr>
                <w:sz w:val="20"/>
                <w:szCs w:val="20"/>
                <w:color w:val="auto"/>
              </w:rPr>
            </w:pPr>
            <w:r>
              <w:rPr>
                <w:rFonts w:ascii="Arial" w:cs="Arial" w:eastAsia="Arial" w:hAnsi="Arial"/>
                <w:sz w:val="18"/>
                <w:szCs w:val="18"/>
                <w:b w:val="1"/>
                <w:bCs w:val="1"/>
                <w:color w:val="131E29"/>
              </w:rPr>
              <w:t>BPS</w:t>
            </w:r>
          </w:p>
        </w:tc>
        <w:tc>
          <w:tcPr>
            <w:tcW w:w="0" w:type="dxa"/>
            <w:vAlign w:val="bottom"/>
          </w:tcPr>
          <w:p>
            <w:pPr>
              <w:spacing w:after="0"/>
              <w:rPr>
                <w:sz w:val="1"/>
                <w:szCs w:val="1"/>
                <w:color w:val="auto"/>
              </w:rPr>
            </w:pPr>
          </w:p>
        </w:tc>
      </w:tr>
      <w:tr>
        <w:trPr>
          <w:trHeight w:val="26"/>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540" w:type="dxa"/>
            <w:vAlign w:val="bottom"/>
            <w:tcBorders>
              <w:bottom w:val="single" w:sz="8" w:color="131E29"/>
            </w:tcBorders>
            <w:gridSpan w:val="2"/>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00" w:type="dxa"/>
            <w:vAlign w:val="bottom"/>
            <w:tcBorders>
              <w:bottom w:val="single" w:sz="8" w:color="131E29"/>
            </w:tcBorders>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20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220" w:type="dxa"/>
            <w:vAlign w:val="bottom"/>
            <w:shd w:val="clear" w:color="auto" w:fill="D2DCE5"/>
          </w:tcPr>
          <w:p>
            <w:pPr>
              <w:spacing w:after="0"/>
              <w:rPr>
                <w:sz w:val="20"/>
                <w:szCs w:val="20"/>
                <w:color w:val="auto"/>
              </w:rPr>
            </w:pPr>
          </w:p>
        </w:tc>
        <w:tc>
          <w:tcPr>
            <w:tcW w:w="10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64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16,263</w:t>
            </w:r>
          </w:p>
        </w:tc>
        <w:tc>
          <w:tcPr>
            <w:tcW w:w="100" w:type="dxa"/>
            <w:vAlign w:val="bottom"/>
            <w:shd w:val="clear" w:color="auto" w:fill="D2DCE5"/>
          </w:tcPr>
          <w:p>
            <w:pPr>
              <w:spacing w:after="0"/>
              <w:rPr>
                <w:sz w:val="20"/>
                <w:szCs w:val="20"/>
                <w:color w:val="auto"/>
              </w:rPr>
            </w:pPr>
          </w:p>
        </w:tc>
        <w:tc>
          <w:tcPr>
            <w:tcW w:w="400" w:type="dxa"/>
            <w:vAlign w:val="bottom"/>
            <w:shd w:val="clear" w:color="auto" w:fill="D2DCE5"/>
          </w:tcPr>
          <w:p>
            <w:pPr>
              <w:spacing w:after="0"/>
              <w:rPr>
                <w:sz w:val="20"/>
                <w:szCs w:val="20"/>
                <w:color w:val="auto"/>
              </w:rPr>
            </w:pPr>
          </w:p>
        </w:tc>
        <w:tc>
          <w:tcPr>
            <w:tcW w:w="1200" w:type="dxa"/>
            <w:vAlign w:val="bottom"/>
            <w:shd w:val="clear" w:color="auto" w:fill="D2DCE5"/>
          </w:tcPr>
          <w:p>
            <w:pPr>
              <w:jc w:val="center"/>
              <w:ind w:left="817"/>
              <w:spacing w:after="0"/>
              <w:rPr>
                <w:sz w:val="20"/>
                <w:szCs w:val="20"/>
                <w:color w:val="auto"/>
              </w:rPr>
            </w:pPr>
            <w:r>
              <w:rPr>
                <w:rFonts w:ascii="Arial" w:cs="Arial" w:eastAsia="Arial" w:hAnsi="Arial"/>
                <w:sz w:val="16"/>
                <w:szCs w:val="16"/>
                <w:color w:val="131E29"/>
                <w:w w:val="97"/>
              </w:rPr>
              <w:t>N/A</w:t>
            </w:r>
          </w:p>
        </w:tc>
        <w:tc>
          <w:tcPr>
            <w:tcW w:w="0" w:type="dxa"/>
            <w:vAlign w:val="bottom"/>
          </w:tcPr>
          <w:p>
            <w:pPr>
              <w:spacing w:after="0"/>
              <w:rPr>
                <w:sz w:val="1"/>
                <w:szCs w:val="1"/>
                <w:color w:val="auto"/>
              </w:rPr>
            </w:pPr>
          </w:p>
        </w:tc>
      </w:tr>
      <w:tr>
        <w:trPr>
          <w:trHeight w:val="233"/>
        </w:trPr>
        <w:tc>
          <w:tcPr>
            <w:tcW w:w="2440" w:type="dxa"/>
            <w:vAlign w:val="bottom"/>
            <w:gridSpan w:val="3"/>
          </w:tcPr>
          <w:p>
            <w:pPr>
              <w:ind w:left="20"/>
              <w:spacing w:after="0"/>
              <w:rPr>
                <w:sz w:val="20"/>
                <w:szCs w:val="20"/>
                <w:color w:val="auto"/>
              </w:rPr>
            </w:pPr>
            <w:r>
              <w:rPr>
                <w:rFonts w:ascii="Arial" w:cs="Arial" w:eastAsia="Arial" w:hAnsi="Arial"/>
                <w:sz w:val="16"/>
                <w:szCs w:val="16"/>
                <w:color w:val="131E29"/>
              </w:rPr>
              <w:t>Other occupancy cost escalation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131E29"/>
              </w:rPr>
              <w:t>2,452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131E29"/>
              </w:rPr>
              <w:t>90</w:t>
            </w:r>
          </w:p>
        </w:tc>
        <w:tc>
          <w:tcPr>
            <w:tcW w:w="0" w:type="dxa"/>
            <w:vAlign w:val="bottom"/>
          </w:tcPr>
          <w:p>
            <w:pPr>
              <w:spacing w:after="0"/>
              <w:rPr>
                <w:sz w:val="1"/>
                <w:szCs w:val="1"/>
                <w:color w:val="auto"/>
              </w:rPr>
            </w:pPr>
          </w:p>
        </w:tc>
      </w:tr>
      <w:tr>
        <w:trPr>
          <w:trHeight w:val="253"/>
        </w:trPr>
        <w:tc>
          <w:tcPr>
            <w:tcW w:w="5820" w:type="dxa"/>
            <w:vAlign w:val="bottom"/>
            <w:gridSpan w:val="10"/>
            <w:shd w:val="clear" w:color="auto" w:fill="D2DCE5"/>
          </w:tcPr>
          <w:p>
            <w:pPr>
              <w:ind w:left="20"/>
              <w:spacing w:after="0"/>
              <w:rPr>
                <w:sz w:val="20"/>
                <w:szCs w:val="20"/>
                <w:color w:val="auto"/>
              </w:rPr>
            </w:pPr>
            <w:r>
              <w:rPr>
                <w:rFonts w:ascii="Arial" w:cs="Arial" w:eastAsia="Arial" w:hAnsi="Arial"/>
                <w:sz w:val="16"/>
                <w:szCs w:val="16"/>
                <w:color w:val="131E29"/>
              </w:rPr>
              <w:t>Higher preventative maintenance programs and higher shop operating expenses</w:t>
            </w:r>
          </w:p>
        </w:tc>
        <w:tc>
          <w:tcPr>
            <w:tcW w:w="10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800" w:type="dxa"/>
            <w:vAlign w:val="bottom"/>
            <w:shd w:val="clear" w:color="auto" w:fill="D2DCE5"/>
          </w:tcPr>
          <w:p>
            <w:pPr>
              <w:spacing w:after="0"/>
              <w:rPr>
                <w:sz w:val="21"/>
                <w:szCs w:val="21"/>
                <w:color w:val="auto"/>
              </w:rPr>
            </w:pPr>
          </w:p>
        </w:tc>
        <w:tc>
          <w:tcPr>
            <w:tcW w:w="64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3,690</w:t>
            </w:r>
          </w:p>
        </w:tc>
        <w:tc>
          <w:tcPr>
            <w:tcW w:w="100" w:type="dxa"/>
            <w:vAlign w:val="bottom"/>
            <w:shd w:val="clear" w:color="auto" w:fill="D2DCE5"/>
          </w:tcPr>
          <w:p>
            <w:pPr>
              <w:spacing w:after="0"/>
              <w:rPr>
                <w:sz w:val="21"/>
                <w:szCs w:val="21"/>
                <w:color w:val="auto"/>
              </w:rPr>
            </w:pPr>
          </w:p>
        </w:tc>
        <w:tc>
          <w:tcPr>
            <w:tcW w:w="400" w:type="dxa"/>
            <w:vAlign w:val="bottom"/>
            <w:shd w:val="clear" w:color="auto" w:fill="D2DCE5"/>
          </w:tcPr>
          <w:p>
            <w:pPr>
              <w:spacing w:after="0"/>
              <w:rPr>
                <w:sz w:val="21"/>
                <w:szCs w:val="21"/>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130</w:t>
            </w:r>
          </w:p>
        </w:tc>
        <w:tc>
          <w:tcPr>
            <w:tcW w:w="0" w:type="dxa"/>
            <w:vAlign w:val="bottom"/>
          </w:tcPr>
          <w:p>
            <w:pPr>
              <w:spacing w:after="0"/>
              <w:rPr>
                <w:sz w:val="1"/>
                <w:szCs w:val="1"/>
                <w:color w:val="auto"/>
              </w:rPr>
            </w:pPr>
          </w:p>
        </w:tc>
      </w:tr>
      <w:tr>
        <w:trPr>
          <w:trHeight w:val="233"/>
        </w:trPr>
        <w:tc>
          <w:tcPr>
            <w:tcW w:w="2240" w:type="dxa"/>
            <w:vAlign w:val="bottom"/>
            <w:gridSpan w:val="2"/>
          </w:tcPr>
          <w:p>
            <w:pPr>
              <w:ind w:left="20"/>
              <w:spacing w:after="0"/>
              <w:rPr>
                <w:sz w:val="20"/>
                <w:szCs w:val="20"/>
                <w:color w:val="auto"/>
              </w:rPr>
            </w:pPr>
            <w:r>
              <w:rPr>
                <w:rFonts w:ascii="Arial" w:cs="Arial" w:eastAsia="Arial" w:hAnsi="Arial"/>
                <w:sz w:val="16"/>
                <w:szCs w:val="16"/>
                <w:color w:val="131E29"/>
              </w:rPr>
              <w:t>Rent/CAMS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131E29"/>
              </w:rPr>
              <w:t>1,277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131E29"/>
              </w:rPr>
              <w:t>40</w:t>
            </w:r>
          </w:p>
        </w:tc>
        <w:tc>
          <w:tcPr>
            <w:tcW w:w="0" w:type="dxa"/>
            <w:vAlign w:val="bottom"/>
          </w:tcPr>
          <w:p>
            <w:pPr>
              <w:spacing w:after="0"/>
              <w:rPr>
                <w:sz w:val="1"/>
                <w:szCs w:val="1"/>
                <w:color w:val="auto"/>
              </w:rPr>
            </w:pPr>
          </w:p>
        </w:tc>
      </w:tr>
      <w:tr>
        <w:trPr>
          <w:trHeight w:val="253"/>
        </w:trPr>
        <w:tc>
          <w:tcPr>
            <w:tcW w:w="3220" w:type="dxa"/>
            <w:vAlign w:val="bottom"/>
            <w:gridSpan w:val="4"/>
            <w:shd w:val="clear" w:color="auto" w:fill="D2DCE5"/>
          </w:tcPr>
          <w:p>
            <w:pPr>
              <w:ind w:left="20"/>
              <w:spacing w:after="0"/>
              <w:rPr>
                <w:sz w:val="20"/>
                <w:szCs w:val="20"/>
                <w:color w:val="auto"/>
              </w:rPr>
            </w:pPr>
            <w:r>
              <w:rPr>
                <w:rFonts w:ascii="Arial" w:cs="Arial" w:eastAsia="Arial" w:hAnsi="Arial"/>
                <w:sz w:val="16"/>
                <w:szCs w:val="16"/>
                <w:color w:val="131E29"/>
              </w:rPr>
              <w:t>Higher new shop operating inefficiencies</w:t>
            </w: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800" w:type="dxa"/>
            <w:vAlign w:val="bottom"/>
            <w:shd w:val="clear" w:color="auto" w:fill="D2DCE5"/>
          </w:tcPr>
          <w:p>
            <w:pPr>
              <w:spacing w:after="0"/>
              <w:rPr>
                <w:sz w:val="21"/>
                <w:szCs w:val="21"/>
                <w:color w:val="auto"/>
              </w:rPr>
            </w:pPr>
          </w:p>
        </w:tc>
        <w:tc>
          <w:tcPr>
            <w:tcW w:w="640" w:type="dxa"/>
            <w:vAlign w:val="bottom"/>
            <w:gridSpan w:val="3"/>
            <w:shd w:val="clear" w:color="auto" w:fill="D2DCE5"/>
          </w:tcPr>
          <w:p>
            <w:pPr>
              <w:jc w:val="right"/>
              <w:spacing w:after="0"/>
              <w:rPr>
                <w:sz w:val="20"/>
                <w:szCs w:val="20"/>
                <w:color w:val="auto"/>
              </w:rPr>
            </w:pPr>
            <w:r>
              <w:rPr>
                <w:rFonts w:ascii="Arial" w:cs="Arial" w:eastAsia="Arial" w:hAnsi="Arial"/>
                <w:sz w:val="16"/>
                <w:szCs w:val="16"/>
                <w:color w:val="131E29"/>
              </w:rPr>
              <w:t>1,951</w:t>
            </w:r>
          </w:p>
        </w:tc>
        <w:tc>
          <w:tcPr>
            <w:tcW w:w="100" w:type="dxa"/>
            <w:vAlign w:val="bottom"/>
            <w:shd w:val="clear" w:color="auto" w:fill="D2DCE5"/>
          </w:tcPr>
          <w:p>
            <w:pPr>
              <w:spacing w:after="0"/>
              <w:rPr>
                <w:sz w:val="21"/>
                <w:szCs w:val="21"/>
                <w:color w:val="auto"/>
              </w:rPr>
            </w:pPr>
          </w:p>
        </w:tc>
        <w:tc>
          <w:tcPr>
            <w:tcW w:w="400" w:type="dxa"/>
            <w:vAlign w:val="bottom"/>
            <w:shd w:val="clear" w:color="auto" w:fill="D2DCE5"/>
          </w:tcPr>
          <w:p>
            <w:pPr>
              <w:spacing w:after="0"/>
              <w:rPr>
                <w:sz w:val="21"/>
                <w:szCs w:val="21"/>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70</w:t>
            </w:r>
          </w:p>
        </w:tc>
        <w:tc>
          <w:tcPr>
            <w:tcW w:w="0" w:type="dxa"/>
            <w:vAlign w:val="bottom"/>
          </w:tcPr>
          <w:p>
            <w:pPr>
              <w:spacing w:after="0"/>
              <w:rPr>
                <w:sz w:val="1"/>
                <w:szCs w:val="1"/>
                <w:color w:val="auto"/>
              </w:rPr>
            </w:pPr>
          </w:p>
        </w:tc>
      </w:tr>
      <w:tr>
        <w:trPr>
          <w:trHeight w:val="233"/>
        </w:trPr>
        <w:tc>
          <w:tcPr>
            <w:tcW w:w="2240" w:type="dxa"/>
            <w:vAlign w:val="bottom"/>
            <w:gridSpan w:val="2"/>
          </w:tcPr>
          <w:p>
            <w:pPr>
              <w:ind w:left="20"/>
              <w:spacing w:after="0"/>
              <w:rPr>
                <w:sz w:val="20"/>
                <w:szCs w:val="20"/>
                <w:color w:val="auto"/>
              </w:rPr>
            </w:pPr>
            <w:r>
              <w:rPr>
                <w:rFonts w:ascii="Arial" w:cs="Arial" w:eastAsia="Arial" w:hAnsi="Arial"/>
                <w:sz w:val="16"/>
                <w:szCs w:val="16"/>
                <w:color w:val="131E29"/>
              </w:rPr>
              <w:t>Volume</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131E29"/>
              </w:rPr>
              <w:t>197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center"/>
              <w:ind w:left="817"/>
              <w:spacing w:after="0"/>
              <w:rPr>
                <w:sz w:val="20"/>
                <w:szCs w:val="20"/>
                <w:color w:val="auto"/>
              </w:rPr>
            </w:pPr>
            <w:r>
              <w:rPr>
                <w:rFonts w:ascii="Arial" w:cs="Arial" w:eastAsia="Arial" w:hAnsi="Arial"/>
                <w:sz w:val="16"/>
                <w:szCs w:val="16"/>
                <w:color w:val="131E29"/>
                <w:w w:val="97"/>
              </w:rPr>
              <w:t>N/A</w:t>
            </w:r>
          </w:p>
        </w:tc>
        <w:tc>
          <w:tcPr>
            <w:tcW w:w="0" w:type="dxa"/>
            <w:vAlign w:val="bottom"/>
          </w:tcPr>
          <w:p>
            <w:pPr>
              <w:spacing w:after="0"/>
              <w:rPr>
                <w:sz w:val="1"/>
                <w:szCs w:val="1"/>
                <w:color w:val="auto"/>
              </w:rPr>
            </w:pPr>
          </w:p>
        </w:tc>
      </w:tr>
      <w:tr>
        <w:trPr>
          <w:trHeight w:val="253"/>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tender reinstitution</w:t>
            </w:r>
          </w:p>
        </w:tc>
        <w:tc>
          <w:tcPr>
            <w:tcW w:w="200" w:type="dxa"/>
            <w:vAlign w:val="bottom"/>
            <w:shd w:val="clear" w:color="auto" w:fill="D2DCE5"/>
          </w:tcPr>
          <w:p>
            <w:pPr>
              <w:spacing w:after="0"/>
              <w:rPr>
                <w:sz w:val="21"/>
                <w:szCs w:val="21"/>
                <w:color w:val="auto"/>
              </w:rPr>
            </w:pPr>
          </w:p>
        </w:tc>
        <w:tc>
          <w:tcPr>
            <w:tcW w:w="7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800" w:type="dxa"/>
            <w:vAlign w:val="bottom"/>
            <w:shd w:val="clear" w:color="auto" w:fill="D2DCE5"/>
          </w:tcPr>
          <w:p>
            <w:pPr>
              <w:spacing w:after="0"/>
              <w:rPr>
                <w:sz w:val="21"/>
                <w:szCs w:val="21"/>
                <w:color w:val="auto"/>
              </w:rPr>
            </w:pPr>
          </w:p>
        </w:tc>
        <w:tc>
          <w:tcPr>
            <w:tcW w:w="640" w:type="dxa"/>
            <w:vAlign w:val="bottom"/>
            <w:gridSpan w:val="3"/>
            <w:shd w:val="clear" w:color="auto" w:fill="D2DCE5"/>
          </w:tcPr>
          <w:p>
            <w:pPr>
              <w:ind w:left="100"/>
              <w:spacing w:after="0"/>
              <w:rPr>
                <w:sz w:val="20"/>
                <w:szCs w:val="20"/>
                <w:color w:val="auto"/>
              </w:rPr>
            </w:pPr>
            <w:r>
              <w:rPr>
                <w:rFonts w:ascii="Arial" w:cs="Arial" w:eastAsia="Arial" w:hAnsi="Arial"/>
                <w:sz w:val="16"/>
                <w:szCs w:val="16"/>
                <w:color w:val="131E29"/>
              </w:rPr>
              <w:t>(1,649)</w:t>
            </w:r>
          </w:p>
        </w:tc>
        <w:tc>
          <w:tcPr>
            <w:tcW w:w="100" w:type="dxa"/>
            <w:vAlign w:val="bottom"/>
            <w:shd w:val="clear" w:color="auto" w:fill="D2DCE5"/>
          </w:tcPr>
          <w:p>
            <w:pPr>
              <w:spacing w:after="0"/>
              <w:rPr>
                <w:sz w:val="21"/>
                <w:szCs w:val="21"/>
                <w:color w:val="auto"/>
              </w:rPr>
            </w:pPr>
          </w:p>
        </w:tc>
        <w:tc>
          <w:tcPr>
            <w:tcW w:w="400" w:type="dxa"/>
            <w:vAlign w:val="bottom"/>
            <w:shd w:val="clear" w:color="auto" w:fill="D2DCE5"/>
          </w:tcPr>
          <w:p>
            <w:pPr>
              <w:spacing w:after="0"/>
              <w:rPr>
                <w:sz w:val="21"/>
                <w:szCs w:val="21"/>
                <w:color w:val="auto"/>
              </w:rPr>
            </w:pPr>
          </w:p>
        </w:tc>
        <w:tc>
          <w:tcPr>
            <w:tcW w:w="1200" w:type="dxa"/>
            <w:vAlign w:val="bottom"/>
            <w:shd w:val="clear" w:color="auto" w:fill="D2DCE5"/>
          </w:tcPr>
          <w:p>
            <w:pPr>
              <w:jc w:val="center"/>
              <w:ind w:left="777"/>
              <w:spacing w:after="0"/>
              <w:rPr>
                <w:sz w:val="20"/>
                <w:szCs w:val="20"/>
                <w:color w:val="auto"/>
              </w:rPr>
            </w:pPr>
            <w:r>
              <w:rPr>
                <w:rFonts w:ascii="Arial" w:cs="Arial" w:eastAsia="Arial" w:hAnsi="Arial"/>
                <w:sz w:val="16"/>
                <w:szCs w:val="16"/>
                <w:color w:val="131E29"/>
              </w:rPr>
              <w:t>(60)</w:t>
            </w:r>
          </w:p>
        </w:tc>
        <w:tc>
          <w:tcPr>
            <w:tcW w:w="0" w:type="dxa"/>
            <w:vAlign w:val="bottom"/>
          </w:tcPr>
          <w:p>
            <w:pPr>
              <w:spacing w:after="0"/>
              <w:rPr>
                <w:sz w:val="1"/>
                <w:szCs w:val="1"/>
                <w:color w:val="auto"/>
              </w:rPr>
            </w:pPr>
          </w:p>
        </w:tc>
      </w:tr>
      <w:tr>
        <w:trPr>
          <w:trHeight w:val="233"/>
        </w:trPr>
        <w:tc>
          <w:tcPr>
            <w:tcW w:w="2240" w:type="dxa"/>
            <w:vAlign w:val="bottom"/>
            <w:gridSpan w:val="2"/>
          </w:tcPr>
          <w:p>
            <w:pPr>
              <w:ind w:left="20"/>
              <w:spacing w:after="0"/>
              <w:rPr>
                <w:sz w:val="20"/>
                <w:szCs w:val="20"/>
                <w:color w:val="auto"/>
              </w:rPr>
            </w:pPr>
            <w:r>
              <w:rPr>
                <w:rFonts w:ascii="Arial" w:cs="Arial" w:eastAsia="Arial" w:hAnsi="Arial"/>
                <w:sz w:val="16"/>
                <w:szCs w:val="16"/>
                <w:color w:val="131E29"/>
              </w:rPr>
              <w:t>Leverage/deleverage</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ind w:left="100"/>
              <w:spacing w:after="0"/>
              <w:rPr>
                <w:sz w:val="20"/>
                <w:szCs w:val="20"/>
                <w:color w:val="auto"/>
              </w:rPr>
            </w:pPr>
            <w:r>
              <w:rPr>
                <w:rFonts w:ascii="Arial" w:cs="Arial" w:eastAsia="Arial" w:hAnsi="Arial"/>
                <w:sz w:val="16"/>
                <w:szCs w:val="16"/>
                <w:color w:val="131E29"/>
              </w:rPr>
              <w:t>N/A</w:t>
            </w:r>
          </w:p>
        </w:tc>
        <w:tc>
          <w:tcPr>
            <w:tcW w:w="1200" w:type="dxa"/>
            <w:vAlign w:val="bottom"/>
          </w:tcPr>
          <w:p>
            <w:pPr>
              <w:jc w:val="right"/>
              <w:spacing w:after="0"/>
              <w:rPr>
                <w:sz w:val="20"/>
                <w:szCs w:val="20"/>
                <w:color w:val="auto"/>
              </w:rPr>
            </w:pPr>
            <w:r>
              <w:rPr>
                <w:rFonts w:ascii="Arial" w:cs="Arial" w:eastAsia="Arial" w:hAnsi="Arial"/>
                <w:sz w:val="16"/>
                <w:szCs w:val="16"/>
                <w:color w:val="131E29"/>
              </w:rPr>
              <w:t>100</w:t>
            </w:r>
          </w:p>
        </w:tc>
        <w:tc>
          <w:tcPr>
            <w:tcW w:w="0" w:type="dxa"/>
            <w:vAlign w:val="bottom"/>
          </w:tcPr>
          <w:p>
            <w:pPr>
              <w:spacing w:after="0"/>
              <w:rPr>
                <w:sz w:val="1"/>
                <w:szCs w:val="1"/>
                <w:color w:val="auto"/>
              </w:rPr>
            </w:pPr>
          </w:p>
        </w:tc>
      </w:tr>
      <w:tr>
        <w:trPr>
          <w:trHeight w:val="253"/>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Pricing impacts</w:t>
            </w:r>
          </w:p>
        </w:tc>
        <w:tc>
          <w:tcPr>
            <w:tcW w:w="200" w:type="dxa"/>
            <w:vAlign w:val="bottom"/>
            <w:shd w:val="clear" w:color="auto" w:fill="D2DCE5"/>
          </w:tcPr>
          <w:p>
            <w:pPr>
              <w:spacing w:after="0"/>
              <w:rPr>
                <w:sz w:val="21"/>
                <w:szCs w:val="21"/>
                <w:color w:val="auto"/>
              </w:rPr>
            </w:pPr>
          </w:p>
        </w:tc>
        <w:tc>
          <w:tcPr>
            <w:tcW w:w="7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0" w:type="dxa"/>
            <w:vAlign w:val="bottom"/>
            <w:shd w:val="clear" w:color="auto" w:fill="D2DCE5"/>
          </w:tcPr>
          <w:p>
            <w:pPr>
              <w:spacing w:after="0"/>
              <w:rPr>
                <w:sz w:val="21"/>
                <w:szCs w:val="21"/>
                <w:color w:val="auto"/>
              </w:rPr>
            </w:pPr>
          </w:p>
        </w:tc>
        <w:tc>
          <w:tcPr>
            <w:tcW w:w="7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8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880" w:type="dxa"/>
            <w:vAlign w:val="bottom"/>
            <w:gridSpan w:val="3"/>
            <w:shd w:val="clear" w:color="auto" w:fill="D2DCE5"/>
          </w:tcPr>
          <w:p>
            <w:pPr>
              <w:ind w:left="100"/>
              <w:spacing w:after="0"/>
              <w:rPr>
                <w:sz w:val="20"/>
                <w:szCs w:val="20"/>
                <w:color w:val="auto"/>
              </w:rPr>
            </w:pPr>
            <w:r>
              <w:rPr>
                <w:rFonts w:ascii="Arial" w:cs="Arial" w:eastAsia="Arial" w:hAnsi="Arial"/>
                <w:sz w:val="16"/>
                <w:szCs w:val="16"/>
                <w:color w:val="131E29"/>
              </w:rPr>
              <w:t>N/A</w:t>
            </w:r>
          </w:p>
        </w:tc>
        <w:tc>
          <w:tcPr>
            <w:tcW w:w="1200" w:type="dxa"/>
            <w:vAlign w:val="bottom"/>
            <w:shd w:val="clear" w:color="auto" w:fill="D2DCE5"/>
          </w:tcPr>
          <w:p>
            <w:pPr>
              <w:jc w:val="center"/>
              <w:ind w:left="777"/>
              <w:spacing w:after="0"/>
              <w:rPr>
                <w:sz w:val="20"/>
                <w:szCs w:val="20"/>
                <w:color w:val="auto"/>
              </w:rPr>
            </w:pPr>
            <w:r>
              <w:rPr>
                <w:rFonts w:ascii="Arial" w:cs="Arial" w:eastAsia="Arial" w:hAnsi="Arial"/>
                <w:sz w:val="16"/>
                <w:szCs w:val="16"/>
                <w:color w:val="131E29"/>
              </w:rPr>
              <w:t>(60)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131E29"/>
            </w:tcBorders>
            <w:gridSpan w:val="2"/>
          </w:tcPr>
          <w:p>
            <w:pPr>
              <w:ind w:left="20"/>
              <w:spacing w:after="0"/>
              <w:rPr>
                <w:sz w:val="20"/>
                <w:szCs w:val="20"/>
                <w:color w:val="auto"/>
              </w:rPr>
            </w:pPr>
            <w:r>
              <w:rPr>
                <w:rFonts w:ascii="Arial" w:cs="Arial" w:eastAsia="Arial" w:hAnsi="Arial"/>
                <w:sz w:val="16"/>
                <w:szCs w:val="16"/>
                <w:color w:val="131E29"/>
              </w:rPr>
              <w:t>Promotional discounts</w:t>
            </w:r>
          </w:p>
        </w:tc>
        <w:tc>
          <w:tcPr>
            <w:tcW w:w="200" w:type="dxa"/>
            <w:vAlign w:val="bottom"/>
            <w:tcBorders>
              <w:bottom w:val="single" w:sz="8" w:color="131E29"/>
            </w:tcBorders>
          </w:tcPr>
          <w:p>
            <w:pPr>
              <w:spacing w:after="0"/>
              <w:rPr>
                <w:sz w:val="20"/>
                <w:szCs w:val="20"/>
                <w:color w:val="auto"/>
              </w:rPr>
            </w:pPr>
          </w:p>
        </w:tc>
        <w:tc>
          <w:tcPr>
            <w:tcW w:w="78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00" w:type="dxa"/>
            <w:vAlign w:val="bottom"/>
            <w:tcBorders>
              <w:bottom w:val="single" w:sz="8" w:color="131E29"/>
            </w:tcBorders>
          </w:tcPr>
          <w:p>
            <w:pPr>
              <w:spacing w:after="0"/>
              <w:rPr>
                <w:sz w:val="20"/>
                <w:szCs w:val="20"/>
                <w:color w:val="auto"/>
              </w:rPr>
            </w:pPr>
          </w:p>
        </w:tc>
        <w:tc>
          <w:tcPr>
            <w:tcW w:w="76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20" w:type="dxa"/>
            <w:vAlign w:val="bottom"/>
            <w:tcBorders>
              <w:bottom w:val="single" w:sz="8" w:color="131E29"/>
            </w:tcBorders>
          </w:tcPr>
          <w:p>
            <w:pPr>
              <w:spacing w:after="0"/>
              <w:rPr>
                <w:sz w:val="20"/>
                <w:szCs w:val="20"/>
                <w:color w:val="auto"/>
              </w:rPr>
            </w:pPr>
          </w:p>
        </w:tc>
        <w:tc>
          <w:tcPr>
            <w:tcW w:w="1220" w:type="dxa"/>
            <w:vAlign w:val="bottom"/>
            <w:tcBorders>
              <w:bottom w:val="single" w:sz="8" w:color="131E29"/>
            </w:tcBorders>
          </w:tcPr>
          <w:p>
            <w:pPr>
              <w:spacing w:after="0"/>
              <w:rPr>
                <w:sz w:val="20"/>
                <w:szCs w:val="20"/>
                <w:color w:val="auto"/>
              </w:rPr>
            </w:pPr>
          </w:p>
        </w:tc>
        <w:tc>
          <w:tcPr>
            <w:tcW w:w="100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00" w:type="dxa"/>
            <w:vAlign w:val="bottom"/>
            <w:tcBorders>
              <w:bottom w:val="single" w:sz="8" w:color="131E29"/>
            </w:tcBorders>
          </w:tcPr>
          <w:p>
            <w:pPr>
              <w:spacing w:after="0"/>
              <w:rPr>
                <w:sz w:val="20"/>
                <w:szCs w:val="20"/>
                <w:color w:val="auto"/>
              </w:rPr>
            </w:pPr>
          </w:p>
        </w:tc>
        <w:tc>
          <w:tcPr>
            <w:tcW w:w="76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20" w:type="dxa"/>
            <w:vAlign w:val="bottom"/>
            <w:tcBorders>
              <w:bottom w:val="single" w:sz="8" w:color="131E29"/>
            </w:tcBorders>
          </w:tcPr>
          <w:p>
            <w:pPr>
              <w:spacing w:after="0"/>
              <w:rPr>
                <w:sz w:val="20"/>
                <w:szCs w:val="20"/>
                <w:color w:val="auto"/>
              </w:rPr>
            </w:pPr>
          </w:p>
        </w:tc>
        <w:tc>
          <w:tcPr>
            <w:tcW w:w="100" w:type="dxa"/>
            <w:vAlign w:val="bottom"/>
            <w:tcBorders>
              <w:bottom w:val="single" w:sz="8" w:color="D2DCE5"/>
            </w:tcBorders>
          </w:tcPr>
          <w:p>
            <w:pPr>
              <w:spacing w:after="0"/>
              <w:rPr>
                <w:sz w:val="20"/>
                <w:szCs w:val="20"/>
                <w:color w:val="auto"/>
              </w:rPr>
            </w:pPr>
          </w:p>
        </w:tc>
        <w:tc>
          <w:tcPr>
            <w:tcW w:w="800" w:type="dxa"/>
            <w:vAlign w:val="bottom"/>
            <w:tcBorders>
              <w:bottom w:val="single" w:sz="8" w:color="131E29"/>
            </w:tcBorders>
          </w:tcPr>
          <w:p>
            <w:pPr>
              <w:spacing w:after="0"/>
              <w:rPr>
                <w:sz w:val="20"/>
                <w:szCs w:val="20"/>
                <w:color w:val="auto"/>
              </w:rPr>
            </w:pPr>
          </w:p>
        </w:tc>
        <w:tc>
          <w:tcPr>
            <w:tcW w:w="100" w:type="dxa"/>
            <w:vAlign w:val="bottom"/>
            <w:tcBorders>
              <w:bottom w:val="single" w:sz="8" w:color="131E29"/>
            </w:tcBorders>
          </w:tcPr>
          <w:p>
            <w:pPr>
              <w:spacing w:after="0"/>
              <w:rPr>
                <w:sz w:val="20"/>
                <w:szCs w:val="20"/>
                <w:color w:val="auto"/>
              </w:rPr>
            </w:pPr>
          </w:p>
        </w:tc>
        <w:tc>
          <w:tcPr>
            <w:tcW w:w="160" w:type="dxa"/>
            <w:vAlign w:val="bottom"/>
            <w:tcBorders>
              <w:bottom w:val="single" w:sz="8" w:color="131E29"/>
            </w:tcBorders>
          </w:tcPr>
          <w:p>
            <w:pPr>
              <w:spacing w:after="0"/>
              <w:rPr>
                <w:sz w:val="20"/>
                <w:szCs w:val="20"/>
                <w:color w:val="auto"/>
              </w:rPr>
            </w:pPr>
          </w:p>
        </w:tc>
        <w:tc>
          <w:tcPr>
            <w:tcW w:w="380" w:type="dxa"/>
            <w:vAlign w:val="bottom"/>
            <w:tcBorders>
              <w:bottom w:val="single" w:sz="8" w:color="131E29"/>
            </w:tcBorders>
          </w:tcPr>
          <w:p>
            <w:pPr>
              <w:ind w:left="100"/>
              <w:spacing w:after="0"/>
              <w:rPr>
                <w:sz w:val="20"/>
                <w:szCs w:val="20"/>
                <w:color w:val="auto"/>
              </w:rPr>
            </w:pPr>
            <w:r>
              <w:rPr>
                <w:rFonts w:ascii="Arial" w:cs="Arial" w:eastAsia="Arial" w:hAnsi="Arial"/>
                <w:sz w:val="16"/>
                <w:szCs w:val="16"/>
                <w:color w:val="131E29"/>
                <w:w w:val="97"/>
              </w:rPr>
              <w:t>N/A</w:t>
            </w:r>
          </w:p>
        </w:tc>
        <w:tc>
          <w:tcPr>
            <w:tcW w:w="100" w:type="dxa"/>
            <w:vAlign w:val="bottom"/>
            <w:tcBorders>
              <w:bottom w:val="single" w:sz="8" w:color="D2DCE5"/>
            </w:tcBorders>
          </w:tcPr>
          <w:p>
            <w:pPr>
              <w:spacing w:after="0"/>
              <w:rPr>
                <w:sz w:val="20"/>
                <w:szCs w:val="20"/>
                <w:color w:val="auto"/>
              </w:rPr>
            </w:pPr>
          </w:p>
        </w:tc>
        <w:tc>
          <w:tcPr>
            <w:tcW w:w="400" w:type="dxa"/>
            <w:vAlign w:val="bottom"/>
            <w:tcBorders>
              <w:bottom w:val="single" w:sz="8" w:color="131E29"/>
            </w:tcBorders>
          </w:tcPr>
          <w:p>
            <w:pPr>
              <w:spacing w:after="0"/>
              <w:rPr>
                <w:sz w:val="20"/>
                <w:szCs w:val="20"/>
                <w:color w:val="auto"/>
              </w:rPr>
            </w:pPr>
          </w:p>
        </w:tc>
        <w:tc>
          <w:tcPr>
            <w:tcW w:w="1200" w:type="dxa"/>
            <w:vAlign w:val="bottom"/>
            <w:tcBorders>
              <w:bottom w:val="single" w:sz="8" w:color="131E29"/>
            </w:tcBorders>
          </w:tcPr>
          <w:p>
            <w:pPr>
              <w:jc w:val="center"/>
              <w:ind w:left="777"/>
              <w:spacing w:after="0"/>
              <w:rPr>
                <w:sz w:val="20"/>
                <w:szCs w:val="20"/>
                <w:color w:val="auto"/>
              </w:rPr>
            </w:pPr>
            <w:r>
              <w:rPr>
                <w:rFonts w:ascii="Arial" w:cs="Arial" w:eastAsia="Arial" w:hAnsi="Arial"/>
                <w:sz w:val="16"/>
                <w:szCs w:val="16"/>
                <w:color w:val="131E29"/>
              </w:rPr>
              <w:t>(10)</w:t>
            </w:r>
          </w:p>
        </w:tc>
        <w:tc>
          <w:tcPr>
            <w:tcW w:w="0" w:type="dxa"/>
            <w:vAlign w:val="bottom"/>
          </w:tcPr>
          <w:p>
            <w:pPr>
              <w:spacing w:after="0"/>
              <w:rPr>
                <w:sz w:val="1"/>
                <w:szCs w:val="1"/>
                <w:color w:val="auto"/>
              </w:rPr>
            </w:pPr>
          </w:p>
        </w:tc>
      </w:tr>
      <w:tr>
        <w:trPr>
          <w:trHeight w:val="236"/>
        </w:trPr>
        <w:tc>
          <w:tcPr>
            <w:tcW w:w="2240" w:type="dxa"/>
            <w:vAlign w:val="bottom"/>
            <w:gridSpan w:val="2"/>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20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220" w:type="dxa"/>
            <w:vAlign w:val="bottom"/>
            <w:shd w:val="clear" w:color="auto" w:fill="D2DCE5"/>
          </w:tcPr>
          <w:p>
            <w:pPr>
              <w:spacing w:after="0"/>
              <w:rPr>
                <w:sz w:val="20"/>
                <w:szCs w:val="20"/>
                <w:color w:val="auto"/>
              </w:rPr>
            </w:pPr>
          </w:p>
        </w:tc>
        <w:tc>
          <w:tcPr>
            <w:tcW w:w="10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1020" w:type="dxa"/>
            <w:vAlign w:val="bottom"/>
            <w:gridSpan w:val="4"/>
            <w:shd w:val="clear" w:color="auto" w:fill="D2DCE5"/>
          </w:tcPr>
          <w:p>
            <w:pPr>
              <w:jc w:val="right"/>
              <w:ind w:right="700"/>
              <w:spacing w:after="0"/>
              <w:rPr>
                <w:sz w:val="20"/>
                <w:szCs w:val="20"/>
                <w:color w:val="auto"/>
              </w:rPr>
            </w:pPr>
            <w:r>
              <w:rPr>
                <w:rFonts w:ascii="Arial" w:cs="Arial" w:eastAsia="Arial" w:hAnsi="Arial"/>
                <w:sz w:val="16"/>
                <w:szCs w:val="16"/>
                <w:b w:val="1"/>
                <w:bCs w:val="1"/>
                <w:color w:val="131E29"/>
              </w:rPr>
              <w:t>$</w:t>
            </w:r>
          </w:p>
        </w:tc>
        <w:tc>
          <w:tcPr>
            <w:tcW w:w="640" w:type="dxa"/>
            <w:vAlign w:val="bottom"/>
            <w:gridSpan w:val="3"/>
            <w:shd w:val="clear" w:color="auto" w:fill="D2DCE5"/>
          </w:tcPr>
          <w:p>
            <w:pPr>
              <w:jc w:val="right"/>
              <w:spacing w:after="0"/>
              <w:rPr>
                <w:sz w:val="20"/>
                <w:szCs w:val="20"/>
                <w:color w:val="auto"/>
              </w:rPr>
            </w:pPr>
            <w:r>
              <w:rPr>
                <w:rFonts w:ascii="Arial" w:cs="Arial" w:eastAsia="Arial" w:hAnsi="Arial"/>
                <w:sz w:val="16"/>
                <w:szCs w:val="16"/>
                <w:b w:val="1"/>
                <w:bCs w:val="1"/>
                <w:color w:val="131E29"/>
              </w:rPr>
              <w:t>24,181</w:t>
            </w:r>
          </w:p>
        </w:tc>
        <w:tc>
          <w:tcPr>
            <w:tcW w:w="100" w:type="dxa"/>
            <w:vAlign w:val="bottom"/>
            <w:shd w:val="clear" w:color="auto" w:fill="D2DCE5"/>
          </w:tcPr>
          <w:p>
            <w:pPr>
              <w:spacing w:after="0"/>
              <w:rPr>
                <w:sz w:val="20"/>
                <w:szCs w:val="20"/>
                <w:color w:val="auto"/>
              </w:rPr>
            </w:pPr>
          </w:p>
        </w:tc>
        <w:tc>
          <w:tcPr>
            <w:tcW w:w="400" w:type="dxa"/>
            <w:vAlign w:val="bottom"/>
            <w:shd w:val="clear" w:color="auto" w:fill="D2DCE5"/>
          </w:tcPr>
          <w:p>
            <w:pPr>
              <w:spacing w:after="0"/>
              <w:rPr>
                <w:sz w:val="20"/>
                <w:szCs w:val="20"/>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6"/>
                <w:szCs w:val="16"/>
                <w:b w:val="1"/>
                <w:bCs w:val="1"/>
                <w:color w:val="131E29"/>
              </w:rPr>
              <w:t>300</w:t>
            </w:r>
          </w:p>
        </w:tc>
        <w:tc>
          <w:tcPr>
            <w:tcW w:w="0" w:type="dxa"/>
            <w:vAlign w:val="bottom"/>
          </w:tcPr>
          <w:p>
            <w:pPr>
              <w:spacing w:after="0"/>
              <w:rPr>
                <w:sz w:val="1"/>
                <w:szCs w:val="1"/>
                <w:color w:val="auto"/>
              </w:rPr>
            </w:pPr>
          </w:p>
        </w:tc>
      </w:tr>
      <w:tr>
        <w:trPr>
          <w:trHeight w:val="473"/>
        </w:trPr>
        <w:tc>
          <w:tcPr>
            <w:tcW w:w="2240" w:type="dxa"/>
            <w:vAlign w:val="bottom"/>
            <w:tcBorders>
              <w:top w:val="single" w:sz="8" w:color="131E29"/>
            </w:tcBorders>
            <w:gridSpan w:val="2"/>
          </w:tcPr>
          <w:p>
            <w:pPr>
              <w:spacing w:after="0"/>
              <w:rPr>
                <w:sz w:val="20"/>
                <w:szCs w:val="20"/>
                <w:color w:val="auto"/>
              </w:rPr>
            </w:pPr>
            <w:r>
              <w:rPr>
                <w:rFonts w:ascii="Arial" w:cs="Arial" w:eastAsia="Arial" w:hAnsi="Arial"/>
                <w:sz w:val="18"/>
                <w:szCs w:val="18"/>
                <w:b w:val="1"/>
                <w:bCs w:val="1"/>
                <w:i w:val="1"/>
                <w:iCs w:val="1"/>
                <w:color w:val="006098"/>
              </w:rPr>
              <w:t>Pre-opening Costs</w:t>
            </w:r>
          </w:p>
        </w:tc>
        <w:tc>
          <w:tcPr>
            <w:tcW w:w="200" w:type="dxa"/>
            <w:vAlign w:val="bottom"/>
            <w:tcBorders>
              <w:top w:val="single" w:sz="8" w:color="131E29"/>
            </w:tcBorders>
          </w:tcPr>
          <w:p>
            <w:pPr>
              <w:spacing w:after="0"/>
              <w:rPr>
                <w:sz w:val="24"/>
                <w:szCs w:val="24"/>
                <w:color w:val="auto"/>
              </w:rPr>
            </w:pPr>
          </w:p>
        </w:tc>
        <w:tc>
          <w:tcPr>
            <w:tcW w:w="78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00" w:type="dxa"/>
            <w:vAlign w:val="bottom"/>
            <w:tcBorders>
              <w:top w:val="single" w:sz="8" w:color="131E29"/>
            </w:tcBorders>
          </w:tcPr>
          <w:p>
            <w:pPr>
              <w:spacing w:after="0"/>
              <w:rPr>
                <w:sz w:val="24"/>
                <w:szCs w:val="24"/>
                <w:color w:val="auto"/>
              </w:rPr>
            </w:pPr>
          </w:p>
        </w:tc>
        <w:tc>
          <w:tcPr>
            <w:tcW w:w="76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20" w:type="dxa"/>
            <w:vAlign w:val="bottom"/>
            <w:tcBorders>
              <w:top w:val="single" w:sz="8" w:color="131E29"/>
            </w:tcBorders>
          </w:tcPr>
          <w:p>
            <w:pPr>
              <w:spacing w:after="0"/>
              <w:rPr>
                <w:sz w:val="24"/>
                <w:szCs w:val="24"/>
                <w:color w:val="auto"/>
              </w:rPr>
            </w:pPr>
          </w:p>
        </w:tc>
        <w:tc>
          <w:tcPr>
            <w:tcW w:w="1220" w:type="dxa"/>
            <w:vAlign w:val="bottom"/>
            <w:tcBorders>
              <w:top w:val="single" w:sz="8" w:color="131E29"/>
            </w:tcBorders>
          </w:tcPr>
          <w:p>
            <w:pPr>
              <w:spacing w:after="0"/>
              <w:rPr>
                <w:sz w:val="24"/>
                <w:szCs w:val="24"/>
                <w:color w:val="auto"/>
              </w:rPr>
            </w:pPr>
          </w:p>
        </w:tc>
        <w:tc>
          <w:tcPr>
            <w:tcW w:w="100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00" w:type="dxa"/>
            <w:vAlign w:val="bottom"/>
            <w:tcBorders>
              <w:top w:val="single" w:sz="8" w:color="131E29"/>
            </w:tcBorders>
          </w:tcPr>
          <w:p>
            <w:pPr>
              <w:spacing w:after="0"/>
              <w:rPr>
                <w:sz w:val="24"/>
                <w:szCs w:val="24"/>
                <w:color w:val="auto"/>
              </w:rPr>
            </w:pPr>
          </w:p>
        </w:tc>
        <w:tc>
          <w:tcPr>
            <w:tcW w:w="76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2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131E29"/>
            </w:tcBorders>
          </w:tcPr>
          <w:p>
            <w:pPr>
              <w:spacing w:after="0"/>
              <w:rPr>
                <w:sz w:val="24"/>
                <w:szCs w:val="24"/>
                <w:color w:val="auto"/>
              </w:rPr>
            </w:pPr>
          </w:p>
        </w:tc>
        <w:tc>
          <w:tcPr>
            <w:tcW w:w="100" w:type="dxa"/>
            <w:vAlign w:val="bottom"/>
            <w:tcBorders>
              <w:top w:val="single" w:sz="8" w:color="131E29"/>
            </w:tcBorders>
          </w:tcPr>
          <w:p>
            <w:pPr>
              <w:spacing w:after="0"/>
              <w:rPr>
                <w:sz w:val="24"/>
                <w:szCs w:val="24"/>
                <w:color w:val="auto"/>
              </w:rPr>
            </w:pPr>
          </w:p>
        </w:tc>
        <w:tc>
          <w:tcPr>
            <w:tcW w:w="160" w:type="dxa"/>
            <w:vAlign w:val="bottom"/>
            <w:tcBorders>
              <w:top w:val="single" w:sz="8" w:color="131E29"/>
            </w:tcBorders>
          </w:tcPr>
          <w:p>
            <w:pPr>
              <w:spacing w:after="0"/>
              <w:rPr>
                <w:sz w:val="24"/>
                <w:szCs w:val="24"/>
                <w:color w:val="auto"/>
              </w:rPr>
            </w:pPr>
          </w:p>
        </w:tc>
        <w:tc>
          <w:tcPr>
            <w:tcW w:w="380" w:type="dxa"/>
            <w:vAlign w:val="bottom"/>
            <w:tcBorders>
              <w:top w:val="single" w:sz="8" w:color="131E29"/>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131E29"/>
            </w:tcBorders>
          </w:tcPr>
          <w:p>
            <w:pPr>
              <w:spacing w:after="0"/>
              <w:rPr>
                <w:sz w:val="24"/>
                <w:szCs w:val="24"/>
                <w:color w:val="auto"/>
              </w:rPr>
            </w:pPr>
          </w:p>
        </w:tc>
        <w:tc>
          <w:tcPr>
            <w:tcW w:w="1200" w:type="dxa"/>
            <w:vAlign w:val="bottom"/>
            <w:tcBorders>
              <w:top w:val="single" w:sz="8" w:color="131E29"/>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gridSpan w:val="10"/>
          </w:tcPr>
          <w:p>
            <w:pPr>
              <w:jc w:val="right"/>
              <w:ind w:right="917"/>
              <w:spacing w:after="0"/>
              <w:rPr>
                <w:sz w:val="20"/>
                <w:szCs w:val="20"/>
                <w:color w:val="auto"/>
              </w:rPr>
            </w:pPr>
            <w:r>
              <w:rPr>
                <w:rFonts w:ascii="Arial" w:cs="Arial" w:eastAsia="Arial" w:hAnsi="Arial"/>
                <w:sz w:val="18"/>
                <w:szCs w:val="18"/>
                <w:b w:val="1"/>
                <w:bCs w:val="1"/>
                <w:color w:val="131E29"/>
              </w:rPr>
              <w:t>Six Months Ended June 30,</w:t>
            </w:r>
          </w:p>
        </w:tc>
        <w:tc>
          <w:tcPr>
            <w:tcW w:w="0" w:type="dxa"/>
            <w:vAlign w:val="bottom"/>
          </w:tcPr>
          <w:p>
            <w:pPr>
              <w:spacing w:after="0"/>
              <w:rPr>
                <w:sz w:val="1"/>
                <w:szCs w:val="1"/>
                <w:color w:val="auto"/>
              </w:rPr>
            </w:pPr>
          </w:p>
        </w:tc>
      </w:tr>
      <w:tr>
        <w:trPr>
          <w:trHeight w:val="27"/>
        </w:trPr>
        <w:tc>
          <w:tcPr>
            <w:tcW w:w="224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00" w:type="dxa"/>
            <w:vAlign w:val="bottom"/>
          </w:tcPr>
          <w:p>
            <w:pPr>
              <w:spacing w:after="0"/>
              <w:rPr>
                <w:sz w:val="20"/>
                <w:szCs w:val="20"/>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b w:val="1"/>
                <w:bCs w:val="1"/>
                <w:color w:val="131E29"/>
                <w:w w:val="9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3"/>
          </w:tcPr>
          <w:p>
            <w:pPr>
              <w:ind w:left="480"/>
              <w:spacing w:after="0"/>
              <w:rPr>
                <w:sz w:val="20"/>
                <w:szCs w:val="20"/>
                <w:color w:val="auto"/>
              </w:rPr>
            </w:pPr>
            <w:r>
              <w:rPr>
                <w:rFonts w:ascii="Arial" w:cs="Arial" w:eastAsia="Arial" w:hAnsi="Arial"/>
                <w:sz w:val="18"/>
                <w:szCs w:val="18"/>
                <w:b w:val="1"/>
                <w:bCs w:val="1"/>
                <w:color w:val="131E29"/>
              </w:rPr>
              <w:t>2022 v. 2021</w:t>
            </w:r>
          </w:p>
        </w:tc>
        <w:tc>
          <w:tcPr>
            <w:tcW w:w="200" w:type="dxa"/>
            <w:vAlign w:val="bottom"/>
          </w:tcPr>
          <w:p>
            <w:pPr>
              <w:spacing w:after="0"/>
              <w:rPr>
                <w:sz w:val="20"/>
                <w:szCs w:val="20"/>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b w:val="1"/>
                <w:bCs w:val="1"/>
                <w:color w:val="131E29"/>
                <w:w w:val="99"/>
              </w:rPr>
              <w:t>2022</w:t>
            </w:r>
          </w:p>
        </w:tc>
        <w:tc>
          <w:tcPr>
            <w:tcW w:w="1020" w:type="dxa"/>
            <w:vAlign w:val="bottom"/>
            <w:gridSpan w:val="4"/>
          </w:tcPr>
          <w:p>
            <w:pPr>
              <w:jc w:val="center"/>
              <w:ind w:left="11"/>
              <w:spacing w:after="0"/>
              <w:rPr>
                <w:sz w:val="20"/>
                <w:szCs w:val="20"/>
                <w:color w:val="auto"/>
              </w:rPr>
            </w:pPr>
            <w:r>
              <w:rPr>
                <w:rFonts w:ascii="Arial" w:cs="Arial" w:eastAsia="Arial" w:hAnsi="Arial"/>
                <w:sz w:val="18"/>
                <w:szCs w:val="18"/>
                <w:b w:val="1"/>
                <w:bCs w:val="1"/>
                <w:color w:val="131E29"/>
                <w:w w:val="99"/>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3"/>
          </w:tcPr>
          <w:p>
            <w:pPr>
              <w:jc w:val="right"/>
              <w:ind w:right="517"/>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25"/>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1220" w:type="dxa"/>
            <w:vAlign w:val="bottom"/>
            <w:tcBorders>
              <w:bottom w:val="single" w:sz="8" w:color="131E29"/>
            </w:tcBorders>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20" w:type="dxa"/>
            <w:vAlign w:val="bottom"/>
            <w:tcBorders>
              <w:bottom w:val="single" w:sz="8" w:color="131E29"/>
            </w:tcBorders>
            <w:gridSpan w:val="3"/>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880" w:type="dxa"/>
            <w:vAlign w:val="bottom"/>
            <w:tcBorders>
              <w:bottom w:val="single" w:sz="8" w:color="131E29"/>
            </w:tcBorders>
            <w:gridSpan w:val="3"/>
          </w:tcPr>
          <w:p>
            <w:pPr>
              <w:spacing w:after="0"/>
              <w:rPr>
                <w:sz w:val="2"/>
                <w:szCs w:val="2"/>
                <w:color w:val="auto"/>
              </w:rPr>
            </w:pPr>
          </w:p>
        </w:tc>
        <w:tc>
          <w:tcPr>
            <w:tcW w:w="120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Pre-opening costs</w:t>
            </w:r>
          </w:p>
        </w:tc>
        <w:tc>
          <w:tcPr>
            <w:tcW w:w="20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8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3,578</w:t>
            </w:r>
          </w:p>
        </w:tc>
        <w:tc>
          <w:tcPr>
            <w:tcW w:w="30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1,835</w:t>
            </w:r>
          </w:p>
        </w:tc>
        <w:tc>
          <w:tcPr>
            <w:tcW w:w="100" w:type="dxa"/>
            <w:vAlign w:val="bottom"/>
            <w:shd w:val="clear" w:color="auto" w:fill="D2DCE5"/>
          </w:tcPr>
          <w:p>
            <w:pPr>
              <w:spacing w:after="0"/>
              <w:rPr>
                <w:sz w:val="22"/>
                <w:szCs w:val="22"/>
                <w:color w:val="auto"/>
              </w:rPr>
            </w:pPr>
          </w:p>
        </w:tc>
        <w:tc>
          <w:tcPr>
            <w:tcW w:w="220" w:type="dxa"/>
            <w:vAlign w:val="bottom"/>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220" w:type="dxa"/>
            <w:vAlign w:val="bottom"/>
            <w:shd w:val="clear" w:color="auto" w:fill="D2DCE5"/>
          </w:tcPr>
          <w:p>
            <w:pPr>
              <w:jc w:val="right"/>
              <w:ind w:right="450"/>
              <w:spacing w:after="0"/>
              <w:rPr>
                <w:sz w:val="20"/>
                <w:szCs w:val="20"/>
                <w:color w:val="auto"/>
              </w:rPr>
            </w:pPr>
            <w:r>
              <w:rPr>
                <w:rFonts w:ascii="Arial" w:cs="Arial" w:eastAsia="Arial" w:hAnsi="Arial"/>
                <w:sz w:val="18"/>
                <w:szCs w:val="18"/>
                <w:color w:val="131E29"/>
              </w:rPr>
              <w:t>1,743</w:t>
            </w:r>
          </w:p>
        </w:tc>
        <w:tc>
          <w:tcPr>
            <w:tcW w:w="1000" w:type="dxa"/>
            <w:vAlign w:val="bottom"/>
            <w:shd w:val="clear" w:color="auto" w:fill="D2DCE5"/>
          </w:tcPr>
          <w:p>
            <w:pPr>
              <w:jc w:val="right"/>
              <w:ind w:right="330"/>
              <w:spacing w:after="0"/>
              <w:rPr>
                <w:sz w:val="20"/>
                <w:szCs w:val="20"/>
                <w:color w:val="auto"/>
              </w:rPr>
            </w:pPr>
            <w:r>
              <w:rPr>
                <w:rFonts w:ascii="Arial" w:cs="Arial" w:eastAsia="Arial" w:hAnsi="Arial"/>
                <w:sz w:val="18"/>
                <w:szCs w:val="18"/>
                <w:color w:val="131E29"/>
              </w:rPr>
              <w:t>95.0%</w:t>
            </w:r>
          </w:p>
        </w:tc>
        <w:tc>
          <w:tcPr>
            <w:tcW w:w="100" w:type="dxa"/>
            <w:vAlign w:val="bottom"/>
            <w:shd w:val="clear" w:color="auto" w:fill="D2DCE5"/>
          </w:tcPr>
          <w:p>
            <w:pPr>
              <w:spacing w:after="0"/>
              <w:rPr>
                <w:sz w:val="22"/>
                <w:szCs w:val="22"/>
                <w:color w:val="auto"/>
              </w:rPr>
            </w:pPr>
          </w:p>
        </w:tc>
        <w:tc>
          <w:tcPr>
            <w:tcW w:w="20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9,600</w:t>
            </w:r>
          </w:p>
        </w:tc>
        <w:tc>
          <w:tcPr>
            <w:tcW w:w="1020" w:type="dxa"/>
            <w:vAlign w:val="bottom"/>
            <w:gridSpan w:val="4"/>
            <w:shd w:val="clear" w:color="auto" w:fill="D2DCE5"/>
          </w:tcPr>
          <w:p>
            <w:pPr>
              <w:jc w:val="right"/>
              <w:ind w:right="80"/>
              <w:spacing w:after="0"/>
              <w:rPr>
                <w:sz w:val="20"/>
                <w:szCs w:val="20"/>
                <w:color w:val="auto"/>
              </w:rPr>
            </w:pPr>
            <w:r>
              <w:rPr>
                <w:rFonts w:ascii="Arial" w:cs="Arial" w:eastAsia="Arial" w:hAnsi="Arial"/>
                <w:sz w:val="18"/>
                <w:szCs w:val="18"/>
                <w:color w:val="131E29"/>
              </w:rPr>
              <w:t>$   3,564</w:t>
            </w:r>
          </w:p>
        </w:tc>
        <w:tc>
          <w:tcPr>
            <w:tcW w:w="260" w:type="dxa"/>
            <w:vAlign w:val="bottom"/>
            <w:gridSpan w:val="2"/>
            <w:shd w:val="clear" w:color="auto" w:fill="D2DCE5"/>
          </w:tcPr>
          <w:p>
            <w:pPr>
              <w:ind w:left="120"/>
              <w:spacing w:after="0"/>
              <w:rPr>
                <w:sz w:val="20"/>
                <w:szCs w:val="20"/>
                <w:color w:val="auto"/>
              </w:rPr>
            </w:pPr>
            <w:r>
              <w:rPr>
                <w:rFonts w:ascii="Arial" w:cs="Arial" w:eastAsia="Arial" w:hAnsi="Arial"/>
                <w:sz w:val="18"/>
                <w:szCs w:val="18"/>
                <w:color w:val="131E29"/>
              </w:rPr>
              <w:t>$</w:t>
            </w:r>
          </w:p>
        </w:tc>
        <w:tc>
          <w:tcPr>
            <w:tcW w:w="880" w:type="dxa"/>
            <w:vAlign w:val="bottom"/>
            <w:gridSpan w:val="3"/>
            <w:shd w:val="clear" w:color="auto" w:fill="D2DCE5"/>
          </w:tcPr>
          <w:p>
            <w:pPr>
              <w:jc w:val="right"/>
              <w:ind w:right="140"/>
              <w:spacing w:after="0"/>
              <w:rPr>
                <w:sz w:val="20"/>
                <w:szCs w:val="20"/>
                <w:color w:val="auto"/>
              </w:rPr>
            </w:pPr>
            <w:r>
              <w:rPr>
                <w:rFonts w:ascii="Arial" w:cs="Arial" w:eastAsia="Arial" w:hAnsi="Arial"/>
                <w:sz w:val="18"/>
                <w:szCs w:val="18"/>
                <w:color w:val="131E29"/>
              </w:rPr>
              <w:t>6,036</w:t>
            </w:r>
          </w:p>
        </w:tc>
        <w:tc>
          <w:tcPr>
            <w:tcW w:w="1200" w:type="dxa"/>
            <w:vAlign w:val="bottom"/>
            <w:shd w:val="clear" w:color="auto" w:fill="D2DCE5"/>
          </w:tcPr>
          <w:p>
            <w:pPr>
              <w:jc w:val="right"/>
              <w:ind w:right="197"/>
              <w:spacing w:after="0"/>
              <w:rPr>
                <w:sz w:val="20"/>
                <w:szCs w:val="20"/>
                <w:color w:val="auto"/>
              </w:rPr>
            </w:pPr>
            <w:r>
              <w:rPr>
                <w:rFonts w:ascii="Arial" w:cs="Arial" w:eastAsia="Arial" w:hAnsi="Arial"/>
                <w:sz w:val="18"/>
                <w:szCs w:val="18"/>
                <w:color w:val="131E29"/>
              </w:rPr>
              <w:t>169.4%</w:t>
            </w:r>
          </w:p>
        </w:tc>
        <w:tc>
          <w:tcPr>
            <w:tcW w:w="0" w:type="dxa"/>
            <w:vAlign w:val="bottom"/>
          </w:tcPr>
          <w:p>
            <w:pPr>
              <w:spacing w:after="0"/>
              <w:rPr>
                <w:sz w:val="1"/>
                <w:szCs w:val="1"/>
                <w:color w:val="auto"/>
              </w:rPr>
            </w:pPr>
          </w:p>
        </w:tc>
      </w:tr>
      <w:tr>
        <w:trPr>
          <w:trHeight w:val="260"/>
        </w:trPr>
        <w:tc>
          <w:tcPr>
            <w:tcW w:w="224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revenue</w:t>
            </w:r>
          </w:p>
        </w:tc>
        <w:tc>
          <w:tcPr>
            <w:tcW w:w="200" w:type="dxa"/>
            <w:vAlign w:val="bottom"/>
          </w:tcPr>
          <w:p>
            <w:pPr>
              <w:spacing w:after="0"/>
              <w:rPr>
                <w:sz w:val="22"/>
                <w:szCs w:val="22"/>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color w:val="131E29"/>
                <w:w w:val="97"/>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color w:val="131E29"/>
                <w:w w:val="97"/>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center"/>
              <w:ind w:right="590"/>
              <w:spacing w:after="0"/>
              <w:rPr>
                <w:sz w:val="20"/>
                <w:szCs w:val="20"/>
                <w:color w:val="auto"/>
              </w:rPr>
            </w:pPr>
            <w:r>
              <w:rPr>
                <w:rFonts w:ascii="Arial" w:cs="Arial" w:eastAsia="Arial" w:hAnsi="Arial"/>
                <w:sz w:val="18"/>
                <w:szCs w:val="18"/>
                <w:color w:val="131E29"/>
                <w:w w:val="99"/>
              </w:rPr>
              <w:t>N/A</w:t>
            </w:r>
          </w:p>
        </w:tc>
        <w:tc>
          <w:tcPr>
            <w:tcW w:w="1100" w:type="dxa"/>
            <w:vAlign w:val="bottom"/>
            <w:gridSpan w:val="2"/>
          </w:tcPr>
          <w:p>
            <w:pPr>
              <w:ind w:left="440"/>
              <w:spacing w:after="0"/>
              <w:rPr>
                <w:sz w:val="20"/>
                <w:szCs w:val="20"/>
                <w:color w:val="auto"/>
              </w:rPr>
            </w:pPr>
            <w:r>
              <w:rPr>
                <w:rFonts w:ascii="Arial" w:cs="Arial" w:eastAsia="Arial" w:hAnsi="Arial"/>
                <w:sz w:val="18"/>
                <w:szCs w:val="18"/>
                <w:color w:val="131E29"/>
              </w:rPr>
              <w:t>40 bps</w:t>
            </w:r>
          </w:p>
        </w:tc>
        <w:tc>
          <w:tcPr>
            <w:tcW w:w="200" w:type="dxa"/>
            <w:vAlign w:val="bottom"/>
          </w:tcPr>
          <w:p>
            <w:pPr>
              <w:spacing w:after="0"/>
              <w:rPr>
                <w:sz w:val="22"/>
                <w:szCs w:val="22"/>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color w:val="131E29"/>
                <w:w w:val="95"/>
              </w:rPr>
              <w:t>3.3</w:t>
            </w:r>
          </w:p>
        </w:tc>
        <w:tc>
          <w:tcPr>
            <w:tcW w:w="1020" w:type="dxa"/>
            <w:vAlign w:val="bottom"/>
            <w:gridSpan w:val="4"/>
          </w:tcPr>
          <w:p>
            <w:pPr>
              <w:jc w:val="center"/>
              <w:ind w:left="11"/>
              <w:spacing w:after="0"/>
              <w:rPr>
                <w:sz w:val="20"/>
                <w:szCs w:val="20"/>
                <w:color w:val="auto"/>
              </w:rPr>
            </w:pPr>
            <w:r>
              <w:rPr>
                <w:rFonts w:ascii="Arial" w:cs="Arial" w:eastAsia="Arial" w:hAnsi="Arial"/>
                <w:sz w:val="18"/>
                <w:szCs w:val="18"/>
                <w:color w:val="131E29"/>
                <w:w w:val="97"/>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131E29"/>
                <w:w w:val="99"/>
              </w:rPr>
              <w:t>N/A</w:t>
            </w:r>
          </w:p>
        </w:tc>
        <w:tc>
          <w:tcPr>
            <w:tcW w:w="1200" w:type="dxa"/>
            <w:vAlign w:val="bottom"/>
          </w:tcPr>
          <w:p>
            <w:pPr>
              <w:jc w:val="right"/>
              <w:ind w:right="317"/>
              <w:spacing w:after="0"/>
              <w:rPr>
                <w:sz w:val="20"/>
                <w:szCs w:val="20"/>
                <w:color w:val="auto"/>
              </w:rPr>
            </w:pPr>
            <w:r>
              <w:rPr>
                <w:rFonts w:ascii="Arial" w:cs="Arial" w:eastAsia="Arial" w:hAnsi="Arial"/>
                <w:sz w:val="18"/>
                <w:szCs w:val="18"/>
                <w:color w:val="131E29"/>
              </w:rPr>
              <w:t>130 bps</w:t>
            </w:r>
          </w:p>
        </w:tc>
        <w:tc>
          <w:tcPr>
            <w:tcW w:w="0" w:type="dxa"/>
            <w:vAlign w:val="bottom"/>
          </w:tcPr>
          <w:p>
            <w:pPr>
              <w:spacing w:after="0"/>
              <w:rPr>
                <w:sz w:val="1"/>
                <w:szCs w:val="1"/>
                <w:color w:val="auto"/>
              </w:rPr>
            </w:pPr>
          </w:p>
        </w:tc>
      </w:tr>
      <w:tr>
        <w:trPr>
          <w:trHeight w:val="228"/>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company-operated</w:t>
            </w:r>
          </w:p>
        </w:tc>
        <w:tc>
          <w:tcPr>
            <w:tcW w:w="200" w:type="dxa"/>
            <w:vAlign w:val="bottom"/>
            <w:shd w:val="clear" w:color="auto" w:fill="D2DCE5"/>
          </w:tcPr>
          <w:p>
            <w:pPr>
              <w:spacing w:after="0"/>
              <w:rPr>
                <w:sz w:val="19"/>
                <w:szCs w:val="19"/>
                <w:color w:val="auto"/>
              </w:rPr>
            </w:pPr>
          </w:p>
        </w:tc>
        <w:tc>
          <w:tcPr>
            <w:tcW w:w="780" w:type="dxa"/>
            <w:vAlign w:val="bottom"/>
            <w:vMerge w:val="restart"/>
            <w:shd w:val="clear" w:color="auto" w:fill="D2DCE5"/>
          </w:tcPr>
          <w:p>
            <w:pPr>
              <w:jc w:val="center"/>
              <w:ind w:right="90"/>
              <w:spacing w:after="0"/>
              <w:rPr>
                <w:sz w:val="20"/>
                <w:szCs w:val="20"/>
                <w:color w:val="auto"/>
              </w:rPr>
            </w:pPr>
            <w:r>
              <w:rPr>
                <w:rFonts w:ascii="Arial" w:cs="Arial" w:eastAsia="Arial" w:hAnsi="Arial"/>
                <w:sz w:val="18"/>
                <w:szCs w:val="18"/>
                <w:color w:val="131E29"/>
                <w:w w:val="99"/>
              </w:rPr>
              <w:t>26</w:t>
            </w: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760" w:type="dxa"/>
            <w:vAlign w:val="bottom"/>
            <w:vMerge w:val="restart"/>
            <w:shd w:val="clear" w:color="auto" w:fill="D2DCE5"/>
          </w:tcPr>
          <w:p>
            <w:pPr>
              <w:jc w:val="center"/>
              <w:ind w:right="110"/>
              <w:spacing w:after="0"/>
              <w:rPr>
                <w:sz w:val="20"/>
                <w:szCs w:val="20"/>
                <w:color w:val="auto"/>
              </w:rPr>
            </w:pPr>
            <w:r>
              <w:rPr>
                <w:rFonts w:ascii="Arial" w:cs="Arial" w:eastAsia="Arial" w:hAnsi="Arial"/>
                <w:sz w:val="18"/>
                <w:szCs w:val="18"/>
                <w:color w:val="131E29"/>
                <w:w w:val="99"/>
              </w:rPr>
              <w:t>13</w:t>
            </w:r>
          </w:p>
        </w:tc>
        <w:tc>
          <w:tcPr>
            <w:tcW w:w="10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220" w:type="dxa"/>
            <w:vAlign w:val="bottom"/>
            <w:vMerge w:val="restart"/>
            <w:shd w:val="clear" w:color="auto" w:fill="D2DCE5"/>
          </w:tcPr>
          <w:p>
            <w:pPr>
              <w:jc w:val="right"/>
              <w:ind w:right="770"/>
              <w:spacing w:after="0"/>
              <w:rPr>
                <w:sz w:val="20"/>
                <w:szCs w:val="20"/>
                <w:color w:val="auto"/>
              </w:rPr>
            </w:pPr>
            <w:r>
              <w:rPr>
                <w:rFonts w:ascii="Arial" w:cs="Arial" w:eastAsia="Arial" w:hAnsi="Arial"/>
                <w:sz w:val="18"/>
                <w:szCs w:val="18"/>
                <w:color w:val="131E29"/>
              </w:rPr>
              <w:t>13</w:t>
            </w:r>
          </w:p>
        </w:tc>
        <w:tc>
          <w:tcPr>
            <w:tcW w:w="1000" w:type="dxa"/>
            <w:vAlign w:val="bottom"/>
            <w:vMerge w:val="restart"/>
            <w:shd w:val="clear" w:color="auto" w:fill="D2DCE5"/>
          </w:tcPr>
          <w:p>
            <w:pPr>
              <w:jc w:val="right"/>
              <w:ind w:right="290"/>
              <w:spacing w:after="0"/>
              <w:rPr>
                <w:sz w:val="20"/>
                <w:szCs w:val="20"/>
                <w:color w:val="auto"/>
              </w:rPr>
            </w:pPr>
            <w:r>
              <w:rPr>
                <w:rFonts w:ascii="Arial" w:cs="Arial" w:eastAsia="Arial" w:hAnsi="Arial"/>
                <w:sz w:val="18"/>
                <w:szCs w:val="18"/>
                <w:color w:val="131E29"/>
                <w:w w:val="98"/>
              </w:rPr>
              <w:t>100.0%</w:t>
            </w:r>
          </w:p>
        </w:tc>
        <w:tc>
          <w:tcPr>
            <w:tcW w:w="10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760" w:type="dxa"/>
            <w:vAlign w:val="bottom"/>
            <w:vMerge w:val="restart"/>
            <w:shd w:val="clear" w:color="auto" w:fill="D2DCE5"/>
          </w:tcPr>
          <w:p>
            <w:pPr>
              <w:jc w:val="center"/>
              <w:ind w:right="110"/>
              <w:spacing w:after="0"/>
              <w:rPr>
                <w:sz w:val="20"/>
                <w:szCs w:val="20"/>
                <w:color w:val="auto"/>
              </w:rPr>
            </w:pPr>
            <w:r>
              <w:rPr>
                <w:rFonts w:ascii="Arial" w:cs="Arial" w:eastAsia="Arial" w:hAnsi="Arial"/>
                <w:sz w:val="18"/>
                <w:szCs w:val="18"/>
                <w:color w:val="131E29"/>
                <w:w w:val="99"/>
              </w:rPr>
              <w:t>60</w:t>
            </w:r>
          </w:p>
        </w:tc>
        <w:tc>
          <w:tcPr>
            <w:tcW w:w="1020" w:type="dxa"/>
            <w:vAlign w:val="bottom"/>
            <w:gridSpan w:val="4"/>
            <w:vMerge w:val="restart"/>
            <w:shd w:val="clear" w:color="auto" w:fill="D2DCE5"/>
          </w:tcPr>
          <w:p>
            <w:pPr>
              <w:jc w:val="center"/>
              <w:ind w:left="11"/>
              <w:spacing w:after="0"/>
              <w:rPr>
                <w:sz w:val="20"/>
                <w:szCs w:val="20"/>
                <w:color w:val="auto"/>
              </w:rPr>
            </w:pPr>
            <w:r>
              <w:rPr>
                <w:rFonts w:ascii="Arial" w:cs="Arial" w:eastAsia="Arial" w:hAnsi="Arial"/>
                <w:sz w:val="18"/>
                <w:szCs w:val="18"/>
                <w:color w:val="131E29"/>
                <w:w w:val="99"/>
              </w:rPr>
              <w:t>22</w:t>
            </w: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480" w:type="dxa"/>
            <w:vAlign w:val="bottom"/>
            <w:gridSpan w:val="2"/>
            <w:vMerge w:val="restart"/>
            <w:shd w:val="clear" w:color="auto" w:fill="D2DCE5"/>
          </w:tcPr>
          <w:p>
            <w:pPr>
              <w:jc w:val="right"/>
              <w:spacing w:after="0"/>
              <w:rPr>
                <w:sz w:val="20"/>
                <w:szCs w:val="20"/>
                <w:color w:val="auto"/>
              </w:rPr>
            </w:pPr>
            <w:r>
              <w:rPr>
                <w:rFonts w:ascii="Arial" w:cs="Arial" w:eastAsia="Arial" w:hAnsi="Arial"/>
                <w:sz w:val="18"/>
                <w:szCs w:val="18"/>
                <w:color w:val="131E29"/>
              </w:rPr>
              <w:t>38</w:t>
            </w:r>
          </w:p>
        </w:tc>
        <w:tc>
          <w:tcPr>
            <w:tcW w:w="400" w:type="dxa"/>
            <w:vAlign w:val="bottom"/>
            <w:shd w:val="clear" w:color="auto" w:fill="D2DCE5"/>
          </w:tcPr>
          <w:p>
            <w:pPr>
              <w:spacing w:after="0"/>
              <w:rPr>
                <w:sz w:val="19"/>
                <w:szCs w:val="19"/>
                <w:color w:val="auto"/>
              </w:rPr>
            </w:pPr>
          </w:p>
        </w:tc>
        <w:tc>
          <w:tcPr>
            <w:tcW w:w="120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172.7 %</w:t>
            </w:r>
          </w:p>
        </w:tc>
        <w:tc>
          <w:tcPr>
            <w:tcW w:w="0" w:type="dxa"/>
            <w:vAlign w:val="bottom"/>
          </w:tcPr>
          <w:p>
            <w:pPr>
              <w:spacing w:after="0"/>
              <w:rPr>
                <w:sz w:val="1"/>
                <w:szCs w:val="1"/>
                <w:color w:val="auto"/>
              </w:rPr>
            </w:pPr>
          </w:p>
        </w:tc>
      </w:tr>
      <w:tr>
        <w:trPr>
          <w:trHeight w:val="201"/>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shops opened</w:t>
            </w:r>
          </w:p>
        </w:tc>
        <w:tc>
          <w:tcPr>
            <w:tcW w:w="200" w:type="dxa"/>
            <w:vAlign w:val="bottom"/>
            <w:shd w:val="clear" w:color="auto" w:fill="D2DCE5"/>
          </w:tcPr>
          <w:p>
            <w:pPr>
              <w:spacing w:after="0"/>
              <w:rPr>
                <w:sz w:val="17"/>
                <w:szCs w:val="17"/>
                <w:color w:val="auto"/>
              </w:rPr>
            </w:pPr>
          </w:p>
        </w:tc>
        <w:tc>
          <w:tcPr>
            <w:tcW w:w="78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76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1220" w:type="dxa"/>
            <w:vAlign w:val="bottom"/>
            <w:vMerge w:val="continue"/>
            <w:shd w:val="clear" w:color="auto" w:fill="D2DCE5"/>
          </w:tcPr>
          <w:p>
            <w:pPr>
              <w:spacing w:after="0"/>
              <w:rPr>
                <w:sz w:val="17"/>
                <w:szCs w:val="17"/>
                <w:color w:val="auto"/>
              </w:rPr>
            </w:pPr>
          </w:p>
        </w:tc>
        <w:tc>
          <w:tcPr>
            <w:tcW w:w="100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00" w:type="dxa"/>
            <w:vAlign w:val="bottom"/>
            <w:shd w:val="clear" w:color="auto" w:fill="D2DCE5"/>
          </w:tcPr>
          <w:p>
            <w:pPr>
              <w:spacing w:after="0"/>
              <w:rPr>
                <w:sz w:val="17"/>
                <w:szCs w:val="17"/>
                <w:color w:val="auto"/>
              </w:rPr>
            </w:pPr>
          </w:p>
        </w:tc>
        <w:tc>
          <w:tcPr>
            <w:tcW w:w="760" w:type="dxa"/>
            <w:vAlign w:val="bottom"/>
            <w:vMerge w:val="continue"/>
            <w:shd w:val="clear" w:color="auto" w:fill="D2DCE5"/>
          </w:tcPr>
          <w:p>
            <w:pPr>
              <w:spacing w:after="0"/>
              <w:rPr>
                <w:sz w:val="17"/>
                <w:szCs w:val="17"/>
                <w:color w:val="auto"/>
              </w:rPr>
            </w:pPr>
          </w:p>
        </w:tc>
        <w:tc>
          <w:tcPr>
            <w:tcW w:w="1020" w:type="dxa"/>
            <w:vAlign w:val="bottom"/>
            <w:gridSpan w:val="4"/>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480" w:type="dxa"/>
            <w:vAlign w:val="bottom"/>
            <w:gridSpan w:val="2"/>
            <w:vMerge w:val="continue"/>
            <w:shd w:val="clear" w:color="auto" w:fill="D2DCE5"/>
          </w:tcPr>
          <w:p>
            <w:pPr>
              <w:spacing w:after="0"/>
              <w:rPr>
                <w:sz w:val="17"/>
                <w:szCs w:val="17"/>
                <w:color w:val="auto"/>
              </w:rPr>
            </w:pPr>
          </w:p>
        </w:tc>
        <w:tc>
          <w:tcPr>
            <w:tcW w:w="400" w:type="dxa"/>
            <w:vAlign w:val="bottom"/>
            <w:shd w:val="clear" w:color="auto" w:fill="D2DCE5"/>
          </w:tcPr>
          <w:p>
            <w:pPr>
              <w:spacing w:after="0"/>
              <w:rPr>
                <w:sz w:val="17"/>
                <w:szCs w:val="17"/>
                <w:color w:val="auto"/>
              </w:rPr>
            </w:pPr>
          </w:p>
        </w:tc>
        <w:tc>
          <w:tcPr>
            <w:tcW w:w="12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7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7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1220" w:type="dxa"/>
            <w:vAlign w:val="bottom"/>
            <w:shd w:val="clear" w:color="auto" w:fill="D2DCE5"/>
          </w:tcPr>
          <w:p>
            <w:pPr>
              <w:spacing w:after="0"/>
              <w:rPr>
                <w:sz w:val="2"/>
                <w:szCs w:val="2"/>
                <w:color w:val="auto"/>
              </w:rPr>
            </w:pPr>
          </w:p>
        </w:tc>
        <w:tc>
          <w:tcPr>
            <w:tcW w:w="10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7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8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3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400" w:type="dxa"/>
            <w:vAlign w:val="bottom"/>
            <w:shd w:val="clear" w:color="auto" w:fill="D2DCE5"/>
          </w:tcPr>
          <w:p>
            <w:pPr>
              <w:spacing w:after="0"/>
              <w:rPr>
                <w:sz w:val="2"/>
                <w:szCs w:val="2"/>
                <w:color w:val="auto"/>
              </w:rPr>
            </w:pPr>
          </w:p>
        </w:tc>
        <w:tc>
          <w:tcPr>
            <w:tcW w:w="120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pre-opening costs was primarily driven by opening 13 more company-operated shops in the three months ended June 30, 2022 as compared to the same period in 2021, while also realizing cost and operational efficiencies.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pre-opening costs was primarily driven by opening 38 more company-operated shops in the six months ended June 30, 2022 as compared to the same period in 2021, while also realizing cost and operational efficiencies.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Depreciation and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60" w:type="dxa"/>
            <w:vAlign w:val="bottom"/>
            <w:gridSpan w:val="7"/>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20" w:type="dxa"/>
            <w:vAlign w:val="bottom"/>
            <w:gridSpan w:val="6"/>
          </w:tcPr>
          <w:p>
            <w:pPr>
              <w:jc w:val="right"/>
              <w:spacing w:after="0"/>
              <w:rPr>
                <w:sz w:val="20"/>
                <w:szCs w:val="20"/>
                <w:color w:val="auto"/>
              </w:rPr>
            </w:pPr>
            <w:r>
              <w:rPr>
                <w:rFonts w:ascii="Arial" w:cs="Arial" w:eastAsia="Arial" w:hAnsi="Arial"/>
                <w:sz w:val="18"/>
                <w:szCs w:val="18"/>
                <w:b w:val="1"/>
                <w:bCs w:val="1"/>
                <w:color w:val="131E29"/>
                <w:w w:val="99"/>
              </w:rPr>
              <w:t>Six Months Ended June 30,</w:t>
            </w:r>
          </w:p>
        </w:tc>
        <w:tc>
          <w:tcPr>
            <w:tcW w:w="920" w:type="dxa"/>
            <w:vAlign w:val="bottom"/>
          </w:tcPr>
          <w:p>
            <w:pPr>
              <w:spacing w:after="0"/>
              <w:rPr>
                <w:sz w:val="20"/>
                <w:szCs w:val="20"/>
                <w:color w:val="auto"/>
              </w:rPr>
            </w:pPr>
          </w:p>
        </w:tc>
      </w:tr>
      <w:tr>
        <w:trPr>
          <w:trHeight w:val="27"/>
        </w:trPr>
        <w:tc>
          <w:tcPr>
            <w:tcW w:w="20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38"/>
        </w:trPr>
        <w:tc>
          <w:tcPr>
            <w:tcW w:w="2320" w:type="dxa"/>
            <w:vAlign w:val="bottom"/>
            <w:gridSpan w:val="3"/>
          </w:tcPr>
          <w:p>
            <w:pPr>
              <w:ind w:left="20"/>
              <w:spacing w:after="0"/>
              <w:rPr>
                <w:sz w:val="20"/>
                <w:szCs w:val="20"/>
                <w:color w:val="auto"/>
              </w:rPr>
            </w:pPr>
            <w:r>
              <w:rPr>
                <w:rFonts w:ascii="Arial" w:cs="Arial" w:eastAsia="Arial" w:hAnsi="Arial"/>
                <w:sz w:val="14"/>
                <w:szCs w:val="14"/>
                <w:color w:val="131E29"/>
              </w:rPr>
              <w:t>(in thousands; unaudited)</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3"/>
          </w:tcPr>
          <w:p>
            <w:pPr>
              <w:ind w:left="420"/>
              <w:spacing w:after="0"/>
              <w:rPr>
                <w:sz w:val="20"/>
                <w:szCs w:val="20"/>
                <w:color w:val="auto"/>
              </w:rPr>
            </w:pPr>
            <w:r>
              <w:rPr>
                <w:rFonts w:ascii="Arial" w:cs="Arial" w:eastAsia="Arial" w:hAnsi="Arial"/>
                <w:sz w:val="18"/>
                <w:szCs w:val="18"/>
                <w:b w:val="1"/>
                <w:bCs w:val="1"/>
                <w:color w:val="131E29"/>
              </w:rPr>
              <w:t>2022 v. 2021</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131E29"/>
              </w:rPr>
              <w:t>2022</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131E29"/>
              </w:rPr>
              <w:t>2022 v. 2021</w:t>
            </w:r>
          </w:p>
        </w:tc>
      </w:tr>
      <w:tr>
        <w:trPr>
          <w:trHeight w:val="25"/>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1020" w:type="dxa"/>
            <w:vAlign w:val="bottom"/>
            <w:tcBorders>
              <w:bottom w:val="single" w:sz="8" w:color="131E29"/>
            </w:tcBorders>
          </w:tcPr>
          <w:p>
            <w:pPr>
              <w:spacing w:after="0"/>
              <w:rPr>
                <w:sz w:val="2"/>
                <w:szCs w:val="2"/>
                <w:color w:val="auto"/>
              </w:rPr>
            </w:pPr>
          </w:p>
        </w:tc>
        <w:tc>
          <w:tcPr>
            <w:tcW w:w="920" w:type="dxa"/>
            <w:vAlign w:val="bottom"/>
            <w:tcBorders>
              <w:bottom w:val="single" w:sz="8" w:color="131E29"/>
            </w:tcBorders>
          </w:tcPr>
          <w:p>
            <w:pPr>
              <w:spacing w:after="0"/>
              <w:rPr>
                <w:sz w:val="2"/>
                <w:szCs w:val="2"/>
                <w:color w:val="auto"/>
              </w:rPr>
            </w:pPr>
          </w:p>
        </w:tc>
      </w:tr>
      <w:tr>
        <w:trPr>
          <w:trHeight w:val="243"/>
        </w:trPr>
        <w:tc>
          <w:tcPr>
            <w:tcW w:w="232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4"/>
                <w:szCs w:val="14"/>
                <w:color w:val="131E29"/>
              </w:rPr>
              <w:t xml:space="preserve">Depreciation and amortization  </w:t>
            </w:r>
            <w:r>
              <w:rPr>
                <w:rFonts w:ascii="Arial" w:cs="Arial" w:eastAsia="Arial" w:hAnsi="Arial"/>
                <w:sz w:val="17"/>
                <w:szCs w:val="17"/>
                <w:color w:val="131E29"/>
              </w:rPr>
              <w:t>$</w:t>
            </w:r>
          </w:p>
        </w:tc>
        <w:tc>
          <w:tcPr>
            <w:tcW w:w="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8,307</w:t>
            </w:r>
          </w:p>
        </w:tc>
        <w:tc>
          <w:tcPr>
            <w:tcW w:w="42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3,473</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ind w:right="290"/>
              <w:spacing w:after="0"/>
              <w:rPr>
                <w:sz w:val="20"/>
                <w:szCs w:val="20"/>
                <w:color w:val="auto"/>
              </w:rPr>
            </w:pPr>
            <w:r>
              <w:rPr>
                <w:rFonts w:ascii="Arial" w:cs="Arial" w:eastAsia="Arial" w:hAnsi="Arial"/>
                <w:sz w:val="18"/>
                <w:szCs w:val="18"/>
                <w:color w:val="131E29"/>
              </w:rPr>
              <w:t>4,834</w:t>
            </w:r>
          </w:p>
        </w:tc>
        <w:tc>
          <w:tcPr>
            <w:tcW w:w="1020" w:type="dxa"/>
            <w:vAlign w:val="bottom"/>
            <w:tcBorders>
              <w:bottom w:val="single" w:sz="8" w:color="D2DCE5"/>
            </w:tcBorders>
            <w:shd w:val="clear" w:color="auto" w:fill="D2DCE5"/>
          </w:tcPr>
          <w:p>
            <w:pPr>
              <w:jc w:val="right"/>
              <w:ind w:right="230"/>
              <w:spacing w:after="0"/>
              <w:rPr>
                <w:sz w:val="20"/>
                <w:szCs w:val="20"/>
                <w:color w:val="auto"/>
              </w:rPr>
            </w:pPr>
            <w:r>
              <w:rPr>
                <w:rFonts w:ascii="Arial" w:cs="Arial" w:eastAsia="Arial" w:hAnsi="Arial"/>
                <w:sz w:val="18"/>
                <w:szCs w:val="18"/>
                <w:color w:val="131E29"/>
              </w:rPr>
              <w:t>139.2%</w:t>
            </w:r>
          </w:p>
        </w:tc>
        <w:tc>
          <w:tcPr>
            <w:tcW w:w="10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   15,447</w:t>
            </w:r>
          </w:p>
        </w:tc>
        <w:tc>
          <w:tcPr>
            <w:tcW w:w="108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   6,744</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020" w:type="dxa"/>
            <w:vAlign w:val="bottom"/>
            <w:tcBorders>
              <w:bottom w:val="single" w:sz="8" w:color="D2DCE5"/>
            </w:tcBorders>
            <w:shd w:val="clear" w:color="auto" w:fill="D2DCE5"/>
          </w:tcPr>
          <w:p>
            <w:pPr>
              <w:jc w:val="right"/>
              <w:ind w:right="250"/>
              <w:spacing w:after="0"/>
              <w:rPr>
                <w:sz w:val="20"/>
                <w:szCs w:val="20"/>
                <w:color w:val="auto"/>
              </w:rPr>
            </w:pPr>
            <w:r>
              <w:rPr>
                <w:rFonts w:ascii="Arial" w:cs="Arial" w:eastAsia="Arial" w:hAnsi="Arial"/>
                <w:sz w:val="18"/>
                <w:szCs w:val="18"/>
                <w:color w:val="131E29"/>
              </w:rPr>
              <w:t>8,703</w:t>
            </w:r>
          </w:p>
        </w:tc>
        <w:tc>
          <w:tcPr>
            <w:tcW w:w="92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129.0%</w:t>
            </w:r>
          </w:p>
        </w:tc>
      </w:tr>
      <w:tr>
        <w:trPr>
          <w:trHeight w:val="245"/>
        </w:trPr>
        <w:tc>
          <w:tcPr>
            <w:tcW w:w="2320" w:type="dxa"/>
            <w:vAlign w:val="bottom"/>
            <w:gridSpan w:val="3"/>
          </w:tcPr>
          <w:p>
            <w:pPr>
              <w:ind w:left="20"/>
              <w:spacing w:after="0"/>
              <w:rPr>
                <w:sz w:val="20"/>
                <w:szCs w:val="20"/>
                <w:color w:val="auto"/>
              </w:rPr>
            </w:pPr>
            <w:r>
              <w:rPr>
                <w:rFonts w:ascii="Arial" w:cs="Arial" w:eastAsia="Arial" w:hAnsi="Arial"/>
                <w:sz w:val="14"/>
                <w:szCs w:val="14"/>
                <w:i w:val="1"/>
                <w:iCs w:val="1"/>
                <w:color w:val="131E29"/>
              </w:rPr>
              <w:t>As a percentage of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131E29"/>
              </w:rPr>
              <w:t>5.2 %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131E29"/>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color w:val="131E29"/>
              </w:rPr>
              <w:t>N/A</w:t>
            </w:r>
          </w:p>
        </w:tc>
        <w:tc>
          <w:tcPr>
            <w:tcW w:w="1120" w:type="dxa"/>
            <w:vAlign w:val="bottom"/>
            <w:gridSpan w:val="2"/>
          </w:tcPr>
          <w:p>
            <w:pPr>
              <w:ind w:left="360"/>
              <w:spacing w:after="0"/>
              <w:rPr>
                <w:sz w:val="20"/>
                <w:szCs w:val="20"/>
                <w:color w:val="auto"/>
              </w:rPr>
            </w:pPr>
            <w:r>
              <w:rPr>
                <w:rFonts w:ascii="Arial" w:cs="Arial" w:eastAsia="Arial" w:hAnsi="Arial"/>
                <w:sz w:val="18"/>
                <w:szCs w:val="18"/>
                <w:color w:val="131E29"/>
              </w:rPr>
              <w:t>180 bps</w:t>
            </w:r>
          </w:p>
        </w:tc>
        <w:tc>
          <w:tcPr>
            <w:tcW w:w="980" w:type="dxa"/>
            <w:vAlign w:val="bottom"/>
          </w:tcPr>
          <w:p>
            <w:pPr>
              <w:jc w:val="right"/>
              <w:ind w:right="170"/>
              <w:spacing w:after="0"/>
              <w:rPr>
                <w:sz w:val="20"/>
                <w:szCs w:val="20"/>
                <w:color w:val="auto"/>
              </w:rPr>
            </w:pPr>
            <w:r>
              <w:rPr>
                <w:rFonts w:ascii="Arial" w:cs="Arial" w:eastAsia="Arial" w:hAnsi="Arial"/>
                <w:sz w:val="18"/>
                <w:szCs w:val="18"/>
                <w:color w:val="131E29"/>
              </w:rPr>
              <w:t>5.3%</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131E29"/>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131E29"/>
              </w:rPr>
              <w:t>N/A</w:t>
            </w:r>
          </w:p>
        </w:tc>
        <w:tc>
          <w:tcPr>
            <w:tcW w:w="920" w:type="dxa"/>
            <w:vAlign w:val="bottom"/>
          </w:tcPr>
          <w:p>
            <w:pPr>
              <w:jc w:val="right"/>
              <w:ind w:right="30"/>
              <w:spacing w:after="0"/>
              <w:rPr>
                <w:sz w:val="20"/>
                <w:szCs w:val="20"/>
                <w:color w:val="auto"/>
              </w:rPr>
            </w:pPr>
            <w:r>
              <w:rPr>
                <w:rFonts w:ascii="Arial" w:cs="Arial" w:eastAsia="Arial" w:hAnsi="Arial"/>
                <w:sz w:val="18"/>
                <w:szCs w:val="18"/>
                <w:color w:val="131E29"/>
              </w:rPr>
              <w:t>160 bps</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increases in depreciation and amortization were primarily driven by the opening of new company-operated shops during both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5360" w:type="dxa"/>
            <w:vAlign w:val="bottom"/>
            <w:gridSpan w:val="10"/>
          </w:tcPr>
          <w:p>
            <w:pPr>
              <w:spacing w:after="0"/>
              <w:rPr>
                <w:sz w:val="20"/>
                <w:szCs w:val="20"/>
                <w:color w:val="auto"/>
              </w:rPr>
            </w:pPr>
            <w:r>
              <w:rPr>
                <w:rFonts w:ascii="Arial" w:cs="Arial" w:eastAsia="Arial" w:hAnsi="Arial"/>
                <w:sz w:val="18"/>
                <w:szCs w:val="18"/>
                <w:b w:val="1"/>
                <w:bCs w:val="1"/>
                <w:i w:val="1"/>
                <w:iCs w:val="1"/>
                <w:color w:val="006098"/>
              </w:rPr>
              <w:t>Company-operated Shop Gross Profit and Contribution</w:t>
            </w:r>
            <w:r>
              <w:rPr>
                <w:rFonts w:ascii="Arial" w:cs="Arial" w:eastAsia="Arial" w:hAnsi="Arial"/>
                <w:sz w:val="23"/>
                <w:szCs w:val="23"/>
                <w:b w:val="1"/>
                <w:bCs w:val="1"/>
                <w:i w:val="1"/>
                <w:iCs w:val="1"/>
                <w:color w:val="006098"/>
                <w:vertAlign w:val="superscript"/>
              </w:rPr>
              <w:t>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6"/>
          </w:tcPr>
          <w:p>
            <w:pPr>
              <w:jc w:val="center"/>
              <w:spacing w:after="0"/>
              <w:rPr>
                <w:sz w:val="20"/>
                <w:szCs w:val="20"/>
                <w:color w:val="auto"/>
              </w:rPr>
            </w:pPr>
            <w:r>
              <w:rPr>
                <w:rFonts w:ascii="Arial" w:cs="Arial" w:eastAsia="Arial" w:hAnsi="Arial"/>
                <w:sz w:val="18"/>
                <w:szCs w:val="18"/>
                <w:b w:val="1"/>
                <w:bCs w:val="1"/>
                <w:color w:val="131E29"/>
              </w:rPr>
              <w:t>Three Months Ended June 30,</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right"/>
              <w:ind w:right="77"/>
              <w:spacing w:after="0"/>
              <w:rPr>
                <w:sz w:val="20"/>
                <w:szCs w:val="20"/>
                <w:color w:val="auto"/>
              </w:rPr>
            </w:pPr>
            <w:r>
              <w:rPr>
                <w:rFonts w:ascii="Arial" w:cs="Arial" w:eastAsia="Arial" w:hAnsi="Arial"/>
                <w:sz w:val="18"/>
                <w:szCs w:val="18"/>
                <w:b w:val="1"/>
                <w:bCs w:val="1"/>
                <w:color w:val="131E29"/>
              </w:rPr>
              <w:t>Six Months Ended June 30,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0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center"/>
              <w:ind w:right="137"/>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center"/>
              <w:ind w:right="137"/>
              <w:spacing w:after="0"/>
              <w:rPr>
                <w:sz w:val="20"/>
                <w:szCs w:val="20"/>
                <w:color w:val="auto"/>
              </w:rPr>
            </w:pPr>
            <w:r>
              <w:rPr>
                <w:rFonts w:ascii="Arial" w:cs="Arial" w:eastAsia="Arial" w:hAnsi="Arial"/>
                <w:sz w:val="18"/>
                <w:szCs w:val="18"/>
                <w:b w:val="1"/>
                <w:bCs w:val="1"/>
                <w:color w:val="131E29"/>
                <w:w w:val="99"/>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131E29"/>
              </w:rPr>
              <w:t>2022 v. 2021</w:t>
            </w: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2022</w:t>
            </w:r>
          </w:p>
        </w:tc>
        <w:tc>
          <w:tcPr>
            <w:tcW w:w="10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131E29"/>
              </w:rPr>
              <w:t>2022 v. 2021</w:t>
            </w:r>
          </w:p>
        </w:tc>
        <w:tc>
          <w:tcPr>
            <w:tcW w:w="0" w:type="dxa"/>
            <w:vAlign w:val="bottom"/>
          </w:tcPr>
          <w:p>
            <w:pPr>
              <w:spacing w:after="0"/>
              <w:rPr>
                <w:sz w:val="1"/>
                <w:szCs w:val="1"/>
                <w:color w:val="auto"/>
              </w:rPr>
            </w:pPr>
          </w:p>
        </w:tc>
      </w:tr>
      <w:tr>
        <w:trPr>
          <w:trHeight w:val="176"/>
        </w:trPr>
        <w:tc>
          <w:tcPr>
            <w:tcW w:w="170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8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c>
          <w:tcPr>
            <w:tcW w:w="1040" w:type="dxa"/>
            <w:vAlign w:val="bottom"/>
            <w:tcBorders>
              <w:bottom w:val="single" w:sz="8" w:color="131E2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w:t>
            </w:r>
          </w:p>
        </w:tc>
        <w:tc>
          <w:tcPr>
            <w:tcW w:w="200" w:type="dxa"/>
            <w:vAlign w:val="bottom"/>
            <w:vMerge w:val="restart"/>
            <w:shd w:val="clear" w:color="auto" w:fill="D2DCE5"/>
          </w:tcPr>
          <w:p>
            <w:pPr>
              <w:jc w:val="right"/>
              <w:ind w:right="19"/>
              <w:spacing w:after="0"/>
              <w:rPr>
                <w:sz w:val="20"/>
                <w:szCs w:val="20"/>
                <w:color w:val="auto"/>
              </w:rPr>
            </w:pPr>
            <w:r>
              <w:rPr>
                <w:rFonts w:ascii="Arial" w:cs="Arial" w:eastAsia="Arial" w:hAnsi="Arial"/>
                <w:sz w:val="16"/>
                <w:szCs w:val="16"/>
                <w:color w:val="131E29"/>
                <w:w w:val="8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31,218</w:t>
            </w:r>
          </w:p>
        </w:tc>
        <w:tc>
          <w:tcPr>
            <w:tcW w:w="30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6"/>
                <w:szCs w:val="16"/>
                <w:color w:val="131E2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29,452</w:t>
            </w:r>
          </w:p>
        </w:tc>
        <w:tc>
          <w:tcPr>
            <w:tcW w:w="100" w:type="dxa"/>
            <w:vAlign w:val="bottom"/>
            <w:shd w:val="clear" w:color="auto" w:fill="D2DCE5"/>
          </w:tcPr>
          <w:p>
            <w:pPr>
              <w:spacing w:after="0"/>
              <w:rPr>
                <w:sz w:val="17"/>
                <w:szCs w:val="17"/>
                <w:color w:val="auto"/>
              </w:rPr>
            </w:pPr>
          </w:p>
        </w:tc>
        <w:tc>
          <w:tcPr>
            <w:tcW w:w="240" w:type="dxa"/>
            <w:vAlign w:val="bottom"/>
            <w:vMerge w:val="restart"/>
            <w:shd w:val="clear" w:color="auto" w:fill="D2DCE5"/>
          </w:tcPr>
          <w:p>
            <w:pPr>
              <w:jc w:val="center"/>
              <w:ind w:right="39"/>
              <w:spacing w:after="0"/>
              <w:rPr>
                <w:sz w:val="20"/>
                <w:szCs w:val="20"/>
                <w:color w:val="auto"/>
              </w:rPr>
            </w:pPr>
            <w:r>
              <w:rPr>
                <w:rFonts w:ascii="Arial" w:cs="Arial" w:eastAsia="Arial" w:hAnsi="Arial"/>
                <w:sz w:val="16"/>
                <w:szCs w:val="16"/>
                <w:color w:val="131E29"/>
                <w:w w:val="89"/>
              </w:rPr>
              <w:t>$</w:t>
            </w:r>
          </w:p>
        </w:tc>
        <w:tc>
          <w:tcPr>
            <w:tcW w:w="1180" w:type="dxa"/>
            <w:vAlign w:val="bottom"/>
            <w:vMerge w:val="restart"/>
            <w:shd w:val="clear" w:color="auto" w:fill="D2DCE5"/>
          </w:tcPr>
          <w:p>
            <w:pPr>
              <w:jc w:val="right"/>
              <w:ind w:right="397"/>
              <w:spacing w:after="0"/>
              <w:rPr>
                <w:sz w:val="20"/>
                <w:szCs w:val="20"/>
                <w:color w:val="auto"/>
              </w:rPr>
            </w:pPr>
            <w:r>
              <w:rPr>
                <w:rFonts w:ascii="Arial" w:cs="Arial" w:eastAsia="Arial" w:hAnsi="Arial"/>
                <w:sz w:val="16"/>
                <w:szCs w:val="16"/>
                <w:color w:val="131E29"/>
              </w:rPr>
              <w:t>1,766</w:t>
            </w:r>
          </w:p>
        </w:tc>
        <w:tc>
          <w:tcPr>
            <w:tcW w:w="960" w:type="dxa"/>
            <w:vAlign w:val="bottom"/>
            <w:vMerge w:val="restart"/>
            <w:shd w:val="clear" w:color="auto" w:fill="D2DCE5"/>
          </w:tcPr>
          <w:p>
            <w:pPr>
              <w:jc w:val="right"/>
              <w:ind w:right="379"/>
              <w:spacing w:after="0"/>
              <w:rPr>
                <w:sz w:val="20"/>
                <w:szCs w:val="20"/>
                <w:color w:val="auto"/>
              </w:rPr>
            </w:pPr>
            <w:r>
              <w:rPr>
                <w:rFonts w:ascii="Arial" w:cs="Arial" w:eastAsia="Arial" w:hAnsi="Arial"/>
                <w:sz w:val="16"/>
                <w:szCs w:val="16"/>
                <w:color w:val="131E29"/>
              </w:rPr>
              <w:t>6.0%</w:t>
            </w:r>
          </w:p>
        </w:tc>
        <w:tc>
          <w:tcPr>
            <w:tcW w:w="80" w:type="dxa"/>
            <w:vAlign w:val="bottom"/>
            <w:shd w:val="clear" w:color="auto" w:fill="D2DCE5"/>
          </w:tcPr>
          <w:p>
            <w:pPr>
              <w:spacing w:after="0"/>
              <w:rPr>
                <w:sz w:val="17"/>
                <w:szCs w:val="17"/>
                <w:color w:val="auto"/>
              </w:rPr>
            </w:pP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47,857</w:t>
            </w:r>
          </w:p>
        </w:tc>
        <w:tc>
          <w:tcPr>
            <w:tcW w:w="100" w:type="dxa"/>
            <w:vAlign w:val="bottom"/>
            <w:shd w:val="clear" w:color="auto" w:fill="D2DCE5"/>
          </w:tcPr>
          <w:p>
            <w:pPr>
              <w:spacing w:after="0"/>
              <w:rPr>
                <w:sz w:val="17"/>
                <w:szCs w:val="17"/>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47,030</w:t>
            </w:r>
          </w:p>
        </w:tc>
        <w:tc>
          <w:tcPr>
            <w:tcW w:w="100" w:type="dxa"/>
            <w:vAlign w:val="bottom"/>
            <w:shd w:val="clear" w:color="auto" w:fill="D2DCE5"/>
          </w:tcPr>
          <w:p>
            <w:pPr>
              <w:spacing w:after="0"/>
              <w:rPr>
                <w:sz w:val="17"/>
                <w:szCs w:val="17"/>
                <w:color w:val="auto"/>
              </w:rPr>
            </w:pPr>
          </w:p>
        </w:tc>
        <w:tc>
          <w:tcPr>
            <w:tcW w:w="240" w:type="dxa"/>
            <w:vAlign w:val="bottom"/>
            <w:vMerge w:val="restart"/>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1100" w:type="dxa"/>
            <w:vAlign w:val="bottom"/>
            <w:vMerge w:val="restart"/>
            <w:shd w:val="clear" w:color="auto" w:fill="D2DCE5"/>
          </w:tcPr>
          <w:p>
            <w:pPr>
              <w:jc w:val="right"/>
              <w:ind w:right="357"/>
              <w:spacing w:after="0"/>
              <w:rPr>
                <w:sz w:val="20"/>
                <w:szCs w:val="20"/>
                <w:color w:val="auto"/>
              </w:rPr>
            </w:pPr>
            <w:r>
              <w:rPr>
                <w:rFonts w:ascii="Arial" w:cs="Arial" w:eastAsia="Arial" w:hAnsi="Arial"/>
                <w:sz w:val="16"/>
                <w:szCs w:val="16"/>
                <w:color w:val="131E29"/>
              </w:rPr>
              <w:t>827</w:t>
            </w:r>
          </w:p>
        </w:tc>
        <w:tc>
          <w:tcPr>
            <w:tcW w:w="1040" w:type="dxa"/>
            <w:vAlign w:val="bottom"/>
            <w:vMerge w:val="restart"/>
            <w:shd w:val="clear" w:color="auto" w:fill="D2DCE5"/>
          </w:tcPr>
          <w:p>
            <w:pPr>
              <w:jc w:val="right"/>
              <w:ind w:right="399"/>
              <w:spacing w:after="0"/>
              <w:rPr>
                <w:sz w:val="20"/>
                <w:szCs w:val="20"/>
                <w:color w:val="auto"/>
              </w:rPr>
            </w:pPr>
            <w:r>
              <w:rPr>
                <w:rFonts w:ascii="Arial" w:cs="Arial" w:eastAsia="Arial" w:hAnsi="Arial"/>
                <w:sz w:val="16"/>
                <w:szCs w:val="16"/>
                <w:color w:val="131E29"/>
              </w:rPr>
              <w:t>1.8%</w:t>
            </w:r>
          </w:p>
        </w:tc>
        <w:tc>
          <w:tcPr>
            <w:tcW w:w="0" w:type="dxa"/>
            <w:vAlign w:val="bottom"/>
          </w:tcPr>
          <w:p>
            <w:pPr>
              <w:spacing w:after="0"/>
              <w:rPr>
                <w:sz w:val="1"/>
                <w:szCs w:val="1"/>
                <w:color w:val="auto"/>
              </w:rPr>
            </w:pPr>
          </w:p>
        </w:tc>
      </w:tr>
      <w:tr>
        <w:trPr>
          <w:trHeight w:val="201"/>
        </w:trPr>
        <w:tc>
          <w:tcPr>
            <w:tcW w:w="1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shop gross profit</w:t>
            </w:r>
          </w:p>
        </w:tc>
        <w:tc>
          <w:tcPr>
            <w:tcW w:w="200" w:type="dxa"/>
            <w:vAlign w:val="bottom"/>
            <w:vMerge w:val="continue"/>
            <w:shd w:val="clear" w:color="auto" w:fill="D2DCE5"/>
          </w:tcPr>
          <w:p>
            <w:pPr>
              <w:spacing w:after="0"/>
              <w:rPr>
                <w:sz w:val="17"/>
                <w:szCs w:val="17"/>
                <w:color w:val="auto"/>
              </w:rPr>
            </w:pPr>
          </w:p>
        </w:tc>
        <w:tc>
          <w:tcPr>
            <w:tcW w:w="820" w:type="dxa"/>
            <w:vAlign w:val="bottom"/>
            <w:vMerge w:val="continue"/>
            <w:shd w:val="clear" w:color="auto" w:fill="D2DCE5"/>
          </w:tcPr>
          <w:p>
            <w:pPr>
              <w:spacing w:after="0"/>
              <w:rPr>
                <w:sz w:val="17"/>
                <w:szCs w:val="17"/>
                <w:color w:val="auto"/>
              </w:rPr>
            </w:pPr>
          </w:p>
        </w:tc>
        <w:tc>
          <w:tcPr>
            <w:tcW w:w="300" w:type="dxa"/>
            <w:vAlign w:val="bottom"/>
            <w:gridSpan w:val="2"/>
            <w:vMerge w:val="continue"/>
            <w:shd w:val="clear" w:color="auto" w:fill="D2DCE5"/>
          </w:tcPr>
          <w:p>
            <w:pPr>
              <w:spacing w:after="0"/>
              <w:rPr>
                <w:sz w:val="17"/>
                <w:szCs w:val="17"/>
                <w:color w:val="auto"/>
              </w:rPr>
            </w:pPr>
          </w:p>
        </w:tc>
        <w:tc>
          <w:tcPr>
            <w:tcW w:w="82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40" w:type="dxa"/>
            <w:vAlign w:val="bottom"/>
            <w:vMerge w:val="continue"/>
            <w:shd w:val="clear" w:color="auto" w:fill="D2DCE5"/>
          </w:tcPr>
          <w:p>
            <w:pPr>
              <w:spacing w:after="0"/>
              <w:rPr>
                <w:sz w:val="17"/>
                <w:szCs w:val="17"/>
                <w:color w:val="auto"/>
              </w:rPr>
            </w:pPr>
          </w:p>
        </w:tc>
        <w:tc>
          <w:tcPr>
            <w:tcW w:w="1180" w:type="dxa"/>
            <w:vAlign w:val="bottom"/>
            <w:vMerge w:val="continue"/>
            <w:shd w:val="clear" w:color="auto" w:fill="D2DCE5"/>
          </w:tcPr>
          <w:p>
            <w:pPr>
              <w:spacing w:after="0"/>
              <w:rPr>
                <w:sz w:val="17"/>
                <w:szCs w:val="17"/>
                <w:color w:val="auto"/>
              </w:rPr>
            </w:pPr>
          </w:p>
        </w:tc>
        <w:tc>
          <w:tcPr>
            <w:tcW w:w="96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6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8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40" w:type="dxa"/>
            <w:vAlign w:val="bottom"/>
            <w:vMerge w:val="continue"/>
            <w:shd w:val="clear" w:color="auto" w:fill="D2DCE5"/>
          </w:tcPr>
          <w:p>
            <w:pPr>
              <w:spacing w:after="0"/>
              <w:rPr>
                <w:sz w:val="17"/>
                <w:szCs w:val="17"/>
                <w:color w:val="auto"/>
              </w:rPr>
            </w:pPr>
          </w:p>
        </w:tc>
        <w:tc>
          <w:tcPr>
            <w:tcW w:w="1100" w:type="dxa"/>
            <w:vAlign w:val="bottom"/>
            <w:vMerge w:val="continue"/>
            <w:shd w:val="clear" w:color="auto" w:fill="D2DCE5"/>
          </w:tcPr>
          <w:p>
            <w:pPr>
              <w:spacing w:after="0"/>
              <w:rPr>
                <w:sz w:val="17"/>
                <w:szCs w:val="17"/>
                <w:color w:val="auto"/>
              </w:rPr>
            </w:pPr>
          </w:p>
        </w:tc>
        <w:tc>
          <w:tcPr>
            <w:tcW w:w="104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w:t>
            </w:r>
          </w:p>
        </w:tc>
        <w:tc>
          <w:tcPr>
            <w:tcW w:w="200" w:type="dxa"/>
            <w:vAlign w:val="bottom"/>
          </w:tcPr>
          <w:p>
            <w:pPr>
              <w:spacing w:after="0"/>
              <w:rPr>
                <w:sz w:val="16"/>
                <w:szCs w:val="16"/>
                <w:color w:val="auto"/>
              </w:rPr>
            </w:pPr>
          </w:p>
        </w:tc>
        <w:tc>
          <w:tcPr>
            <w:tcW w:w="820" w:type="dxa"/>
            <w:vAlign w:val="bottom"/>
            <w:vMerge w:val="restart"/>
          </w:tcPr>
          <w:p>
            <w:pPr>
              <w:jc w:val="center"/>
              <w:ind w:right="117"/>
              <w:spacing w:after="0"/>
              <w:rPr>
                <w:sz w:val="20"/>
                <w:szCs w:val="20"/>
                <w:color w:val="auto"/>
              </w:rPr>
            </w:pPr>
            <w:r>
              <w:rPr>
                <w:rFonts w:ascii="Arial" w:cs="Arial" w:eastAsia="Arial" w:hAnsi="Arial"/>
                <w:sz w:val="16"/>
                <w:szCs w:val="16"/>
                <w:color w:val="131E29"/>
              </w:rPr>
              <w:t>19.4%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center"/>
              <w:ind w:right="117"/>
              <w:spacing w:after="0"/>
              <w:rPr>
                <w:sz w:val="20"/>
                <w:szCs w:val="20"/>
                <w:color w:val="auto"/>
              </w:rPr>
            </w:pPr>
            <w:r>
              <w:rPr>
                <w:rFonts w:ascii="Arial" w:cs="Arial" w:eastAsia="Arial" w:hAnsi="Arial"/>
                <w:sz w:val="16"/>
                <w:szCs w:val="16"/>
                <w:color w:val="131E29"/>
              </w:rPr>
              <w:t>28.6%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restart"/>
          </w:tcPr>
          <w:p>
            <w:pPr>
              <w:jc w:val="right"/>
              <w:ind w:right="697"/>
              <w:spacing w:after="0"/>
              <w:rPr>
                <w:sz w:val="20"/>
                <w:szCs w:val="20"/>
                <w:color w:val="auto"/>
              </w:rPr>
            </w:pPr>
            <w:r>
              <w:rPr>
                <w:rFonts w:ascii="Arial" w:cs="Arial" w:eastAsia="Arial" w:hAnsi="Arial"/>
                <w:sz w:val="16"/>
                <w:szCs w:val="16"/>
                <w:color w:val="131E29"/>
              </w:rPr>
              <w:t>N/A</w:t>
            </w:r>
          </w:p>
        </w:tc>
        <w:tc>
          <w:tcPr>
            <w:tcW w:w="1040" w:type="dxa"/>
            <w:vAlign w:val="bottom"/>
            <w:gridSpan w:val="2"/>
            <w:vMerge w:val="restart"/>
          </w:tcPr>
          <w:p>
            <w:pPr>
              <w:ind w:left="300"/>
              <w:spacing w:after="0"/>
              <w:rPr>
                <w:sz w:val="20"/>
                <w:szCs w:val="20"/>
                <w:color w:val="auto"/>
              </w:rPr>
            </w:pPr>
            <w:r>
              <w:rPr>
                <w:rFonts w:ascii="Arial" w:cs="Arial" w:eastAsia="Arial" w:hAnsi="Arial"/>
                <w:sz w:val="16"/>
                <w:szCs w:val="16"/>
                <w:color w:val="131E29"/>
              </w:rPr>
              <w:t>(920)bps</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131E29"/>
              </w:rPr>
              <w:t>16.5%</w:t>
            </w:r>
          </w:p>
        </w:tc>
        <w:tc>
          <w:tcPr>
            <w:tcW w:w="10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26.0%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right"/>
              <w:ind w:right="637"/>
              <w:spacing w:after="0"/>
              <w:rPr>
                <w:sz w:val="20"/>
                <w:szCs w:val="20"/>
                <w:color w:val="auto"/>
              </w:rPr>
            </w:pPr>
            <w:r>
              <w:rPr>
                <w:rFonts w:ascii="Arial" w:cs="Arial" w:eastAsia="Arial" w:hAnsi="Arial"/>
                <w:sz w:val="16"/>
                <w:szCs w:val="16"/>
                <w:color w:val="131E29"/>
              </w:rPr>
              <w:t>N/A</w:t>
            </w:r>
          </w:p>
        </w:tc>
        <w:tc>
          <w:tcPr>
            <w:tcW w:w="1040" w:type="dxa"/>
            <w:vAlign w:val="bottom"/>
            <w:vMerge w:val="restart"/>
          </w:tcPr>
          <w:p>
            <w:pPr>
              <w:ind w:left="380"/>
              <w:spacing w:after="0"/>
              <w:rPr>
                <w:sz w:val="20"/>
                <w:szCs w:val="20"/>
                <w:color w:val="auto"/>
              </w:rPr>
            </w:pPr>
            <w:r>
              <w:rPr>
                <w:rFonts w:ascii="Arial" w:cs="Arial" w:eastAsia="Arial" w:hAnsi="Arial"/>
                <w:sz w:val="16"/>
                <w:szCs w:val="16"/>
                <w:color w:val="131E29"/>
              </w:rPr>
              <w:t>(950)bps</w:t>
            </w:r>
          </w:p>
        </w:tc>
        <w:tc>
          <w:tcPr>
            <w:tcW w:w="0" w:type="dxa"/>
            <w:vAlign w:val="bottom"/>
          </w:tcPr>
          <w:p>
            <w:pPr>
              <w:spacing w:after="0"/>
              <w:rPr>
                <w:sz w:val="1"/>
                <w:szCs w:val="1"/>
                <w:color w:val="auto"/>
              </w:rPr>
            </w:pPr>
          </w:p>
        </w:tc>
      </w:tr>
      <w:tr>
        <w:trPr>
          <w:trHeight w:val="202"/>
        </w:trPr>
        <w:tc>
          <w:tcPr>
            <w:tcW w:w="170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w:t>
            </w:r>
          </w:p>
        </w:tc>
        <w:tc>
          <w:tcPr>
            <w:tcW w:w="20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shop contribution </w:t>
            </w:r>
            <w:r>
              <w:rPr>
                <w:rFonts w:ascii="Arial" w:cs="Arial" w:eastAsia="Arial" w:hAnsi="Arial"/>
                <w:sz w:val="18"/>
                <w:szCs w:val="18"/>
                <w:color w:val="131E29"/>
                <w:vertAlign w:val="superscript"/>
              </w:rPr>
              <w:t>1</w:t>
            </w:r>
          </w:p>
        </w:tc>
        <w:tc>
          <w:tcPr>
            <w:tcW w:w="200" w:type="dxa"/>
            <w:vAlign w:val="bottom"/>
            <w:vMerge w:val="restart"/>
            <w:shd w:val="clear" w:color="auto" w:fill="D2DCE5"/>
          </w:tcPr>
          <w:p>
            <w:pPr>
              <w:jc w:val="right"/>
              <w:ind w:right="19"/>
              <w:spacing w:after="0"/>
              <w:rPr>
                <w:sz w:val="20"/>
                <w:szCs w:val="20"/>
                <w:color w:val="auto"/>
              </w:rPr>
            </w:pPr>
            <w:r>
              <w:rPr>
                <w:rFonts w:ascii="Arial" w:cs="Arial" w:eastAsia="Arial" w:hAnsi="Arial"/>
                <w:sz w:val="16"/>
                <w:szCs w:val="16"/>
                <w:color w:val="131E29"/>
                <w:w w:val="8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39,525</w:t>
            </w:r>
          </w:p>
        </w:tc>
        <w:tc>
          <w:tcPr>
            <w:tcW w:w="30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6"/>
                <w:szCs w:val="16"/>
                <w:color w:val="131E29"/>
              </w:rPr>
              <w:t>$</w:t>
            </w: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32,925</w:t>
            </w:r>
          </w:p>
        </w:tc>
        <w:tc>
          <w:tcPr>
            <w:tcW w:w="100" w:type="dxa"/>
            <w:vAlign w:val="bottom"/>
            <w:shd w:val="clear" w:color="auto" w:fill="D2DCE5"/>
          </w:tcPr>
          <w:p>
            <w:pPr>
              <w:spacing w:after="0"/>
              <w:rPr>
                <w:sz w:val="20"/>
                <w:szCs w:val="20"/>
                <w:color w:val="auto"/>
              </w:rPr>
            </w:pPr>
          </w:p>
        </w:tc>
        <w:tc>
          <w:tcPr>
            <w:tcW w:w="240" w:type="dxa"/>
            <w:vAlign w:val="bottom"/>
            <w:vMerge w:val="restart"/>
            <w:shd w:val="clear" w:color="auto" w:fill="D2DCE5"/>
          </w:tcPr>
          <w:p>
            <w:pPr>
              <w:jc w:val="center"/>
              <w:ind w:right="39"/>
              <w:spacing w:after="0"/>
              <w:rPr>
                <w:sz w:val="20"/>
                <w:szCs w:val="20"/>
                <w:color w:val="auto"/>
              </w:rPr>
            </w:pPr>
            <w:r>
              <w:rPr>
                <w:rFonts w:ascii="Arial" w:cs="Arial" w:eastAsia="Arial" w:hAnsi="Arial"/>
                <w:sz w:val="16"/>
                <w:szCs w:val="16"/>
                <w:color w:val="131E29"/>
                <w:w w:val="89"/>
              </w:rPr>
              <w:t>$</w:t>
            </w:r>
          </w:p>
        </w:tc>
        <w:tc>
          <w:tcPr>
            <w:tcW w:w="1180" w:type="dxa"/>
            <w:vAlign w:val="bottom"/>
            <w:vMerge w:val="restart"/>
            <w:shd w:val="clear" w:color="auto" w:fill="D2DCE5"/>
          </w:tcPr>
          <w:p>
            <w:pPr>
              <w:jc w:val="right"/>
              <w:ind w:right="397"/>
              <w:spacing w:after="0"/>
              <w:rPr>
                <w:sz w:val="20"/>
                <w:szCs w:val="20"/>
                <w:color w:val="auto"/>
              </w:rPr>
            </w:pPr>
            <w:r>
              <w:rPr>
                <w:rFonts w:ascii="Arial" w:cs="Arial" w:eastAsia="Arial" w:hAnsi="Arial"/>
                <w:sz w:val="16"/>
                <w:szCs w:val="16"/>
                <w:color w:val="131E29"/>
              </w:rPr>
              <w:t>6,600</w:t>
            </w:r>
          </w:p>
        </w:tc>
        <w:tc>
          <w:tcPr>
            <w:tcW w:w="960" w:type="dxa"/>
            <w:vAlign w:val="bottom"/>
            <w:vMerge w:val="restart"/>
            <w:shd w:val="clear" w:color="auto" w:fill="D2DCE5"/>
          </w:tcPr>
          <w:p>
            <w:pPr>
              <w:jc w:val="right"/>
              <w:ind w:right="339"/>
              <w:spacing w:after="0"/>
              <w:rPr>
                <w:sz w:val="20"/>
                <w:szCs w:val="20"/>
                <w:color w:val="auto"/>
              </w:rPr>
            </w:pPr>
            <w:r>
              <w:rPr>
                <w:rFonts w:ascii="Arial" w:cs="Arial" w:eastAsia="Arial" w:hAnsi="Arial"/>
                <w:sz w:val="16"/>
                <w:szCs w:val="16"/>
                <w:color w:val="131E29"/>
              </w:rPr>
              <w:t>20.0%</w:t>
            </w:r>
          </w:p>
        </w:tc>
        <w:tc>
          <w:tcPr>
            <w:tcW w:w="80" w:type="dxa"/>
            <w:vAlign w:val="bottom"/>
            <w:shd w:val="clear" w:color="auto" w:fill="D2DCE5"/>
          </w:tcPr>
          <w:p>
            <w:pPr>
              <w:spacing w:after="0"/>
              <w:rPr>
                <w:sz w:val="20"/>
                <w:szCs w:val="20"/>
                <w:color w:val="auto"/>
              </w:rPr>
            </w:pPr>
          </w:p>
        </w:tc>
        <w:tc>
          <w:tcPr>
            <w:tcW w:w="106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63,304</w:t>
            </w:r>
          </w:p>
        </w:tc>
        <w:tc>
          <w:tcPr>
            <w:tcW w:w="100" w:type="dxa"/>
            <w:vAlign w:val="bottom"/>
            <w:shd w:val="clear" w:color="auto" w:fill="D2DCE5"/>
          </w:tcPr>
          <w:p>
            <w:pPr>
              <w:spacing w:after="0"/>
              <w:rPr>
                <w:sz w:val="20"/>
                <w:szCs w:val="20"/>
                <w:color w:val="auto"/>
              </w:rPr>
            </w:pPr>
          </w:p>
        </w:tc>
        <w:tc>
          <w:tcPr>
            <w:tcW w:w="1080" w:type="dxa"/>
            <w:vAlign w:val="bottom"/>
            <w:vMerge w:val="restart"/>
            <w:shd w:val="clear" w:color="auto" w:fill="D2DCE5"/>
          </w:tcPr>
          <w:p>
            <w:pPr>
              <w:jc w:val="right"/>
              <w:spacing w:after="0"/>
              <w:rPr>
                <w:sz w:val="20"/>
                <w:szCs w:val="20"/>
                <w:color w:val="auto"/>
              </w:rPr>
            </w:pPr>
            <w:r>
              <w:rPr>
                <w:rFonts w:ascii="Arial" w:cs="Arial" w:eastAsia="Arial" w:hAnsi="Arial"/>
                <w:sz w:val="16"/>
                <w:szCs w:val="16"/>
                <w:color w:val="131E29"/>
              </w:rPr>
              <w:t>53,774</w:t>
            </w:r>
          </w:p>
        </w:tc>
        <w:tc>
          <w:tcPr>
            <w:tcW w:w="100" w:type="dxa"/>
            <w:vAlign w:val="bottom"/>
            <w:shd w:val="clear" w:color="auto" w:fill="D2DCE5"/>
          </w:tcPr>
          <w:p>
            <w:pPr>
              <w:spacing w:after="0"/>
              <w:rPr>
                <w:sz w:val="20"/>
                <w:szCs w:val="20"/>
                <w:color w:val="auto"/>
              </w:rPr>
            </w:pPr>
          </w:p>
        </w:tc>
        <w:tc>
          <w:tcPr>
            <w:tcW w:w="240" w:type="dxa"/>
            <w:vAlign w:val="bottom"/>
            <w:vMerge w:val="restart"/>
            <w:shd w:val="clear" w:color="auto" w:fill="D2DCE5"/>
          </w:tcPr>
          <w:p>
            <w:pPr>
              <w:jc w:val="right"/>
              <w:ind w:right="39"/>
              <w:spacing w:after="0"/>
              <w:rPr>
                <w:sz w:val="20"/>
                <w:szCs w:val="20"/>
                <w:color w:val="auto"/>
              </w:rPr>
            </w:pPr>
            <w:r>
              <w:rPr>
                <w:rFonts w:ascii="Arial" w:cs="Arial" w:eastAsia="Arial" w:hAnsi="Arial"/>
                <w:sz w:val="16"/>
                <w:szCs w:val="16"/>
                <w:color w:val="131E29"/>
              </w:rPr>
              <w:t>$</w:t>
            </w:r>
          </w:p>
        </w:tc>
        <w:tc>
          <w:tcPr>
            <w:tcW w:w="1100" w:type="dxa"/>
            <w:vAlign w:val="bottom"/>
            <w:vMerge w:val="restart"/>
            <w:shd w:val="clear" w:color="auto" w:fill="D2DCE5"/>
          </w:tcPr>
          <w:p>
            <w:pPr>
              <w:jc w:val="right"/>
              <w:ind w:right="357"/>
              <w:spacing w:after="0"/>
              <w:rPr>
                <w:sz w:val="20"/>
                <w:szCs w:val="20"/>
                <w:color w:val="auto"/>
              </w:rPr>
            </w:pPr>
            <w:r>
              <w:rPr>
                <w:rFonts w:ascii="Arial" w:cs="Arial" w:eastAsia="Arial" w:hAnsi="Arial"/>
                <w:sz w:val="16"/>
                <w:szCs w:val="16"/>
                <w:color w:val="131E29"/>
              </w:rPr>
              <w:t>9,530</w:t>
            </w:r>
          </w:p>
        </w:tc>
        <w:tc>
          <w:tcPr>
            <w:tcW w:w="1040" w:type="dxa"/>
            <w:vAlign w:val="bottom"/>
            <w:vMerge w:val="restart"/>
            <w:shd w:val="clear" w:color="auto" w:fill="D2DCE5"/>
          </w:tcPr>
          <w:p>
            <w:pPr>
              <w:jc w:val="right"/>
              <w:ind w:right="339"/>
              <w:spacing w:after="0"/>
              <w:rPr>
                <w:sz w:val="20"/>
                <w:szCs w:val="20"/>
                <w:color w:val="auto"/>
              </w:rPr>
            </w:pPr>
            <w:r>
              <w:rPr>
                <w:rFonts w:ascii="Arial" w:cs="Arial" w:eastAsia="Arial" w:hAnsi="Arial"/>
                <w:sz w:val="16"/>
                <w:szCs w:val="16"/>
                <w:color w:val="131E29"/>
              </w:rPr>
              <w:t>17.7%</w:t>
            </w:r>
          </w:p>
        </w:tc>
        <w:tc>
          <w:tcPr>
            <w:tcW w:w="0" w:type="dxa"/>
            <w:vAlign w:val="bottom"/>
          </w:tcPr>
          <w:p>
            <w:pPr>
              <w:spacing w:after="0"/>
              <w:rPr>
                <w:sz w:val="1"/>
                <w:szCs w:val="1"/>
                <w:color w:val="auto"/>
              </w:rPr>
            </w:pPr>
          </w:p>
        </w:tc>
      </w:tr>
      <w:tr>
        <w:trPr>
          <w:trHeight w:val="128"/>
        </w:trPr>
        <w:tc>
          <w:tcPr>
            <w:tcW w:w="160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200" w:type="dxa"/>
            <w:vAlign w:val="bottom"/>
            <w:vMerge w:val="continue"/>
            <w:shd w:val="clear" w:color="auto" w:fill="D2DCE5"/>
          </w:tcPr>
          <w:p>
            <w:pPr>
              <w:spacing w:after="0"/>
              <w:rPr>
                <w:sz w:val="11"/>
                <w:szCs w:val="11"/>
                <w:color w:val="auto"/>
              </w:rPr>
            </w:pPr>
          </w:p>
        </w:tc>
        <w:tc>
          <w:tcPr>
            <w:tcW w:w="820" w:type="dxa"/>
            <w:vAlign w:val="bottom"/>
            <w:vMerge w:val="continue"/>
            <w:shd w:val="clear" w:color="auto" w:fill="D2DCE5"/>
          </w:tcPr>
          <w:p>
            <w:pPr>
              <w:spacing w:after="0"/>
              <w:rPr>
                <w:sz w:val="11"/>
                <w:szCs w:val="11"/>
                <w:color w:val="auto"/>
              </w:rPr>
            </w:pPr>
          </w:p>
        </w:tc>
        <w:tc>
          <w:tcPr>
            <w:tcW w:w="300" w:type="dxa"/>
            <w:vAlign w:val="bottom"/>
            <w:gridSpan w:val="2"/>
            <w:vMerge w:val="continue"/>
            <w:shd w:val="clear" w:color="auto" w:fill="D2DCE5"/>
          </w:tcPr>
          <w:p>
            <w:pPr>
              <w:spacing w:after="0"/>
              <w:rPr>
                <w:sz w:val="11"/>
                <w:szCs w:val="11"/>
                <w:color w:val="auto"/>
              </w:rPr>
            </w:pPr>
          </w:p>
        </w:tc>
        <w:tc>
          <w:tcPr>
            <w:tcW w:w="820" w:type="dxa"/>
            <w:vAlign w:val="bottom"/>
            <w:vMerge w:val="continue"/>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240" w:type="dxa"/>
            <w:vAlign w:val="bottom"/>
            <w:vMerge w:val="continue"/>
            <w:shd w:val="clear" w:color="auto" w:fill="D2DCE5"/>
          </w:tcPr>
          <w:p>
            <w:pPr>
              <w:spacing w:after="0"/>
              <w:rPr>
                <w:sz w:val="11"/>
                <w:szCs w:val="11"/>
                <w:color w:val="auto"/>
              </w:rPr>
            </w:pPr>
          </w:p>
        </w:tc>
        <w:tc>
          <w:tcPr>
            <w:tcW w:w="1180" w:type="dxa"/>
            <w:vAlign w:val="bottom"/>
            <w:vMerge w:val="continue"/>
            <w:shd w:val="clear" w:color="auto" w:fill="D2DCE5"/>
          </w:tcPr>
          <w:p>
            <w:pPr>
              <w:spacing w:after="0"/>
              <w:rPr>
                <w:sz w:val="11"/>
                <w:szCs w:val="11"/>
                <w:color w:val="auto"/>
              </w:rPr>
            </w:pPr>
          </w:p>
        </w:tc>
        <w:tc>
          <w:tcPr>
            <w:tcW w:w="960" w:type="dxa"/>
            <w:vAlign w:val="bottom"/>
            <w:vMerge w:val="continue"/>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1060" w:type="dxa"/>
            <w:vAlign w:val="bottom"/>
            <w:vMerge w:val="continue"/>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1080" w:type="dxa"/>
            <w:vAlign w:val="bottom"/>
            <w:vMerge w:val="continue"/>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240" w:type="dxa"/>
            <w:vAlign w:val="bottom"/>
            <w:vMerge w:val="continue"/>
            <w:shd w:val="clear" w:color="auto" w:fill="D2DCE5"/>
          </w:tcPr>
          <w:p>
            <w:pPr>
              <w:spacing w:after="0"/>
              <w:rPr>
                <w:sz w:val="11"/>
                <w:szCs w:val="11"/>
                <w:color w:val="auto"/>
              </w:rPr>
            </w:pPr>
          </w:p>
        </w:tc>
        <w:tc>
          <w:tcPr>
            <w:tcW w:w="1100" w:type="dxa"/>
            <w:vAlign w:val="bottom"/>
            <w:vMerge w:val="continue"/>
            <w:shd w:val="clear" w:color="auto" w:fill="D2DCE5"/>
          </w:tcPr>
          <w:p>
            <w:pPr>
              <w:spacing w:after="0"/>
              <w:rPr>
                <w:sz w:val="11"/>
                <w:szCs w:val="11"/>
                <w:color w:val="auto"/>
              </w:rPr>
            </w:pPr>
          </w:p>
        </w:tc>
        <w:tc>
          <w:tcPr>
            <w:tcW w:w="1040" w:type="dxa"/>
            <w:vAlign w:val="bottom"/>
            <w:vMerge w:val="continue"/>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70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w:t>
            </w:r>
          </w:p>
        </w:tc>
        <w:tc>
          <w:tcPr>
            <w:tcW w:w="200" w:type="dxa"/>
            <w:vAlign w:val="bottom"/>
          </w:tcPr>
          <w:p>
            <w:pPr>
              <w:spacing w:after="0"/>
              <w:rPr>
                <w:sz w:val="16"/>
                <w:szCs w:val="16"/>
                <w:color w:val="auto"/>
              </w:rPr>
            </w:pPr>
          </w:p>
        </w:tc>
        <w:tc>
          <w:tcPr>
            <w:tcW w:w="820" w:type="dxa"/>
            <w:vAlign w:val="bottom"/>
            <w:vMerge w:val="restart"/>
          </w:tcPr>
          <w:p>
            <w:pPr>
              <w:jc w:val="center"/>
              <w:ind w:right="117"/>
              <w:spacing w:after="0"/>
              <w:rPr>
                <w:sz w:val="20"/>
                <w:szCs w:val="20"/>
                <w:color w:val="auto"/>
              </w:rPr>
            </w:pPr>
            <w:r>
              <w:rPr>
                <w:rFonts w:ascii="Arial" w:cs="Arial" w:eastAsia="Arial" w:hAnsi="Arial"/>
                <w:sz w:val="16"/>
                <w:szCs w:val="16"/>
                <w:color w:val="131E29"/>
              </w:rPr>
              <w:t>24.6%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center"/>
              <w:ind w:right="117"/>
              <w:spacing w:after="0"/>
              <w:rPr>
                <w:sz w:val="20"/>
                <w:szCs w:val="20"/>
                <w:color w:val="auto"/>
              </w:rPr>
            </w:pPr>
            <w:r>
              <w:rPr>
                <w:rFonts w:ascii="Arial" w:cs="Arial" w:eastAsia="Arial" w:hAnsi="Arial"/>
                <w:sz w:val="16"/>
                <w:szCs w:val="16"/>
                <w:color w:val="131E29"/>
              </w:rPr>
              <w:t>32.0%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restart"/>
          </w:tcPr>
          <w:p>
            <w:pPr>
              <w:jc w:val="right"/>
              <w:ind w:right="697"/>
              <w:spacing w:after="0"/>
              <w:rPr>
                <w:sz w:val="20"/>
                <w:szCs w:val="20"/>
                <w:color w:val="auto"/>
              </w:rPr>
            </w:pPr>
            <w:r>
              <w:rPr>
                <w:rFonts w:ascii="Arial" w:cs="Arial" w:eastAsia="Arial" w:hAnsi="Arial"/>
                <w:sz w:val="16"/>
                <w:szCs w:val="16"/>
                <w:color w:val="131E29"/>
              </w:rPr>
              <w:t>N/A</w:t>
            </w:r>
          </w:p>
        </w:tc>
        <w:tc>
          <w:tcPr>
            <w:tcW w:w="1040" w:type="dxa"/>
            <w:vAlign w:val="bottom"/>
            <w:gridSpan w:val="2"/>
            <w:vMerge w:val="restart"/>
          </w:tcPr>
          <w:p>
            <w:pPr>
              <w:ind w:left="300"/>
              <w:spacing w:after="0"/>
              <w:rPr>
                <w:sz w:val="20"/>
                <w:szCs w:val="20"/>
                <w:color w:val="auto"/>
              </w:rPr>
            </w:pPr>
            <w:r>
              <w:rPr>
                <w:rFonts w:ascii="Arial" w:cs="Arial" w:eastAsia="Arial" w:hAnsi="Arial"/>
                <w:sz w:val="16"/>
                <w:szCs w:val="16"/>
                <w:color w:val="131E29"/>
              </w:rPr>
              <w:t>(740)bps</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131E29"/>
              </w:rPr>
              <w:t>21.8%</w:t>
            </w:r>
          </w:p>
        </w:tc>
        <w:tc>
          <w:tcPr>
            <w:tcW w:w="10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29.7%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right"/>
              <w:ind w:right="637"/>
              <w:spacing w:after="0"/>
              <w:rPr>
                <w:sz w:val="20"/>
                <w:szCs w:val="20"/>
                <w:color w:val="auto"/>
              </w:rPr>
            </w:pPr>
            <w:r>
              <w:rPr>
                <w:rFonts w:ascii="Arial" w:cs="Arial" w:eastAsia="Arial" w:hAnsi="Arial"/>
                <w:sz w:val="16"/>
                <w:szCs w:val="16"/>
                <w:color w:val="131E29"/>
              </w:rPr>
              <w:t>N/A</w:t>
            </w:r>
          </w:p>
        </w:tc>
        <w:tc>
          <w:tcPr>
            <w:tcW w:w="1040" w:type="dxa"/>
            <w:vAlign w:val="bottom"/>
            <w:vMerge w:val="restart"/>
          </w:tcPr>
          <w:p>
            <w:pPr>
              <w:ind w:left="380"/>
              <w:spacing w:after="0"/>
              <w:rPr>
                <w:sz w:val="20"/>
                <w:szCs w:val="20"/>
                <w:color w:val="auto"/>
              </w:rPr>
            </w:pPr>
            <w:r>
              <w:rPr>
                <w:rFonts w:ascii="Arial" w:cs="Arial" w:eastAsia="Arial" w:hAnsi="Arial"/>
                <w:sz w:val="16"/>
                <w:szCs w:val="16"/>
                <w:color w:val="131E29"/>
              </w:rPr>
              <w:t>(790)bps</w:t>
            </w:r>
          </w:p>
        </w:tc>
        <w:tc>
          <w:tcPr>
            <w:tcW w:w="0" w:type="dxa"/>
            <w:vAlign w:val="bottom"/>
          </w:tcPr>
          <w:p>
            <w:pPr>
              <w:spacing w:after="0"/>
              <w:rPr>
                <w:sz w:val="1"/>
                <w:szCs w:val="1"/>
                <w:color w:val="auto"/>
              </w:rPr>
            </w:pPr>
          </w:p>
        </w:tc>
      </w:tr>
      <w:tr>
        <w:trPr>
          <w:trHeight w:val="192"/>
        </w:trPr>
        <w:tc>
          <w:tcPr>
            <w:tcW w:w="170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Company-operated shop gross profit and contribution impacts for the year-over-year comparison, presented in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920" w:type="dxa"/>
            <w:vAlign w:val="bottom"/>
            <w:gridSpan w:val="2"/>
          </w:tcPr>
          <w:p>
            <w:pPr>
              <w:ind w:left="20"/>
              <w:spacing w:after="0"/>
              <w:rPr>
                <w:sz w:val="20"/>
                <w:szCs w:val="20"/>
                <w:color w:val="auto"/>
              </w:rPr>
            </w:pPr>
            <w:r>
              <w:rPr>
                <w:rFonts w:ascii="Arial" w:cs="Arial" w:eastAsia="Arial" w:hAnsi="Arial"/>
                <w:sz w:val="14"/>
                <w:szCs w:val="14"/>
                <w:color w:val="131E29"/>
              </w:rPr>
              <w:t>(unaudited)</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131E29"/>
              </w:rPr>
              <w:t>BPS</w:t>
            </w:r>
          </w:p>
        </w:tc>
      </w:tr>
      <w:tr>
        <w:trPr>
          <w:trHeight w:val="26"/>
        </w:trPr>
        <w:tc>
          <w:tcPr>
            <w:tcW w:w="9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44"/>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ingredient costs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Legislated minimum wage increases and higher minimum staffing standards</w:t>
            </w:r>
          </w:p>
        </w:tc>
        <w:tc>
          <w:tcPr>
            <w:tcW w:w="1320" w:type="dxa"/>
            <w:vAlign w:val="bottom"/>
          </w:tcPr>
          <w:p>
            <w:pPr>
              <w:jc w:val="right"/>
              <w:spacing w:after="0"/>
              <w:rPr>
                <w:sz w:val="20"/>
                <w:szCs w:val="20"/>
                <w:color w:val="auto"/>
              </w:rPr>
            </w:pPr>
            <w:r>
              <w:rPr>
                <w:rFonts w:ascii="Arial" w:cs="Arial" w:eastAsia="Arial" w:hAnsi="Arial"/>
                <w:sz w:val="18"/>
                <w:szCs w:val="18"/>
                <w:color w:val="131E29"/>
              </w:rPr>
              <w:t>(290)</w:t>
            </w:r>
          </w:p>
        </w:tc>
      </w:tr>
      <w:tr>
        <w:trPr>
          <w:trHeight w:val="27"/>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99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Costs increases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(680)</w:t>
            </w:r>
          </w:p>
        </w:tc>
      </w:tr>
      <w:tr>
        <w:trPr>
          <w:trHeight w:val="237"/>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Menu price increases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280</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Lower promotional discounts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37"/>
        </w:trPr>
        <w:tc>
          <w:tcPr>
            <w:tcW w:w="9920" w:type="dxa"/>
            <w:vAlign w:val="bottom"/>
            <w:gridSpan w:val="2"/>
          </w:tcPr>
          <w:p>
            <w:pPr>
              <w:ind w:left="180"/>
              <w:spacing w:after="0"/>
              <w:rPr>
                <w:sz w:val="20"/>
                <w:szCs w:val="20"/>
                <w:color w:val="auto"/>
              </w:rPr>
            </w:pPr>
            <w:r>
              <w:rPr>
                <w:rFonts w:ascii="Arial" w:cs="Arial" w:eastAsia="Arial" w:hAnsi="Arial"/>
                <w:sz w:val="18"/>
                <w:szCs w:val="18"/>
                <w:color w:val="131E29"/>
              </w:rPr>
              <w:t>Pricing and discounts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270</w:t>
            </w:r>
          </w:p>
        </w:tc>
      </w:tr>
      <w:tr>
        <w:trPr>
          <w:trHeight w:val="27"/>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preventative maintenance programs and higher shop operating expenses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Other costs</w:t>
            </w:r>
          </w:p>
        </w:tc>
        <w:tc>
          <w:tcPr>
            <w:tcW w:w="1320" w:type="dxa"/>
            <w:vAlign w:val="bottom"/>
          </w:tcPr>
          <w:p>
            <w:pPr>
              <w:jc w:val="right"/>
              <w:spacing w:after="0"/>
              <w:rPr>
                <w:sz w:val="20"/>
                <w:szCs w:val="20"/>
                <w:color w:val="auto"/>
              </w:rPr>
            </w:pPr>
            <w:r>
              <w:rPr>
                <w:rFonts w:ascii="Arial" w:cs="Arial" w:eastAsia="Arial" w:hAnsi="Arial"/>
                <w:sz w:val="18"/>
                <w:szCs w:val="18"/>
                <w:color w:val="131E29"/>
              </w:rPr>
              <w:t>20</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pre-opening expenses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Higher new shop operating inefficiencies</w:t>
            </w:r>
          </w:p>
        </w:tc>
        <w:tc>
          <w:tcPr>
            <w:tcW w:w="1320" w:type="dxa"/>
            <w:vAlign w:val="bottom"/>
          </w:tcPr>
          <w:p>
            <w:pPr>
              <w:jc w:val="right"/>
              <w:spacing w:after="0"/>
              <w:rPr>
                <w:sz w:val="20"/>
                <w:szCs w:val="20"/>
                <w:color w:val="auto"/>
              </w:rPr>
            </w:pPr>
            <w:r>
              <w:rPr>
                <w:rFonts w:ascii="Arial" w:cs="Arial" w:eastAsia="Arial" w:hAnsi="Arial"/>
                <w:sz w:val="18"/>
                <w:szCs w:val="18"/>
                <w:color w:val="131E29"/>
              </w:rPr>
              <w:t>(120)</w:t>
            </w:r>
          </w:p>
        </w:tc>
      </w:tr>
      <w:tr>
        <w:trPr>
          <w:trHeight w:val="27"/>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99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New shop related items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(160)</w:t>
            </w:r>
          </w:p>
        </w:tc>
      </w:tr>
      <w:tr>
        <w:trPr>
          <w:trHeight w:val="236"/>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Leverage (deleverage)</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(180)</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(80)</w:t>
            </w:r>
          </w:p>
        </w:tc>
      </w:tr>
      <w:tr>
        <w:trPr>
          <w:trHeight w:val="237"/>
        </w:trPr>
        <w:tc>
          <w:tcPr>
            <w:tcW w:w="9820" w:type="dxa"/>
            <w:vAlign w:val="bottom"/>
            <w:tcBorders>
              <w:top w:val="single" w:sz="8" w:color="131E29"/>
            </w:tcBorders>
          </w:tcPr>
          <w:p>
            <w:pPr>
              <w:ind w:left="20"/>
              <w:spacing w:after="0"/>
              <w:rPr>
                <w:sz w:val="20"/>
                <w:szCs w:val="20"/>
                <w:color w:val="auto"/>
              </w:rPr>
            </w:pPr>
            <w:r>
              <w:rPr>
                <w:rFonts w:ascii="Arial" w:cs="Arial" w:eastAsia="Arial" w:hAnsi="Arial"/>
                <w:sz w:val="18"/>
                <w:szCs w:val="18"/>
                <w:b w:val="1"/>
                <w:bCs w:val="1"/>
                <w:color w:val="131E29"/>
              </w:rPr>
              <w:t>Total change in Company-operated shop gross profit</w:t>
            </w:r>
          </w:p>
        </w:tc>
        <w:tc>
          <w:tcPr>
            <w:tcW w:w="100" w:type="dxa"/>
            <w:vAlign w:val="bottom"/>
          </w:tcPr>
          <w:p>
            <w:pPr>
              <w:spacing w:after="0"/>
              <w:rPr>
                <w:sz w:val="20"/>
                <w:szCs w:val="20"/>
                <w:color w:val="auto"/>
              </w:rPr>
            </w:pPr>
          </w:p>
        </w:tc>
        <w:tc>
          <w:tcPr>
            <w:tcW w:w="1320" w:type="dxa"/>
            <w:vAlign w:val="bottom"/>
            <w:tcBorders>
              <w:top w:val="single" w:sz="8" w:color="131E29"/>
            </w:tcBorders>
          </w:tcPr>
          <w:p>
            <w:pPr>
              <w:jc w:val="right"/>
              <w:spacing w:after="0"/>
              <w:rPr>
                <w:sz w:val="20"/>
                <w:szCs w:val="20"/>
                <w:color w:val="auto"/>
              </w:rPr>
            </w:pPr>
            <w:r>
              <w:rPr>
                <w:rFonts w:ascii="Arial" w:cs="Arial" w:eastAsia="Arial" w:hAnsi="Arial"/>
                <w:sz w:val="18"/>
                <w:szCs w:val="18"/>
                <w:b w:val="1"/>
                <w:bCs w:val="1"/>
                <w:color w:val="131E29"/>
              </w:rPr>
              <w:t>(920)</w:t>
            </w:r>
          </w:p>
        </w:tc>
      </w:tr>
      <w:tr>
        <w:trPr>
          <w:trHeight w:val="27"/>
        </w:trPr>
        <w:tc>
          <w:tcPr>
            <w:tcW w:w="98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64"/>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180</w:t>
            </w:r>
          </w:p>
        </w:tc>
      </w:tr>
      <w:tr>
        <w:trPr>
          <w:trHeight w:val="236"/>
        </w:trPr>
        <w:tc>
          <w:tcPr>
            <w:tcW w:w="9820" w:type="dxa"/>
            <w:vAlign w:val="bottom"/>
            <w:tcBorders>
              <w:top w:val="single" w:sz="8" w:color="131E29"/>
            </w:tcBorders>
          </w:tcPr>
          <w:p>
            <w:pPr>
              <w:ind w:left="20"/>
              <w:spacing w:after="0"/>
              <w:rPr>
                <w:sz w:val="20"/>
                <w:szCs w:val="20"/>
                <w:color w:val="auto"/>
              </w:rPr>
            </w:pPr>
            <w:r>
              <w:rPr>
                <w:rFonts w:ascii="Arial" w:cs="Arial" w:eastAsia="Arial" w:hAnsi="Arial"/>
                <w:sz w:val="18"/>
                <w:szCs w:val="18"/>
                <w:b w:val="1"/>
                <w:bCs w:val="1"/>
                <w:color w:val="131E29"/>
              </w:rPr>
              <w:t>Total change in Company-operated shop contribution</w:t>
            </w:r>
          </w:p>
        </w:tc>
        <w:tc>
          <w:tcPr>
            <w:tcW w:w="100" w:type="dxa"/>
            <w:vAlign w:val="bottom"/>
          </w:tcPr>
          <w:p>
            <w:pPr>
              <w:spacing w:after="0"/>
              <w:rPr>
                <w:sz w:val="20"/>
                <w:szCs w:val="20"/>
                <w:color w:val="auto"/>
              </w:rPr>
            </w:pPr>
          </w:p>
        </w:tc>
        <w:tc>
          <w:tcPr>
            <w:tcW w:w="1320" w:type="dxa"/>
            <w:vAlign w:val="bottom"/>
            <w:tcBorders>
              <w:top w:val="single" w:sz="8" w:color="131E29"/>
            </w:tcBorders>
          </w:tcPr>
          <w:p>
            <w:pPr>
              <w:jc w:val="right"/>
              <w:spacing w:after="0"/>
              <w:rPr>
                <w:sz w:val="20"/>
                <w:szCs w:val="20"/>
                <w:color w:val="auto"/>
              </w:rPr>
            </w:pPr>
            <w:r>
              <w:rPr>
                <w:rFonts w:ascii="Arial" w:cs="Arial" w:eastAsia="Arial" w:hAnsi="Arial"/>
                <w:sz w:val="18"/>
                <w:szCs w:val="18"/>
                <w:b w:val="1"/>
                <w:bCs w:val="1"/>
                <w:color w:val="131E29"/>
              </w:rPr>
              <w:t>(740)</w:t>
            </w:r>
          </w:p>
        </w:tc>
      </w:tr>
      <w:tr>
        <w:trPr>
          <w:trHeight w:val="27"/>
        </w:trPr>
        <w:tc>
          <w:tcPr>
            <w:tcW w:w="9820" w:type="dxa"/>
            <w:vAlign w:val="bottom"/>
            <w:tcBorders>
              <w:bottom w:val="single" w:sz="8" w:color="131E29"/>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ind w:left="180" w:hanging="172"/>
        <w:spacing w:after="0" w:line="278" w:lineRule="auto"/>
        <w:tabs>
          <w:tab w:leader="none" w:pos="174" w:val="left"/>
        </w:tabs>
        <w:numPr>
          <w:ilvl w:val="0"/>
          <w:numId w:val="26"/>
        </w:numPr>
        <w:rPr>
          <w:rFonts w:ascii="Arial" w:cs="Arial" w:eastAsia="Arial" w:hAnsi="Arial"/>
          <w:sz w:val="9"/>
          <w:szCs w:val="9"/>
          <w:color w:val="131E29"/>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gross profit and contribution impacts for the year-over-year comparison, in basis points, were driven by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6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131E29"/>
              </w:rPr>
              <w:t>BPS</w:t>
            </w:r>
          </w:p>
        </w:tc>
      </w:tr>
      <w:tr>
        <w:trPr>
          <w:trHeight w:val="26"/>
        </w:trPr>
        <w:tc>
          <w:tcPr>
            <w:tcW w:w="95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43"/>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ingredient costs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Legislated minimum wage increases and higher minimum staffing standards</w:t>
            </w:r>
          </w:p>
        </w:tc>
        <w:tc>
          <w:tcPr>
            <w:tcW w:w="1600" w:type="dxa"/>
            <w:vAlign w:val="bottom"/>
          </w:tcPr>
          <w:p>
            <w:pPr>
              <w:jc w:val="right"/>
              <w:spacing w:after="0"/>
              <w:rPr>
                <w:sz w:val="20"/>
                <w:szCs w:val="20"/>
                <w:color w:val="auto"/>
              </w:rPr>
            </w:pPr>
            <w:r>
              <w:rPr>
                <w:rFonts w:ascii="Arial" w:cs="Arial" w:eastAsia="Arial" w:hAnsi="Arial"/>
                <w:sz w:val="18"/>
                <w:szCs w:val="18"/>
                <w:color w:val="131E29"/>
              </w:rPr>
              <w:t>(270)</w:t>
            </w:r>
          </w:p>
        </w:tc>
      </w:tr>
      <w:tr>
        <w:trPr>
          <w:trHeight w:val="27"/>
        </w:trPr>
        <w:tc>
          <w:tcPr>
            <w:tcW w:w="9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9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Costs increases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(700)</w:t>
            </w:r>
          </w:p>
        </w:tc>
      </w:tr>
      <w:tr>
        <w:trPr>
          <w:trHeight w:val="237"/>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Menu price increases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310</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Lower promotional discounts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37"/>
        </w:trPr>
        <w:tc>
          <w:tcPr>
            <w:tcW w:w="9640" w:type="dxa"/>
            <w:vAlign w:val="bottom"/>
            <w:gridSpan w:val="2"/>
          </w:tcPr>
          <w:p>
            <w:pPr>
              <w:ind w:left="180"/>
              <w:spacing w:after="0"/>
              <w:rPr>
                <w:sz w:val="20"/>
                <w:szCs w:val="20"/>
                <w:color w:val="auto"/>
              </w:rPr>
            </w:pPr>
            <w:r>
              <w:rPr>
                <w:rFonts w:ascii="Arial" w:cs="Arial" w:eastAsia="Arial" w:hAnsi="Arial"/>
                <w:sz w:val="18"/>
                <w:szCs w:val="18"/>
                <w:color w:val="131E29"/>
              </w:rPr>
              <w:t>Pricing and discounts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320</w:t>
            </w:r>
          </w:p>
        </w:tc>
      </w:tr>
      <w:tr>
        <w:trPr>
          <w:trHeight w:val="27"/>
        </w:trPr>
        <w:tc>
          <w:tcPr>
            <w:tcW w:w="9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preventative maintenance programs and higher shop operating expenses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Other costs</w:t>
            </w:r>
          </w:p>
        </w:tc>
        <w:tc>
          <w:tcPr>
            <w:tcW w:w="1600" w:type="dxa"/>
            <w:vAlign w:val="bottom"/>
          </w:tcPr>
          <w:p>
            <w:pPr>
              <w:jc w:val="right"/>
              <w:spacing w:after="0"/>
              <w:rPr>
                <w:sz w:val="20"/>
                <w:szCs w:val="20"/>
                <w:color w:val="auto"/>
              </w:rPr>
            </w:pPr>
            <w:r>
              <w:rPr>
                <w:rFonts w:ascii="Arial" w:cs="Arial" w:eastAsia="Arial" w:hAnsi="Arial"/>
                <w:sz w:val="18"/>
                <w:szCs w:val="18"/>
                <w:color w:val="131E29"/>
              </w:rPr>
              <w:t>(40)</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pre-opening expenses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Higher new shop operating inefficiencies</w:t>
            </w:r>
          </w:p>
        </w:tc>
        <w:tc>
          <w:tcPr>
            <w:tcW w:w="1600" w:type="dxa"/>
            <w:vAlign w:val="bottom"/>
          </w:tcPr>
          <w:p>
            <w:pPr>
              <w:jc w:val="right"/>
              <w:spacing w:after="0"/>
              <w:rPr>
                <w:sz w:val="20"/>
                <w:szCs w:val="20"/>
                <w:color w:val="auto"/>
              </w:rPr>
            </w:pPr>
            <w:r>
              <w:rPr>
                <w:rFonts w:ascii="Arial" w:cs="Arial" w:eastAsia="Arial" w:hAnsi="Arial"/>
                <w:sz w:val="18"/>
                <w:szCs w:val="18"/>
                <w:color w:val="131E29"/>
              </w:rPr>
              <w:t>(90)</w:t>
            </w:r>
          </w:p>
        </w:tc>
      </w:tr>
      <w:tr>
        <w:trPr>
          <w:trHeight w:val="27"/>
        </w:trPr>
        <w:tc>
          <w:tcPr>
            <w:tcW w:w="95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964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New shop related items</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(220)</w:t>
            </w:r>
          </w:p>
        </w:tc>
      </w:tr>
      <w:tr>
        <w:trPr>
          <w:trHeight w:val="237"/>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Lower COVID-19 leave expenses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50</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Leverage (deleverage)</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(100)</w:t>
            </w:r>
          </w:p>
        </w:tc>
      </w:tr>
      <w:tr>
        <w:trPr>
          <w:trHeight w:val="243"/>
        </w:trPr>
        <w:tc>
          <w:tcPr>
            <w:tcW w:w="9640" w:type="dxa"/>
            <w:vAlign w:val="bottom"/>
            <w:gridSpan w:val="2"/>
          </w:tcPr>
          <w:p>
            <w:pPr>
              <w:ind w:left="20"/>
              <w:spacing w:after="0"/>
              <w:rPr>
                <w:sz w:val="20"/>
                <w:szCs w:val="20"/>
                <w:color w:val="auto"/>
              </w:rPr>
            </w:pPr>
            <w:r>
              <w:rPr>
                <w:rFonts w:ascii="Arial" w:cs="Arial" w:eastAsia="Arial" w:hAnsi="Arial"/>
                <w:sz w:val="18"/>
                <w:szCs w:val="18"/>
                <w:color w:val="131E29"/>
              </w:rPr>
              <w:t>Other</w:t>
            </w:r>
          </w:p>
        </w:tc>
        <w:tc>
          <w:tcPr>
            <w:tcW w:w="1600" w:type="dxa"/>
            <w:vAlign w:val="bottom"/>
          </w:tcPr>
          <w:p>
            <w:pPr>
              <w:jc w:val="right"/>
              <w:spacing w:after="0"/>
              <w:rPr>
                <w:sz w:val="20"/>
                <w:szCs w:val="20"/>
                <w:color w:val="auto"/>
              </w:rPr>
            </w:pPr>
            <w:r>
              <w:rPr>
                <w:rFonts w:ascii="Arial" w:cs="Arial" w:eastAsia="Arial" w:hAnsi="Arial"/>
                <w:sz w:val="18"/>
                <w:szCs w:val="18"/>
                <w:color w:val="131E29"/>
              </w:rPr>
              <w:t>(130)</w:t>
            </w:r>
          </w:p>
        </w:tc>
      </w:tr>
      <w:tr>
        <w:trPr>
          <w:trHeight w:val="27"/>
        </w:trPr>
        <w:tc>
          <w:tcPr>
            <w:tcW w:w="95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64"/>
        </w:trPr>
        <w:tc>
          <w:tcPr>
            <w:tcW w:w="9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change in Company-operated shop gross profit</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(950)</w:t>
            </w:r>
          </w:p>
        </w:tc>
      </w:tr>
      <w:tr>
        <w:trPr>
          <w:trHeight w:val="237"/>
        </w:trPr>
        <w:tc>
          <w:tcPr>
            <w:tcW w:w="9540" w:type="dxa"/>
            <w:vAlign w:val="bottom"/>
            <w:tcBorders>
              <w:top w:val="single" w:sz="8" w:color="131E29"/>
            </w:tcBorders>
          </w:tcPr>
          <w:p>
            <w:pPr>
              <w:ind w:left="20"/>
              <w:spacing w:after="0"/>
              <w:rPr>
                <w:sz w:val="20"/>
                <w:szCs w:val="20"/>
                <w:color w:val="auto"/>
              </w:rPr>
            </w:pPr>
            <w:r>
              <w:rPr>
                <w:rFonts w:ascii="Arial" w:cs="Arial" w:eastAsia="Arial" w:hAnsi="Arial"/>
                <w:sz w:val="18"/>
                <w:szCs w:val="18"/>
                <w:color w:val="131E29"/>
              </w:rPr>
              <w:t>Depreciation and Amortization</w:t>
            </w:r>
          </w:p>
        </w:tc>
        <w:tc>
          <w:tcPr>
            <w:tcW w:w="100" w:type="dxa"/>
            <w:vAlign w:val="bottom"/>
          </w:tcPr>
          <w:p>
            <w:pPr>
              <w:spacing w:after="0"/>
              <w:rPr>
                <w:sz w:val="20"/>
                <w:szCs w:val="20"/>
                <w:color w:val="auto"/>
              </w:rPr>
            </w:pPr>
          </w:p>
        </w:tc>
        <w:tc>
          <w:tcPr>
            <w:tcW w:w="1600" w:type="dxa"/>
            <w:vAlign w:val="bottom"/>
            <w:tcBorders>
              <w:top w:val="single" w:sz="8" w:color="131E29"/>
            </w:tcBorders>
          </w:tcPr>
          <w:p>
            <w:pPr>
              <w:jc w:val="right"/>
              <w:spacing w:after="0"/>
              <w:rPr>
                <w:sz w:val="20"/>
                <w:szCs w:val="20"/>
                <w:color w:val="auto"/>
              </w:rPr>
            </w:pPr>
            <w:r>
              <w:rPr>
                <w:rFonts w:ascii="Arial" w:cs="Arial" w:eastAsia="Arial" w:hAnsi="Arial"/>
                <w:sz w:val="18"/>
                <w:szCs w:val="18"/>
                <w:b w:val="1"/>
                <w:bCs w:val="1"/>
                <w:color w:val="131E29"/>
              </w:rPr>
              <w:t>160</w:t>
            </w:r>
          </w:p>
        </w:tc>
      </w:tr>
      <w:tr>
        <w:trPr>
          <w:trHeight w:val="27"/>
        </w:trPr>
        <w:tc>
          <w:tcPr>
            <w:tcW w:w="95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43"/>
        </w:trPr>
        <w:tc>
          <w:tcPr>
            <w:tcW w:w="9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change in Company-operated shop contribution</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(790)</w:t>
            </w:r>
          </w:p>
        </w:tc>
      </w:tr>
      <w:tr>
        <w:trPr>
          <w:trHeight w:val="20"/>
        </w:trPr>
        <w:tc>
          <w:tcPr>
            <w:tcW w:w="954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131E29"/>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Franchising and Other Segment Performance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60" w:type="dxa"/>
            <w:vAlign w:val="bottom"/>
            <w:gridSpan w:val="8"/>
          </w:tcPr>
          <w:p>
            <w:pPr>
              <w:ind w:left="20"/>
              <w:spacing w:after="0"/>
              <w:rPr>
                <w:sz w:val="20"/>
                <w:szCs w:val="20"/>
                <w:color w:val="auto"/>
              </w:rPr>
            </w:pPr>
            <w:r>
              <w:rPr>
                <w:rFonts w:ascii="Arial" w:cs="Arial" w:eastAsia="Arial" w:hAnsi="Arial"/>
                <w:sz w:val="18"/>
                <w:szCs w:val="18"/>
                <w:b w:val="1"/>
                <w:bCs w:val="1"/>
                <w:color w:val="131E29"/>
              </w:rPr>
              <w:t>Three Months Ended June 30,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b w:val="1"/>
                <w:bCs w:val="1"/>
                <w:color w:val="131E29"/>
              </w:rPr>
              <w:t>Six Months Ended June 30,</w:t>
            </w:r>
          </w:p>
        </w:tc>
        <w:tc>
          <w:tcPr>
            <w:tcW w:w="1060" w:type="dxa"/>
            <w:vAlign w:val="bottom"/>
          </w:tcPr>
          <w:p>
            <w:pPr>
              <w:spacing w:after="0"/>
              <w:rPr>
                <w:sz w:val="20"/>
                <w:szCs w:val="20"/>
                <w:color w:val="auto"/>
              </w:rPr>
            </w:pPr>
          </w:p>
        </w:tc>
      </w:tr>
      <w:tr>
        <w:trPr>
          <w:trHeight w:val="27"/>
        </w:trPr>
        <w:tc>
          <w:tcPr>
            <w:tcW w:w="21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r>
      <w:tr>
        <w:trPr>
          <w:trHeight w:val="238"/>
        </w:trPr>
        <w:tc>
          <w:tcPr>
            <w:tcW w:w="212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6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3"/>
          </w:tcPr>
          <w:p>
            <w:pPr>
              <w:ind w:left="460"/>
              <w:spacing w:after="0"/>
              <w:rPr>
                <w:sz w:val="20"/>
                <w:szCs w:val="20"/>
                <w:color w:val="auto"/>
              </w:rPr>
            </w:pPr>
            <w:r>
              <w:rPr>
                <w:rFonts w:ascii="Arial" w:cs="Arial" w:eastAsia="Arial" w:hAnsi="Arial"/>
                <w:sz w:val="18"/>
                <w:szCs w:val="18"/>
                <w:b w:val="1"/>
                <w:bCs w:val="1"/>
                <w:color w:val="131E29"/>
              </w:rPr>
              <w:t>2022 v. 2021</w:t>
            </w:r>
          </w:p>
        </w:tc>
        <w:tc>
          <w:tcPr>
            <w:tcW w:w="16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2"/>
          </w:tcPr>
          <w:p>
            <w:pPr>
              <w:ind w:left="480"/>
              <w:spacing w:after="0"/>
              <w:rPr>
                <w:sz w:val="20"/>
                <w:szCs w:val="20"/>
                <w:color w:val="auto"/>
              </w:rPr>
            </w:pPr>
            <w:r>
              <w:rPr>
                <w:rFonts w:ascii="Arial" w:cs="Arial" w:eastAsia="Arial" w:hAnsi="Arial"/>
                <w:sz w:val="18"/>
                <w:szCs w:val="18"/>
                <w:b w:val="1"/>
                <w:bCs w:val="1"/>
                <w:color w:val="131E29"/>
              </w:rPr>
              <w:t>2022 v. 2021</w:t>
            </w:r>
          </w:p>
        </w:tc>
      </w:tr>
      <w:tr>
        <w:trPr>
          <w:trHeight w:val="25"/>
        </w:trPr>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920" w:type="dxa"/>
            <w:vAlign w:val="bottom"/>
            <w:tcBorders>
              <w:bottom w:val="single" w:sz="8" w:color="131E29"/>
            </w:tcBorders>
          </w:tcPr>
          <w:p>
            <w:pPr>
              <w:spacing w:after="0"/>
              <w:rPr>
                <w:sz w:val="2"/>
                <w:szCs w:val="2"/>
                <w:color w:val="auto"/>
              </w:rPr>
            </w:pPr>
          </w:p>
        </w:tc>
        <w:tc>
          <w:tcPr>
            <w:tcW w:w="12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1160" w:type="dxa"/>
            <w:vAlign w:val="bottom"/>
            <w:tcBorders>
              <w:bottom w:val="single" w:sz="8" w:color="131E29"/>
            </w:tcBorders>
          </w:tcPr>
          <w:p>
            <w:pPr>
              <w:spacing w:after="0"/>
              <w:rPr>
                <w:sz w:val="2"/>
                <w:szCs w:val="2"/>
                <w:color w:val="auto"/>
              </w:rPr>
            </w:pPr>
          </w:p>
        </w:tc>
        <w:tc>
          <w:tcPr>
            <w:tcW w:w="1060" w:type="dxa"/>
            <w:vAlign w:val="bottom"/>
            <w:tcBorders>
              <w:bottom w:val="single" w:sz="8" w:color="131E29"/>
            </w:tcBorders>
          </w:tcPr>
          <w:p>
            <w:pPr>
              <w:spacing w:after="0"/>
              <w:rPr>
                <w:sz w:val="2"/>
                <w:szCs w:val="2"/>
                <w:color w:val="auto"/>
              </w:rPr>
            </w:pPr>
          </w:p>
        </w:tc>
      </w:tr>
      <w:tr>
        <w:trPr>
          <w:trHeight w:val="236"/>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Franchising and other</w:t>
            </w:r>
          </w:p>
        </w:tc>
        <w:tc>
          <w:tcPr>
            <w:tcW w:w="16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80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920" w:type="dxa"/>
            <w:vAlign w:val="bottom"/>
            <w:shd w:val="clear" w:color="auto" w:fill="D2DCE5"/>
          </w:tcPr>
          <w:p>
            <w:pPr>
              <w:spacing w:after="0"/>
              <w:rPr>
                <w:sz w:val="20"/>
                <w:szCs w:val="20"/>
                <w:color w:val="auto"/>
              </w:rPr>
            </w:pPr>
          </w:p>
        </w:tc>
        <w:tc>
          <w:tcPr>
            <w:tcW w:w="12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c>
          <w:tcPr>
            <w:tcW w:w="1060" w:type="dxa"/>
            <w:vAlign w:val="bottom"/>
            <w:shd w:val="clear" w:color="auto" w:fill="D2DCE5"/>
          </w:tcPr>
          <w:p>
            <w:pPr>
              <w:spacing w:after="0"/>
              <w:rPr>
                <w:sz w:val="20"/>
                <w:szCs w:val="20"/>
                <w:color w:val="auto"/>
              </w:rPr>
            </w:pPr>
          </w:p>
        </w:tc>
      </w:tr>
      <w:tr>
        <w:trPr>
          <w:trHeight w:val="224"/>
        </w:trPr>
        <w:tc>
          <w:tcPr>
            <w:tcW w:w="21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25,869</w:t>
            </w:r>
          </w:p>
        </w:tc>
        <w:tc>
          <w:tcPr>
            <w:tcW w:w="280" w:type="dxa"/>
            <w:vAlign w:val="bottom"/>
            <w:tcBorders>
              <w:bottom w:val="single" w:sz="8" w:color="D2DCE5"/>
            </w:tcBorders>
            <w:gridSpan w:val="2"/>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8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26,238</w:t>
            </w:r>
          </w:p>
        </w:tc>
        <w:tc>
          <w:tcPr>
            <w:tcW w:w="8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92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(369)</w:t>
            </w:r>
          </w:p>
        </w:tc>
        <w:tc>
          <w:tcPr>
            <w:tcW w:w="126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131E29"/>
              </w:rPr>
              <w:t>(1.4)%</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47,838</w:t>
            </w:r>
          </w:p>
        </w:tc>
        <w:tc>
          <w:tcPr>
            <w:tcW w:w="10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47,106</w:t>
            </w:r>
          </w:p>
        </w:tc>
        <w:tc>
          <w:tcPr>
            <w:tcW w:w="8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D2DCE5"/>
            </w:tcBorders>
            <w:shd w:val="clear" w:color="auto" w:fill="D2DCE5"/>
          </w:tcPr>
          <w:p>
            <w:pPr>
              <w:jc w:val="right"/>
              <w:ind w:right="430"/>
              <w:spacing w:after="0"/>
              <w:rPr>
                <w:sz w:val="20"/>
                <w:szCs w:val="20"/>
                <w:color w:val="auto"/>
              </w:rPr>
            </w:pPr>
            <w:r>
              <w:rPr>
                <w:rFonts w:ascii="Arial" w:cs="Arial" w:eastAsia="Arial" w:hAnsi="Arial"/>
                <w:sz w:val="18"/>
                <w:szCs w:val="18"/>
                <w:color w:val="131E29"/>
              </w:rPr>
              <w:t>732</w:t>
            </w:r>
          </w:p>
        </w:tc>
        <w:tc>
          <w:tcPr>
            <w:tcW w:w="1060" w:type="dxa"/>
            <w:vAlign w:val="bottom"/>
            <w:tcBorders>
              <w:bottom w:val="single" w:sz="8" w:color="D2DCE5"/>
            </w:tcBorders>
            <w:shd w:val="clear" w:color="auto" w:fill="D2DCE5"/>
          </w:tcPr>
          <w:p>
            <w:pPr>
              <w:jc w:val="right"/>
              <w:ind w:right="410"/>
              <w:spacing w:after="0"/>
              <w:rPr>
                <w:sz w:val="20"/>
                <w:szCs w:val="20"/>
                <w:color w:val="auto"/>
              </w:rPr>
            </w:pPr>
            <w:r>
              <w:rPr>
                <w:rFonts w:ascii="Arial" w:cs="Arial" w:eastAsia="Arial" w:hAnsi="Arial"/>
                <w:sz w:val="18"/>
                <w:szCs w:val="18"/>
                <w:color w:val="131E29"/>
              </w:rPr>
              <w:t>1.6%</w:t>
            </w:r>
          </w:p>
        </w:tc>
      </w:tr>
      <w:tr>
        <w:trPr>
          <w:trHeight w:val="242"/>
        </w:trPr>
        <w:tc>
          <w:tcPr>
            <w:tcW w:w="2120" w:type="dxa"/>
            <w:vAlign w:val="bottom"/>
            <w:gridSpan w:val="2"/>
          </w:tcPr>
          <w:p>
            <w:pPr>
              <w:ind w:left="20"/>
              <w:spacing w:after="0"/>
              <w:rPr>
                <w:sz w:val="20"/>
                <w:szCs w:val="20"/>
                <w:color w:val="auto"/>
              </w:rPr>
            </w:pPr>
            <w:r>
              <w:rPr>
                <w:rFonts w:ascii="Arial" w:cs="Arial" w:eastAsia="Arial" w:hAnsi="Arial"/>
                <w:sz w:val="18"/>
                <w:szCs w:val="18"/>
                <w:color w:val="131E29"/>
              </w:rPr>
              <w:t>Franchising and other</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2120" w:type="dxa"/>
            <w:vAlign w:val="bottom"/>
            <w:gridSpan w:val="2"/>
          </w:tcPr>
          <w:p>
            <w:pPr>
              <w:ind w:left="20"/>
              <w:spacing w:after="0"/>
              <w:rPr>
                <w:sz w:val="20"/>
                <w:szCs w:val="20"/>
                <w:color w:val="auto"/>
              </w:rPr>
            </w:pPr>
            <w:r>
              <w:rPr>
                <w:rFonts w:ascii="Arial" w:cs="Arial" w:eastAsia="Arial" w:hAnsi="Arial"/>
                <w:sz w:val="18"/>
                <w:szCs w:val="18"/>
                <w:color w:val="131E29"/>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800" w:type="dxa"/>
            <w:vAlign w:val="bottom"/>
          </w:tcPr>
          <w:p>
            <w:pPr>
              <w:jc w:val="right"/>
              <w:spacing w:after="0"/>
              <w:rPr>
                <w:sz w:val="20"/>
                <w:szCs w:val="20"/>
                <w:color w:val="auto"/>
              </w:rPr>
            </w:pPr>
            <w:r>
              <w:rPr>
                <w:rFonts w:ascii="Arial" w:cs="Arial" w:eastAsia="Arial" w:hAnsi="Arial"/>
                <w:sz w:val="18"/>
                <w:szCs w:val="18"/>
                <w:color w:val="131E29"/>
              </w:rPr>
              <w:t>13,793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131E29"/>
              </w:rPr>
              <w:t>$</w:t>
            </w:r>
          </w:p>
        </w:tc>
        <w:tc>
          <w:tcPr>
            <w:tcW w:w="800" w:type="dxa"/>
            <w:vAlign w:val="bottom"/>
          </w:tcPr>
          <w:p>
            <w:pPr>
              <w:jc w:val="right"/>
              <w:spacing w:after="0"/>
              <w:rPr>
                <w:sz w:val="20"/>
                <w:szCs w:val="20"/>
                <w:color w:val="auto"/>
              </w:rPr>
            </w:pPr>
            <w:r>
              <w:rPr>
                <w:rFonts w:ascii="Arial" w:cs="Arial" w:eastAsia="Arial" w:hAnsi="Arial"/>
                <w:sz w:val="18"/>
                <w:szCs w:val="18"/>
                <w:color w:val="131E29"/>
              </w:rPr>
              <w:t>18,289</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131E29"/>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131E29"/>
              </w:rPr>
              <w:t>(4,496)</w:t>
            </w:r>
          </w:p>
        </w:tc>
        <w:tc>
          <w:tcPr>
            <w:tcW w:w="1260" w:type="dxa"/>
            <w:vAlign w:val="bottom"/>
          </w:tcPr>
          <w:p>
            <w:pPr>
              <w:jc w:val="right"/>
              <w:ind w:right="290"/>
              <w:spacing w:after="0"/>
              <w:rPr>
                <w:sz w:val="20"/>
                <w:szCs w:val="20"/>
                <w:color w:val="auto"/>
              </w:rPr>
            </w:pPr>
            <w:r>
              <w:rPr>
                <w:rFonts w:ascii="Arial" w:cs="Arial" w:eastAsia="Arial" w:hAnsi="Arial"/>
                <w:sz w:val="18"/>
                <w:szCs w:val="18"/>
                <w:color w:val="131E29"/>
              </w:rPr>
              <w:t>(24.6)%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131E29"/>
                <w:w w:val="79"/>
              </w:rPr>
              <w:t>$</w:t>
            </w:r>
          </w:p>
        </w:tc>
        <w:tc>
          <w:tcPr>
            <w:tcW w:w="780" w:type="dxa"/>
            <w:vAlign w:val="bottom"/>
          </w:tcPr>
          <w:p>
            <w:pPr>
              <w:jc w:val="right"/>
              <w:spacing w:after="0"/>
              <w:rPr>
                <w:sz w:val="20"/>
                <w:szCs w:val="20"/>
                <w:color w:val="auto"/>
              </w:rPr>
            </w:pPr>
            <w:r>
              <w:rPr>
                <w:rFonts w:ascii="Arial" w:cs="Arial" w:eastAsia="Arial" w:hAnsi="Arial"/>
                <w:sz w:val="18"/>
                <w:szCs w:val="18"/>
                <w:color w:val="131E29"/>
              </w:rPr>
              <w:t>28,143</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131E29"/>
              </w:rPr>
              <w:t>$</w:t>
            </w:r>
          </w:p>
        </w:tc>
        <w:tc>
          <w:tcPr>
            <w:tcW w:w="780" w:type="dxa"/>
            <w:vAlign w:val="bottom"/>
          </w:tcPr>
          <w:p>
            <w:pPr>
              <w:jc w:val="right"/>
              <w:spacing w:after="0"/>
              <w:rPr>
                <w:sz w:val="20"/>
                <w:szCs w:val="20"/>
                <w:color w:val="auto"/>
              </w:rPr>
            </w:pPr>
            <w:r>
              <w:rPr>
                <w:rFonts w:ascii="Arial" w:cs="Arial" w:eastAsia="Arial" w:hAnsi="Arial"/>
                <w:sz w:val="18"/>
                <w:szCs w:val="18"/>
                <w:color w:val="131E29"/>
              </w:rPr>
              <w:t>32,988</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131E29"/>
                <w:w w:val="99"/>
              </w:rPr>
              <w:t>$</w:t>
            </w:r>
          </w:p>
        </w:tc>
        <w:tc>
          <w:tcPr>
            <w:tcW w:w="1160" w:type="dxa"/>
            <w:vAlign w:val="bottom"/>
          </w:tcPr>
          <w:p>
            <w:pPr>
              <w:ind w:left="120"/>
              <w:spacing w:after="0"/>
              <w:rPr>
                <w:sz w:val="20"/>
                <w:szCs w:val="20"/>
                <w:color w:val="auto"/>
              </w:rPr>
            </w:pPr>
            <w:r>
              <w:rPr>
                <w:rFonts w:ascii="Arial" w:cs="Arial" w:eastAsia="Arial" w:hAnsi="Arial"/>
                <w:sz w:val="18"/>
                <w:szCs w:val="18"/>
                <w:color w:val="131E29"/>
              </w:rPr>
              <w:t>(4,845)</w:t>
            </w:r>
          </w:p>
        </w:tc>
        <w:tc>
          <w:tcPr>
            <w:tcW w:w="1060" w:type="dxa"/>
            <w:vAlign w:val="bottom"/>
          </w:tcPr>
          <w:p>
            <w:pPr>
              <w:jc w:val="right"/>
              <w:ind w:right="290"/>
              <w:spacing w:after="0"/>
              <w:rPr>
                <w:sz w:val="20"/>
                <w:szCs w:val="20"/>
                <w:color w:val="auto"/>
              </w:rPr>
            </w:pPr>
            <w:r>
              <w:rPr>
                <w:rFonts w:ascii="Arial" w:cs="Arial" w:eastAsia="Arial" w:hAnsi="Arial"/>
                <w:sz w:val="18"/>
                <w:szCs w:val="18"/>
                <w:color w:val="131E29"/>
              </w:rPr>
              <w:t>(14.7)%</w:t>
            </w: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4"/>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8"/>
                <w:szCs w:val="18"/>
                <w:i w:val="1"/>
                <w:iCs w:val="1"/>
                <w:color w:val="131E29"/>
              </w:rPr>
              <w:t>As a percentage of</w:t>
            </w:r>
          </w:p>
        </w:tc>
        <w:tc>
          <w:tcPr>
            <w:tcW w:w="160" w:type="dxa"/>
            <w:vAlign w:val="bottom"/>
            <w:shd w:val="clear" w:color="auto" w:fill="D2DCE5"/>
          </w:tcPr>
          <w:p>
            <w:pPr>
              <w:spacing w:after="0"/>
              <w:rPr>
                <w:sz w:val="19"/>
                <w:szCs w:val="19"/>
                <w:color w:val="auto"/>
              </w:rPr>
            </w:pPr>
          </w:p>
        </w:tc>
        <w:tc>
          <w:tcPr>
            <w:tcW w:w="8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920" w:type="dxa"/>
            <w:vAlign w:val="bottom"/>
            <w:shd w:val="clear" w:color="auto" w:fill="D2DCE5"/>
          </w:tcPr>
          <w:p>
            <w:pPr>
              <w:spacing w:after="0"/>
              <w:rPr>
                <w:sz w:val="19"/>
                <w:szCs w:val="19"/>
                <w:color w:val="auto"/>
              </w:rPr>
            </w:pPr>
          </w:p>
        </w:tc>
        <w:tc>
          <w:tcPr>
            <w:tcW w:w="12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1060" w:type="dxa"/>
            <w:vAlign w:val="bottom"/>
            <w:shd w:val="clear" w:color="auto" w:fill="D2DCE5"/>
          </w:tcPr>
          <w:p>
            <w:pPr>
              <w:spacing w:after="0"/>
              <w:rPr>
                <w:sz w:val="19"/>
                <w:szCs w:val="19"/>
                <w:color w:val="auto"/>
              </w:rPr>
            </w:pPr>
          </w:p>
        </w:tc>
      </w:tr>
      <w:tr>
        <w:trPr>
          <w:trHeight w:val="235"/>
        </w:trPr>
        <w:tc>
          <w:tcPr>
            <w:tcW w:w="2120" w:type="dxa"/>
            <w:vAlign w:val="bottom"/>
            <w:gridSpan w:val="2"/>
            <w:shd w:val="clear" w:color="auto" w:fill="D2DCE5"/>
          </w:tcPr>
          <w:p>
            <w:pPr>
              <w:ind w:left="20"/>
              <w:spacing w:after="0"/>
              <w:rPr>
                <w:sz w:val="20"/>
                <w:szCs w:val="20"/>
                <w:color w:val="auto"/>
              </w:rPr>
            </w:pPr>
            <w:r>
              <w:rPr>
                <w:rFonts w:ascii="Arial" w:cs="Arial" w:eastAsia="Arial" w:hAnsi="Arial"/>
                <w:sz w:val="18"/>
                <w:szCs w:val="18"/>
                <w:i w:val="1"/>
                <w:iCs w:val="1"/>
                <w:color w:val="131E29"/>
              </w:rPr>
              <w:t>revenue</w:t>
            </w:r>
          </w:p>
        </w:tc>
        <w:tc>
          <w:tcPr>
            <w:tcW w:w="160" w:type="dxa"/>
            <w:vAlign w:val="bottom"/>
            <w:shd w:val="clear" w:color="auto" w:fill="D2DCE5"/>
          </w:tcPr>
          <w:p>
            <w:pPr>
              <w:spacing w:after="0"/>
              <w:rPr>
                <w:sz w:val="20"/>
                <w:szCs w:val="20"/>
                <w:color w:val="auto"/>
              </w:rPr>
            </w:pPr>
          </w:p>
        </w:tc>
        <w:tc>
          <w:tcPr>
            <w:tcW w:w="80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rPr>
              <w:t>53.3%</w:t>
            </w:r>
          </w:p>
        </w:tc>
        <w:tc>
          <w:tcPr>
            <w:tcW w:w="10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8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69.7%</w:t>
            </w:r>
          </w:p>
        </w:tc>
        <w:tc>
          <w:tcPr>
            <w:tcW w:w="8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920" w:type="dxa"/>
            <w:vAlign w:val="bottom"/>
            <w:shd w:val="clear" w:color="auto" w:fill="D2DCE5"/>
          </w:tcPr>
          <w:p>
            <w:pPr>
              <w:jc w:val="right"/>
              <w:ind w:right="430"/>
              <w:spacing w:after="0"/>
              <w:rPr>
                <w:sz w:val="20"/>
                <w:szCs w:val="20"/>
                <w:color w:val="auto"/>
              </w:rPr>
            </w:pPr>
            <w:r>
              <w:rPr>
                <w:rFonts w:ascii="Arial" w:cs="Arial" w:eastAsia="Arial" w:hAnsi="Arial"/>
                <w:sz w:val="18"/>
                <w:szCs w:val="18"/>
                <w:color w:val="131E29"/>
              </w:rPr>
              <w:t>N/A</w:t>
            </w:r>
          </w:p>
        </w:tc>
        <w:tc>
          <w:tcPr>
            <w:tcW w:w="1360" w:type="dxa"/>
            <w:vAlign w:val="bottom"/>
            <w:gridSpan w:val="2"/>
            <w:shd w:val="clear" w:color="auto" w:fill="D2DCE5"/>
          </w:tcPr>
          <w:p>
            <w:pPr>
              <w:ind w:left="380"/>
              <w:spacing w:after="0"/>
              <w:rPr>
                <w:sz w:val="20"/>
                <w:szCs w:val="20"/>
                <w:color w:val="auto"/>
              </w:rPr>
            </w:pPr>
            <w:r>
              <w:rPr>
                <w:rFonts w:ascii="Arial" w:cs="Arial" w:eastAsia="Arial" w:hAnsi="Arial"/>
                <w:sz w:val="18"/>
                <w:szCs w:val="18"/>
                <w:color w:val="131E29"/>
              </w:rPr>
              <w:t>(1,640)bps</w:t>
            </w: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rPr>
              <w:t>58.8%</w:t>
            </w:r>
          </w:p>
        </w:tc>
        <w:tc>
          <w:tcPr>
            <w:tcW w:w="100" w:type="dxa"/>
            <w:vAlign w:val="bottom"/>
            <w:shd w:val="clear" w:color="auto" w:fill="D2DCE5"/>
          </w:tcPr>
          <w:p>
            <w:pPr>
              <w:spacing w:after="0"/>
              <w:rPr>
                <w:sz w:val="20"/>
                <w:szCs w:val="20"/>
                <w:color w:val="auto"/>
              </w:rPr>
            </w:pPr>
          </w:p>
        </w:tc>
        <w:tc>
          <w:tcPr>
            <w:tcW w:w="160" w:type="dxa"/>
            <w:vAlign w:val="bottom"/>
            <w:shd w:val="clear" w:color="auto" w:fill="D2DCE5"/>
          </w:tcPr>
          <w:p>
            <w:pPr>
              <w:spacing w:after="0"/>
              <w:rPr>
                <w:sz w:val="20"/>
                <w:szCs w:val="20"/>
                <w:color w:val="auto"/>
              </w:rPr>
            </w:pPr>
          </w:p>
        </w:tc>
        <w:tc>
          <w:tcPr>
            <w:tcW w:w="78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rPr>
              <w:t>70.0%</w:t>
            </w:r>
          </w:p>
        </w:tc>
        <w:tc>
          <w:tcPr>
            <w:tcW w:w="8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1160" w:type="dxa"/>
            <w:vAlign w:val="bottom"/>
            <w:shd w:val="clear" w:color="auto" w:fill="D2DCE5"/>
          </w:tcPr>
          <w:p>
            <w:pPr>
              <w:ind w:left="100"/>
              <w:spacing w:after="0"/>
              <w:rPr>
                <w:sz w:val="20"/>
                <w:szCs w:val="20"/>
                <w:color w:val="auto"/>
              </w:rPr>
            </w:pPr>
            <w:r>
              <w:rPr>
                <w:rFonts w:ascii="Arial" w:cs="Arial" w:eastAsia="Arial" w:hAnsi="Arial"/>
                <w:sz w:val="18"/>
                <w:szCs w:val="18"/>
                <w:color w:val="131E29"/>
              </w:rPr>
              <w:t>N/A</w:t>
            </w:r>
          </w:p>
        </w:tc>
        <w:tc>
          <w:tcPr>
            <w:tcW w:w="1060" w:type="dxa"/>
            <w:vAlign w:val="bottom"/>
            <w:shd w:val="clear" w:color="auto" w:fill="D2DCE5"/>
          </w:tcPr>
          <w:p>
            <w:pPr>
              <w:ind w:left="180"/>
              <w:spacing w:after="0"/>
              <w:rPr>
                <w:sz w:val="20"/>
                <w:szCs w:val="20"/>
                <w:color w:val="auto"/>
              </w:rPr>
            </w:pPr>
            <w:r>
              <w:rPr>
                <w:rFonts w:ascii="Arial" w:cs="Arial" w:eastAsia="Arial" w:hAnsi="Arial"/>
                <w:sz w:val="18"/>
                <w:szCs w:val="18"/>
                <w:color w:val="131E29"/>
                <w:w w:val="99"/>
              </w:rPr>
              <w:t>(1,120)bps</w:t>
            </w:r>
          </w:p>
        </w:tc>
      </w:tr>
      <w:tr>
        <w:trPr>
          <w:trHeight w:val="27"/>
        </w:trPr>
        <w:tc>
          <w:tcPr>
            <w:tcW w:w="20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8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80" w:type="dxa"/>
            <w:vAlign w:val="bottom"/>
            <w:shd w:val="clear" w:color="auto" w:fill="D2DCE5"/>
          </w:tcPr>
          <w:p>
            <w:pPr>
              <w:spacing w:after="0"/>
              <w:rPr>
                <w:sz w:val="2"/>
                <w:szCs w:val="2"/>
                <w:color w:val="auto"/>
              </w:rPr>
            </w:pPr>
          </w:p>
        </w:tc>
        <w:tc>
          <w:tcPr>
            <w:tcW w:w="80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920" w:type="dxa"/>
            <w:vAlign w:val="bottom"/>
            <w:shd w:val="clear" w:color="auto" w:fill="D2DCE5"/>
          </w:tcPr>
          <w:p>
            <w:pPr>
              <w:spacing w:after="0"/>
              <w:rPr>
                <w:sz w:val="2"/>
                <w:szCs w:val="2"/>
                <w:color w:val="auto"/>
              </w:rPr>
            </w:pPr>
          </w:p>
        </w:tc>
        <w:tc>
          <w:tcPr>
            <w:tcW w:w="12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7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60" w:type="dxa"/>
            <w:vAlign w:val="bottom"/>
            <w:shd w:val="clear" w:color="auto" w:fill="D2DCE5"/>
          </w:tcPr>
          <w:p>
            <w:pPr>
              <w:spacing w:after="0"/>
              <w:rPr>
                <w:sz w:val="2"/>
                <w:szCs w:val="2"/>
                <w:color w:val="auto"/>
              </w:rPr>
            </w:pPr>
          </w:p>
        </w:tc>
        <w:tc>
          <w:tcPr>
            <w:tcW w:w="78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220" w:type="dxa"/>
            <w:vAlign w:val="bottom"/>
            <w:shd w:val="clear" w:color="auto" w:fill="D2DCE5"/>
          </w:tcPr>
          <w:p>
            <w:pPr>
              <w:spacing w:after="0"/>
              <w:rPr>
                <w:sz w:val="2"/>
                <w:szCs w:val="2"/>
                <w:color w:val="auto"/>
              </w:rPr>
            </w:pPr>
          </w:p>
        </w:tc>
        <w:tc>
          <w:tcPr>
            <w:tcW w:w="1160" w:type="dxa"/>
            <w:vAlign w:val="bottom"/>
            <w:shd w:val="clear" w:color="auto" w:fill="D2DCE5"/>
          </w:tcPr>
          <w:p>
            <w:pPr>
              <w:spacing w:after="0"/>
              <w:rPr>
                <w:sz w:val="2"/>
                <w:szCs w:val="2"/>
                <w:color w:val="auto"/>
              </w:rPr>
            </w:pPr>
          </w:p>
        </w:tc>
        <w:tc>
          <w:tcPr>
            <w:tcW w:w="1060" w:type="dxa"/>
            <w:vAlign w:val="bottom"/>
            <w:shd w:val="clear" w:color="auto" w:fill="D2DCE5"/>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Franchising and other gross profit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48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38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131E29"/>
              </w:rPr>
              <w:t>BPS</w:t>
            </w:r>
          </w:p>
        </w:tc>
      </w:tr>
      <w:tr>
        <w:trPr>
          <w:trHeight w:val="25"/>
        </w:trPr>
        <w:tc>
          <w:tcPr>
            <w:tcW w:w="84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8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43"/>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Higher costs of products sold to franchisees</w:t>
            </w: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(4,225)</w:t>
            </w:r>
          </w:p>
        </w:tc>
        <w:tc>
          <w:tcPr>
            <w:tcW w:w="1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(1,640)</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Same shop sales</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(457)</w:t>
            </w:r>
          </w:p>
        </w:tc>
        <w:tc>
          <w:tcPr>
            <w:tcW w:w="100" w:type="dxa"/>
            <w:vAlign w:val="bottom"/>
          </w:tcPr>
          <w:p>
            <w:pPr>
              <w:spacing w:after="0"/>
              <w:rPr>
                <w:sz w:val="21"/>
                <w:szCs w:val="21"/>
                <w:color w:val="auto"/>
              </w:rPr>
            </w:pPr>
          </w:p>
        </w:tc>
        <w:tc>
          <w:tcPr>
            <w:tcW w:w="1320" w:type="dxa"/>
            <w:vAlign w:val="bottom"/>
          </w:tcPr>
          <w:p>
            <w:pPr>
              <w:jc w:val="center"/>
              <w:ind w:left="890"/>
              <w:spacing w:after="0"/>
              <w:rPr>
                <w:sz w:val="20"/>
                <w:szCs w:val="20"/>
                <w:color w:val="auto"/>
              </w:rPr>
            </w:pPr>
            <w:r>
              <w:rPr>
                <w:rFonts w:ascii="Arial" w:cs="Arial" w:eastAsia="Arial" w:hAnsi="Arial"/>
                <w:sz w:val="18"/>
                <w:szCs w:val="18"/>
                <w:color w:val="131E29"/>
                <w:w w:val="99"/>
              </w:rPr>
              <w:t>N/A</w:t>
            </w:r>
          </w:p>
        </w:tc>
      </w:tr>
      <w:tr>
        <w:trPr>
          <w:trHeight w:val="27"/>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Shop weeks</w:t>
            </w:r>
          </w:p>
        </w:tc>
        <w:tc>
          <w:tcPr>
            <w:tcW w:w="3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98</w:t>
            </w:r>
          </w:p>
        </w:tc>
        <w:tc>
          <w:tcPr>
            <w:tcW w:w="1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center"/>
              <w:ind w:left="890"/>
              <w:spacing w:after="0"/>
              <w:rPr>
                <w:sz w:val="20"/>
                <w:szCs w:val="20"/>
                <w:color w:val="auto"/>
              </w:rPr>
            </w:pPr>
            <w:r>
              <w:rPr>
                <w:rFonts w:ascii="Arial" w:cs="Arial" w:eastAsia="Arial" w:hAnsi="Arial"/>
                <w:sz w:val="18"/>
                <w:szCs w:val="18"/>
                <w:color w:val="131E29"/>
                <w:w w:val="99"/>
              </w:rPr>
              <w:t>N/A</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Other</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88</w:t>
            </w:r>
          </w:p>
        </w:tc>
        <w:tc>
          <w:tcPr>
            <w:tcW w:w="100" w:type="dxa"/>
            <w:vAlign w:val="bottom"/>
          </w:tcPr>
          <w:p>
            <w:pPr>
              <w:spacing w:after="0"/>
              <w:rPr>
                <w:sz w:val="21"/>
                <w:szCs w:val="21"/>
                <w:color w:val="auto"/>
              </w:rPr>
            </w:pPr>
          </w:p>
        </w:tc>
        <w:tc>
          <w:tcPr>
            <w:tcW w:w="1320" w:type="dxa"/>
            <w:vAlign w:val="bottom"/>
          </w:tcPr>
          <w:p>
            <w:pPr>
              <w:jc w:val="center"/>
              <w:ind w:left="890"/>
              <w:spacing w:after="0"/>
              <w:rPr>
                <w:sz w:val="20"/>
                <w:szCs w:val="20"/>
                <w:color w:val="auto"/>
              </w:rPr>
            </w:pPr>
            <w:r>
              <w:rPr>
                <w:rFonts w:ascii="Arial" w:cs="Arial" w:eastAsia="Arial" w:hAnsi="Arial"/>
                <w:sz w:val="18"/>
                <w:szCs w:val="18"/>
                <w:color w:val="131E29"/>
                <w:w w:val="99"/>
              </w:rPr>
              <w:t>—</w:t>
            </w:r>
          </w:p>
        </w:tc>
      </w:tr>
      <w:tr>
        <w:trPr>
          <w:trHeight w:val="27"/>
        </w:trPr>
        <w:tc>
          <w:tcPr>
            <w:tcW w:w="840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80" w:type="dxa"/>
            <w:vAlign w:val="bottom"/>
            <w:tcBorders>
              <w:bottom w:val="single" w:sz="8" w:color="131E29"/>
            </w:tcBorders>
          </w:tcPr>
          <w:p>
            <w:pPr>
              <w:spacing w:after="0"/>
              <w:rPr>
                <w:sz w:val="2"/>
                <w:szCs w:val="2"/>
                <w:color w:val="auto"/>
              </w:rPr>
            </w:pPr>
          </w:p>
        </w:tc>
        <w:tc>
          <w:tcPr>
            <w:tcW w:w="9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131E29"/>
            </w:tcBorders>
          </w:tcPr>
          <w:p>
            <w:pPr>
              <w:spacing w:after="0"/>
              <w:rPr>
                <w:sz w:val="2"/>
                <w:szCs w:val="2"/>
                <w:color w:val="auto"/>
              </w:rPr>
            </w:pPr>
          </w:p>
        </w:tc>
      </w:tr>
      <w:tr>
        <w:trPr>
          <w:trHeight w:val="243"/>
        </w:trPr>
        <w:tc>
          <w:tcPr>
            <w:tcW w:w="84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change</w:t>
            </w: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b w:val="1"/>
                <w:bCs w:val="1"/>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(4,496)</w:t>
            </w:r>
          </w:p>
        </w:tc>
        <w:tc>
          <w:tcPr>
            <w:tcW w:w="100" w:type="dxa"/>
            <w:vAlign w:val="bottom"/>
            <w:tcBorders>
              <w:bottom w:val="single" w:sz="8" w:color="D2DCE5"/>
            </w:tcBorders>
            <w:shd w:val="clear" w:color="auto" w:fill="D2DCE5"/>
          </w:tcPr>
          <w:p>
            <w:pPr>
              <w:spacing w:after="0"/>
              <w:rPr>
                <w:sz w:val="21"/>
                <w:szCs w:val="21"/>
                <w:color w:val="auto"/>
              </w:rPr>
            </w:pP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(1,640)</w:t>
            </w:r>
          </w:p>
        </w:tc>
      </w:tr>
      <w:tr>
        <w:trPr>
          <w:trHeight w:val="20"/>
        </w:trPr>
        <w:tc>
          <w:tcPr>
            <w:tcW w:w="8400" w:type="dxa"/>
            <w:vAlign w:val="bottom"/>
            <w:shd w:val="clear" w:color="auto" w:fill="131E2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131E29"/>
          </w:tcPr>
          <w:p>
            <w:pPr>
              <w:spacing w:after="0" w:line="20" w:lineRule="exact"/>
              <w:rPr>
                <w:sz w:val="1"/>
                <w:szCs w:val="1"/>
                <w:color w:val="auto"/>
              </w:rPr>
            </w:pPr>
          </w:p>
        </w:tc>
        <w:tc>
          <w:tcPr>
            <w:tcW w:w="960" w:type="dxa"/>
            <w:vAlign w:val="bottom"/>
            <w:shd w:val="clear" w:color="auto" w:fill="131E2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131E29"/>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Franchising and other gross profit impacts for the year-over-year comparison, presented in dollars and basis points, were driven by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440" w:type="dxa"/>
            <w:vAlign w:val="bottom"/>
          </w:tcPr>
          <w:p>
            <w:pPr>
              <w:jc w:val="right"/>
              <w:ind w:right="578"/>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1600" w:type="dxa"/>
            <w:vAlign w:val="bottom"/>
          </w:tcPr>
          <w:p>
            <w:pPr>
              <w:jc w:val="right"/>
              <w:ind w:right="538"/>
              <w:spacing w:after="0"/>
              <w:rPr>
                <w:sz w:val="20"/>
                <w:szCs w:val="20"/>
                <w:color w:val="auto"/>
              </w:rPr>
            </w:pPr>
            <w:r>
              <w:rPr>
                <w:rFonts w:ascii="Arial" w:cs="Arial" w:eastAsia="Arial" w:hAnsi="Arial"/>
                <w:sz w:val="18"/>
                <w:szCs w:val="18"/>
                <w:b w:val="1"/>
                <w:bCs w:val="1"/>
                <w:color w:val="131E29"/>
              </w:rPr>
              <w:t>BPS</w:t>
            </w:r>
          </w:p>
        </w:tc>
      </w:tr>
      <w:tr>
        <w:trPr>
          <w:trHeight w:val="26"/>
        </w:trPr>
        <w:tc>
          <w:tcPr>
            <w:tcW w:w="80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4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600" w:type="dxa"/>
            <w:vAlign w:val="bottom"/>
            <w:tcBorders>
              <w:bottom w:val="single" w:sz="8" w:color="131E29"/>
            </w:tcBorders>
          </w:tcPr>
          <w:p>
            <w:pPr>
              <w:spacing w:after="0"/>
              <w:rPr>
                <w:sz w:val="2"/>
                <w:szCs w:val="2"/>
                <w:color w:val="auto"/>
              </w:rPr>
            </w:pPr>
          </w:p>
        </w:tc>
      </w:tr>
      <w:tr>
        <w:trPr>
          <w:trHeight w:val="237"/>
        </w:trPr>
        <w:tc>
          <w:tcPr>
            <w:tcW w:w="81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Higher costs of products sold to franchisees</w:t>
            </w: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(5,345)</w:t>
            </w:r>
          </w:p>
        </w:tc>
        <w:tc>
          <w:tcPr>
            <w:tcW w:w="100" w:type="dxa"/>
            <w:vAlign w:val="bottom"/>
            <w:shd w:val="clear" w:color="auto" w:fill="D2DCE5"/>
          </w:tcPr>
          <w:p>
            <w:pPr>
              <w:spacing w:after="0"/>
              <w:rPr>
                <w:sz w:val="20"/>
                <w:szCs w:val="20"/>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(1,120)</w:t>
            </w:r>
          </w:p>
        </w:tc>
      </w:tr>
      <w:tr>
        <w:trPr>
          <w:trHeight w:val="233"/>
        </w:trPr>
        <w:tc>
          <w:tcPr>
            <w:tcW w:w="8100" w:type="dxa"/>
            <w:vAlign w:val="bottom"/>
            <w:gridSpan w:val="2"/>
          </w:tcPr>
          <w:p>
            <w:pPr>
              <w:ind w:left="20"/>
              <w:spacing w:after="0"/>
              <w:rPr>
                <w:sz w:val="20"/>
                <w:szCs w:val="20"/>
                <w:color w:val="auto"/>
              </w:rPr>
            </w:pPr>
            <w:r>
              <w:rPr>
                <w:rFonts w:ascii="Arial" w:cs="Arial" w:eastAsia="Arial" w:hAnsi="Arial"/>
                <w:sz w:val="16"/>
                <w:szCs w:val="16"/>
                <w:color w:val="131E29"/>
              </w:rPr>
              <w:t>Same shop sales</w:t>
            </w:r>
          </w:p>
        </w:tc>
        <w:tc>
          <w:tcPr>
            <w:tcW w:w="1440" w:type="dxa"/>
            <w:vAlign w:val="bottom"/>
          </w:tcPr>
          <w:p>
            <w:pPr>
              <w:jc w:val="right"/>
              <w:spacing w:after="0"/>
              <w:rPr>
                <w:sz w:val="20"/>
                <w:szCs w:val="20"/>
                <w:color w:val="auto"/>
              </w:rPr>
            </w:pPr>
            <w:r>
              <w:rPr>
                <w:rFonts w:ascii="Arial" w:cs="Arial" w:eastAsia="Arial" w:hAnsi="Arial"/>
                <w:sz w:val="16"/>
                <w:szCs w:val="16"/>
                <w:color w:val="131E29"/>
              </w:rPr>
              <w:t>495</w:t>
            </w:r>
          </w:p>
        </w:tc>
        <w:tc>
          <w:tcPr>
            <w:tcW w:w="100" w:type="dxa"/>
            <w:vAlign w:val="bottom"/>
          </w:tcPr>
          <w:p>
            <w:pPr>
              <w:spacing w:after="0"/>
              <w:rPr>
                <w:sz w:val="20"/>
                <w:szCs w:val="20"/>
                <w:color w:val="auto"/>
              </w:rPr>
            </w:pPr>
          </w:p>
        </w:tc>
        <w:tc>
          <w:tcPr>
            <w:tcW w:w="1600" w:type="dxa"/>
            <w:vAlign w:val="bottom"/>
          </w:tcPr>
          <w:p>
            <w:pPr>
              <w:jc w:val="center"/>
              <w:ind w:left="1218"/>
              <w:spacing w:after="0"/>
              <w:rPr>
                <w:sz w:val="20"/>
                <w:szCs w:val="20"/>
                <w:color w:val="auto"/>
              </w:rPr>
            </w:pPr>
            <w:r>
              <w:rPr>
                <w:rFonts w:ascii="Arial" w:cs="Arial" w:eastAsia="Arial" w:hAnsi="Arial"/>
                <w:sz w:val="16"/>
                <w:szCs w:val="16"/>
                <w:color w:val="131E29"/>
                <w:w w:val="97"/>
              </w:rPr>
              <w:t>N/A</w:t>
            </w:r>
          </w:p>
        </w:tc>
      </w:tr>
      <w:tr>
        <w:trPr>
          <w:trHeight w:val="253"/>
        </w:trPr>
        <w:tc>
          <w:tcPr>
            <w:tcW w:w="81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1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644</w:t>
            </w:r>
          </w:p>
        </w:tc>
        <w:tc>
          <w:tcPr>
            <w:tcW w:w="100" w:type="dxa"/>
            <w:vAlign w:val="bottom"/>
            <w:shd w:val="clear" w:color="auto" w:fill="D2DCE5"/>
          </w:tcPr>
          <w:p>
            <w:pPr>
              <w:spacing w:after="0"/>
              <w:rPr>
                <w:sz w:val="21"/>
                <w:szCs w:val="21"/>
                <w:color w:val="auto"/>
              </w:rPr>
            </w:pPr>
          </w:p>
        </w:tc>
        <w:tc>
          <w:tcPr>
            <w:tcW w:w="1600" w:type="dxa"/>
            <w:vAlign w:val="bottom"/>
            <w:shd w:val="clear" w:color="auto" w:fill="D2DCE5"/>
          </w:tcPr>
          <w:p>
            <w:pPr>
              <w:jc w:val="center"/>
              <w:ind w:left="1218"/>
              <w:spacing w:after="0"/>
              <w:rPr>
                <w:sz w:val="20"/>
                <w:szCs w:val="20"/>
                <w:color w:val="auto"/>
              </w:rPr>
            </w:pPr>
            <w:r>
              <w:rPr>
                <w:rFonts w:ascii="Arial" w:cs="Arial" w:eastAsia="Arial" w:hAnsi="Arial"/>
                <w:sz w:val="16"/>
                <w:szCs w:val="16"/>
                <w:color w:val="131E29"/>
                <w:w w:val="97"/>
              </w:rPr>
              <w:t>N/A</w:t>
            </w:r>
          </w:p>
        </w:tc>
      </w:tr>
      <w:tr>
        <w:trPr>
          <w:trHeight w:val="237"/>
        </w:trPr>
        <w:tc>
          <w:tcPr>
            <w:tcW w:w="8020" w:type="dxa"/>
            <w:vAlign w:val="bottom"/>
            <w:tcBorders>
              <w:bottom w:val="single" w:sz="8" w:color="131E29"/>
            </w:tcBorders>
          </w:tcPr>
          <w:p>
            <w:pPr>
              <w:ind w:left="20"/>
              <w:spacing w:after="0"/>
              <w:rPr>
                <w:sz w:val="20"/>
                <w:szCs w:val="20"/>
                <w:color w:val="auto"/>
              </w:rPr>
            </w:pPr>
            <w:r>
              <w:rPr>
                <w:rFonts w:ascii="Arial" w:cs="Arial" w:eastAsia="Arial" w:hAnsi="Arial"/>
                <w:sz w:val="16"/>
                <w:szCs w:val="16"/>
                <w:color w:val="131E29"/>
              </w:rPr>
              <w:t>Other</w:t>
            </w:r>
          </w:p>
        </w:tc>
        <w:tc>
          <w:tcPr>
            <w:tcW w:w="80" w:type="dxa"/>
            <w:vAlign w:val="bottom"/>
            <w:tcBorders>
              <w:bottom w:val="single" w:sz="8" w:color="D2DCE5"/>
            </w:tcBorders>
          </w:tcPr>
          <w:p>
            <w:pPr>
              <w:spacing w:after="0"/>
              <w:rPr>
                <w:sz w:val="20"/>
                <w:szCs w:val="20"/>
                <w:color w:val="auto"/>
              </w:rPr>
            </w:pPr>
          </w:p>
        </w:tc>
        <w:tc>
          <w:tcPr>
            <w:tcW w:w="1440" w:type="dxa"/>
            <w:vAlign w:val="bottom"/>
            <w:tcBorders>
              <w:bottom w:val="single" w:sz="8" w:color="131E29"/>
            </w:tcBorders>
          </w:tcPr>
          <w:p>
            <w:pPr>
              <w:jc w:val="right"/>
              <w:spacing w:after="0"/>
              <w:rPr>
                <w:sz w:val="20"/>
                <w:szCs w:val="20"/>
                <w:color w:val="auto"/>
              </w:rPr>
            </w:pPr>
            <w:r>
              <w:rPr>
                <w:rFonts w:ascii="Arial" w:cs="Arial" w:eastAsia="Arial" w:hAnsi="Arial"/>
                <w:sz w:val="16"/>
                <w:szCs w:val="16"/>
                <w:color w:val="131E29"/>
              </w:rPr>
              <w:t>(639)</w:t>
            </w:r>
          </w:p>
        </w:tc>
        <w:tc>
          <w:tcPr>
            <w:tcW w:w="100" w:type="dxa"/>
            <w:vAlign w:val="bottom"/>
            <w:tcBorders>
              <w:bottom w:val="single" w:sz="8" w:color="D2DCE5"/>
            </w:tcBorders>
          </w:tcPr>
          <w:p>
            <w:pPr>
              <w:spacing w:after="0"/>
              <w:rPr>
                <w:sz w:val="20"/>
                <w:szCs w:val="20"/>
                <w:color w:val="auto"/>
              </w:rPr>
            </w:pPr>
          </w:p>
        </w:tc>
        <w:tc>
          <w:tcPr>
            <w:tcW w:w="1600" w:type="dxa"/>
            <w:vAlign w:val="bottom"/>
            <w:tcBorders>
              <w:bottom w:val="single" w:sz="8" w:color="131E29"/>
            </w:tcBorders>
          </w:tcPr>
          <w:p>
            <w:pPr>
              <w:jc w:val="center"/>
              <w:ind w:left="1198"/>
              <w:spacing w:after="0"/>
              <w:rPr>
                <w:sz w:val="20"/>
                <w:szCs w:val="20"/>
                <w:color w:val="auto"/>
              </w:rPr>
            </w:pPr>
            <w:r>
              <w:rPr>
                <w:rFonts w:ascii="Arial" w:cs="Arial" w:eastAsia="Arial" w:hAnsi="Arial"/>
                <w:sz w:val="16"/>
                <w:szCs w:val="16"/>
                <w:color w:val="131E29"/>
                <w:w w:val="99"/>
              </w:rPr>
              <w:t>—</w:t>
            </w:r>
          </w:p>
        </w:tc>
      </w:tr>
      <w:tr>
        <w:trPr>
          <w:trHeight w:val="237"/>
        </w:trPr>
        <w:tc>
          <w:tcPr>
            <w:tcW w:w="802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shd w:val="clear" w:color="auto" w:fill="D2DCE5"/>
          </w:tcPr>
          <w:p>
            <w:pPr>
              <w:spacing w:after="0"/>
              <w:rPr>
                <w:sz w:val="20"/>
                <w:szCs w:val="20"/>
                <w:color w:val="auto"/>
              </w:rPr>
            </w:pPr>
          </w:p>
        </w:tc>
        <w:tc>
          <w:tcPr>
            <w:tcW w:w="14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(4,845)</w:t>
            </w:r>
          </w:p>
        </w:tc>
        <w:tc>
          <w:tcPr>
            <w:tcW w:w="100" w:type="dxa"/>
            <w:vAlign w:val="bottom"/>
            <w:shd w:val="clear" w:color="auto" w:fill="D2DCE5"/>
          </w:tcPr>
          <w:p>
            <w:pPr>
              <w:spacing w:after="0"/>
              <w:rPr>
                <w:sz w:val="20"/>
                <w:szCs w:val="20"/>
                <w:color w:val="auto"/>
              </w:rPr>
            </w:pPr>
          </w:p>
        </w:tc>
        <w:tc>
          <w:tcPr>
            <w:tcW w:w="16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(1,120)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Selling, General, and Administrative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40" w:type="dxa"/>
            <w:vAlign w:val="bottom"/>
            <w:gridSpan w:val="6"/>
          </w:tcPr>
          <w:p>
            <w:pPr>
              <w:jc w:val="center"/>
              <w:spacing w:after="0"/>
              <w:rPr>
                <w:sz w:val="20"/>
                <w:szCs w:val="20"/>
                <w:color w:val="auto"/>
              </w:rPr>
            </w:pPr>
            <w:r>
              <w:rPr>
                <w:rFonts w:ascii="Arial" w:cs="Arial" w:eastAsia="Arial" w:hAnsi="Arial"/>
                <w:sz w:val="18"/>
                <w:szCs w:val="18"/>
                <w:b w:val="1"/>
                <w:bCs w:val="1"/>
                <w:color w:val="131E29"/>
                <w:w w:val="99"/>
              </w:rPr>
              <w:t>Three Months Ended 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60" w:type="dxa"/>
            <w:vAlign w:val="bottom"/>
            <w:gridSpan w:val="6"/>
          </w:tcPr>
          <w:p>
            <w:pPr>
              <w:ind w:left="80"/>
              <w:spacing w:after="0"/>
              <w:rPr>
                <w:sz w:val="20"/>
                <w:szCs w:val="20"/>
                <w:color w:val="auto"/>
              </w:rPr>
            </w:pPr>
            <w:r>
              <w:rPr>
                <w:rFonts w:ascii="Arial" w:cs="Arial" w:eastAsia="Arial" w:hAnsi="Arial"/>
                <w:sz w:val="18"/>
                <w:szCs w:val="18"/>
                <w:b w:val="1"/>
                <w:bCs w:val="1"/>
                <w:color w:val="131E29"/>
              </w:rPr>
              <w:t>Six Months Ended June 30,</w:t>
            </w:r>
          </w:p>
        </w:tc>
        <w:tc>
          <w:tcPr>
            <w:tcW w:w="940" w:type="dxa"/>
            <w:vAlign w:val="bottom"/>
          </w:tcPr>
          <w:p>
            <w:pPr>
              <w:spacing w:after="0"/>
              <w:rPr>
                <w:sz w:val="20"/>
                <w:szCs w:val="20"/>
                <w:color w:val="auto"/>
              </w:rPr>
            </w:pPr>
          </w:p>
        </w:tc>
      </w:tr>
      <w:tr>
        <w:trPr>
          <w:trHeight w:val="27"/>
        </w:trPr>
        <w:tc>
          <w:tcPr>
            <w:tcW w:w="2260" w:type="dxa"/>
            <w:vAlign w:val="bottom"/>
            <w:gridSpan w:val="2"/>
          </w:tcPr>
          <w:p>
            <w:pPr>
              <w:spacing w:after="0"/>
              <w:rPr>
                <w:sz w:val="2"/>
                <w:szCs w:val="2"/>
                <w:color w:val="auto"/>
              </w:rPr>
            </w:pPr>
          </w:p>
        </w:tc>
        <w:tc>
          <w:tcPr>
            <w:tcW w:w="1000" w:type="dxa"/>
            <w:vAlign w:val="bottom"/>
            <w:tcBorders>
              <w:bottom w:val="single" w:sz="8" w:color="131E29"/>
            </w:tcBorders>
          </w:tcPr>
          <w:p>
            <w:pPr>
              <w:spacing w:after="0"/>
              <w:rPr>
                <w:sz w:val="2"/>
                <w:szCs w:val="2"/>
                <w:color w:val="auto"/>
              </w:rPr>
            </w:pPr>
          </w:p>
        </w:tc>
        <w:tc>
          <w:tcPr>
            <w:tcW w:w="1120" w:type="dxa"/>
            <w:vAlign w:val="bottom"/>
            <w:tcBorders>
              <w:bottom w:val="single" w:sz="8" w:color="131E29"/>
            </w:tcBorders>
            <w:gridSpan w:val="3"/>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2120" w:type="dxa"/>
            <w:vAlign w:val="bottom"/>
            <w:tcBorders>
              <w:bottom w:val="single" w:sz="8" w:color="131E29"/>
            </w:tcBorders>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r>
      <w:tr>
        <w:trPr>
          <w:trHeight w:val="238"/>
        </w:trPr>
        <w:tc>
          <w:tcPr>
            <w:tcW w:w="226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2022</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3"/>
          </w:tcPr>
          <w:p>
            <w:pPr>
              <w:ind w:left="420"/>
              <w:spacing w:after="0"/>
              <w:rPr>
                <w:sz w:val="20"/>
                <w:szCs w:val="20"/>
                <w:color w:val="auto"/>
              </w:rPr>
            </w:pPr>
            <w:r>
              <w:rPr>
                <w:rFonts w:ascii="Arial" w:cs="Arial" w:eastAsia="Arial" w:hAnsi="Arial"/>
                <w:sz w:val="18"/>
                <w:szCs w:val="18"/>
                <w:b w:val="1"/>
                <w:bCs w:val="1"/>
                <w:color w:val="131E29"/>
              </w:rPr>
              <w:t>2022 v. 2021</w:t>
            </w:r>
          </w:p>
        </w:tc>
        <w:tc>
          <w:tcPr>
            <w:tcW w:w="900" w:type="dxa"/>
            <w:vAlign w:val="bottom"/>
          </w:tcPr>
          <w:p>
            <w:pPr>
              <w:jc w:val="center"/>
              <w:ind w:left="10"/>
              <w:spacing w:after="0"/>
              <w:rPr>
                <w:sz w:val="20"/>
                <w:szCs w:val="20"/>
                <w:color w:val="auto"/>
              </w:rPr>
            </w:pPr>
            <w:r>
              <w:rPr>
                <w:rFonts w:ascii="Arial" w:cs="Arial" w:eastAsia="Arial" w:hAnsi="Arial"/>
                <w:sz w:val="18"/>
                <w:szCs w:val="18"/>
                <w:b w:val="1"/>
                <w:bCs w:val="1"/>
                <w:color w:val="131E29"/>
                <w:w w:val="99"/>
              </w:rPr>
              <w:t>2022</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ind w:left="320"/>
              <w:spacing w:after="0"/>
              <w:rPr>
                <w:sz w:val="20"/>
                <w:szCs w:val="20"/>
                <w:color w:val="auto"/>
              </w:rPr>
            </w:pPr>
            <w:r>
              <w:rPr>
                <w:rFonts w:ascii="Arial" w:cs="Arial" w:eastAsia="Arial" w:hAnsi="Arial"/>
                <w:sz w:val="18"/>
                <w:szCs w:val="18"/>
                <w:b w:val="1"/>
                <w:bCs w:val="1"/>
                <w:color w:val="131E29"/>
              </w:rPr>
              <w:t>2022 v. 2021</w:t>
            </w:r>
          </w:p>
        </w:tc>
      </w:tr>
      <w:tr>
        <w:trPr>
          <w:trHeight w:val="26"/>
        </w:trPr>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118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00" w:type="dxa"/>
            <w:vAlign w:val="bottom"/>
            <w:tcBorders>
              <w:bottom w:val="single" w:sz="8" w:color="131E29"/>
            </w:tcBorders>
          </w:tcPr>
          <w:p>
            <w:pPr>
              <w:spacing w:after="0"/>
              <w:rPr>
                <w:sz w:val="2"/>
                <w:szCs w:val="2"/>
                <w:color w:val="auto"/>
              </w:rPr>
            </w:pPr>
          </w:p>
        </w:tc>
        <w:tc>
          <w:tcPr>
            <w:tcW w:w="12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98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r>
      <w:tr>
        <w:trPr>
          <w:trHeight w:val="236"/>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w:t>
            </w:r>
          </w:p>
        </w:tc>
        <w:tc>
          <w:tcPr>
            <w:tcW w:w="1000" w:type="dxa"/>
            <w:vAlign w:val="bottom"/>
            <w:shd w:val="clear" w:color="auto" w:fill="D2DCE5"/>
          </w:tcPr>
          <w:p>
            <w:pPr>
              <w:spacing w:after="0"/>
              <w:rPr>
                <w:sz w:val="20"/>
                <w:szCs w:val="20"/>
                <w:color w:val="auto"/>
              </w:rPr>
            </w:pPr>
          </w:p>
        </w:tc>
        <w:tc>
          <w:tcPr>
            <w:tcW w:w="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118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0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98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r>
      <w:tr>
        <w:trPr>
          <w:trHeight w:val="224"/>
        </w:trPr>
        <w:tc>
          <w:tcPr>
            <w:tcW w:w="2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Administrative</w:t>
            </w:r>
          </w:p>
        </w:tc>
        <w:tc>
          <w:tcPr>
            <w:tcW w:w="10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   42,342</w:t>
            </w:r>
          </w:p>
        </w:tc>
        <w:tc>
          <w:tcPr>
            <w:tcW w:w="112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   33,488</w:t>
            </w:r>
          </w:p>
        </w:tc>
        <w:tc>
          <w:tcPr>
            <w:tcW w:w="10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1180" w:type="dxa"/>
            <w:vAlign w:val="bottom"/>
            <w:tcBorders>
              <w:bottom w:val="single" w:sz="8" w:color="D2DCE5"/>
            </w:tcBorders>
            <w:shd w:val="clear" w:color="auto" w:fill="D2DCE5"/>
          </w:tcPr>
          <w:p>
            <w:pPr>
              <w:jc w:val="right"/>
              <w:ind w:right="390"/>
              <w:spacing w:after="0"/>
              <w:rPr>
                <w:sz w:val="20"/>
                <w:szCs w:val="20"/>
                <w:color w:val="auto"/>
              </w:rPr>
            </w:pPr>
            <w:r>
              <w:rPr>
                <w:rFonts w:ascii="Arial" w:cs="Arial" w:eastAsia="Arial" w:hAnsi="Arial"/>
                <w:sz w:val="18"/>
                <w:szCs w:val="18"/>
                <w:color w:val="131E29"/>
              </w:rPr>
              <w:t>8,854</w:t>
            </w:r>
          </w:p>
        </w:tc>
        <w:tc>
          <w:tcPr>
            <w:tcW w:w="940" w:type="dxa"/>
            <w:vAlign w:val="bottom"/>
            <w:tcBorders>
              <w:bottom w:val="single" w:sz="8" w:color="D2DCE5"/>
            </w:tcBorders>
            <w:shd w:val="clear" w:color="auto" w:fill="D2DCE5"/>
          </w:tcPr>
          <w:p>
            <w:pPr>
              <w:jc w:val="right"/>
              <w:ind w:right="270"/>
              <w:spacing w:after="0"/>
              <w:rPr>
                <w:sz w:val="20"/>
                <w:szCs w:val="20"/>
                <w:color w:val="auto"/>
              </w:rPr>
            </w:pPr>
            <w:r>
              <w:rPr>
                <w:rFonts w:ascii="Arial" w:cs="Arial" w:eastAsia="Arial" w:hAnsi="Arial"/>
                <w:sz w:val="18"/>
                <w:szCs w:val="18"/>
                <w:color w:val="131E29"/>
              </w:rPr>
              <w:t>26.4%</w:t>
            </w:r>
          </w:p>
        </w:tc>
        <w:tc>
          <w:tcPr>
            <w:tcW w:w="100" w:type="dxa"/>
            <w:vAlign w:val="bottom"/>
            <w:tcBorders>
              <w:bottom w:val="single" w:sz="8" w:color="D2DCE5"/>
            </w:tcBorders>
            <w:shd w:val="clear" w:color="auto" w:fill="D2DCE5"/>
          </w:tcPr>
          <w:p>
            <w:pPr>
              <w:spacing w:after="0"/>
              <w:rPr>
                <w:sz w:val="19"/>
                <w:szCs w:val="19"/>
                <w:color w:val="auto"/>
              </w:rPr>
            </w:pPr>
          </w:p>
        </w:tc>
        <w:tc>
          <w:tcPr>
            <w:tcW w:w="900" w:type="dxa"/>
            <w:vAlign w:val="bottom"/>
            <w:tcBorders>
              <w:bottom w:val="single" w:sz="8" w:color="D2DCE5"/>
            </w:tcBorders>
            <w:shd w:val="clear" w:color="auto" w:fill="D2DCE5"/>
          </w:tcPr>
          <w:p>
            <w:pPr>
              <w:jc w:val="center"/>
              <w:ind w:left="30"/>
              <w:spacing w:after="0"/>
              <w:rPr>
                <w:sz w:val="20"/>
                <w:szCs w:val="20"/>
                <w:color w:val="auto"/>
              </w:rPr>
            </w:pPr>
            <w:r>
              <w:rPr>
                <w:rFonts w:ascii="Arial" w:cs="Arial" w:eastAsia="Arial" w:hAnsi="Arial"/>
                <w:sz w:val="18"/>
                <w:szCs w:val="18"/>
                <w:color w:val="131E29"/>
              </w:rPr>
              <w:t>$87,556</w:t>
            </w:r>
          </w:p>
        </w:tc>
        <w:tc>
          <w:tcPr>
            <w:tcW w:w="116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  69,474</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980" w:type="dxa"/>
            <w:vAlign w:val="bottom"/>
            <w:tcBorders>
              <w:bottom w:val="single" w:sz="8" w:color="D2DCE5"/>
            </w:tcBorders>
            <w:shd w:val="clear" w:color="auto" w:fill="D2DCE5"/>
          </w:tcPr>
          <w:p>
            <w:pPr>
              <w:ind w:left="140"/>
              <w:spacing w:after="0"/>
              <w:rPr>
                <w:sz w:val="20"/>
                <w:szCs w:val="20"/>
                <w:color w:val="auto"/>
              </w:rPr>
            </w:pPr>
            <w:r>
              <w:rPr>
                <w:rFonts w:ascii="Arial" w:cs="Arial" w:eastAsia="Arial" w:hAnsi="Arial"/>
                <w:sz w:val="18"/>
                <w:szCs w:val="18"/>
                <w:color w:val="131E29"/>
              </w:rPr>
              <w:t>18,082</w:t>
            </w:r>
          </w:p>
        </w:tc>
        <w:tc>
          <w:tcPr>
            <w:tcW w:w="94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rPr>
              <w:t>26.0%</w:t>
            </w:r>
          </w:p>
        </w:tc>
      </w:tr>
      <w:tr>
        <w:trPr>
          <w:trHeight w:val="224"/>
        </w:trPr>
        <w:tc>
          <w:tcPr>
            <w:tcW w:w="2260" w:type="dxa"/>
            <w:vAlign w:val="bottom"/>
            <w:gridSpan w:val="2"/>
          </w:tcPr>
          <w:p>
            <w:pPr>
              <w:ind w:left="20"/>
              <w:spacing w:after="0"/>
              <w:rPr>
                <w:sz w:val="20"/>
                <w:szCs w:val="20"/>
                <w:color w:val="auto"/>
              </w:rPr>
            </w:pPr>
            <w:r>
              <w:rPr>
                <w:rFonts w:ascii="Arial" w:cs="Arial" w:eastAsia="Arial" w:hAnsi="Arial"/>
                <w:sz w:val="18"/>
                <w:szCs w:val="18"/>
                <w:i w:val="1"/>
                <w:iCs w:val="1"/>
                <w:color w:val="131E29"/>
              </w:rPr>
              <w:t>As a percentage of</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5"/>
        </w:trPr>
        <w:tc>
          <w:tcPr>
            <w:tcW w:w="2260" w:type="dxa"/>
            <w:vAlign w:val="bottom"/>
            <w:gridSpan w:val="2"/>
          </w:tcPr>
          <w:p>
            <w:pPr>
              <w:ind w:left="20"/>
              <w:spacing w:after="0"/>
              <w:rPr>
                <w:sz w:val="20"/>
                <w:szCs w:val="20"/>
                <w:color w:val="auto"/>
              </w:rPr>
            </w:pPr>
            <w:r>
              <w:rPr>
                <w:rFonts w:ascii="Arial" w:cs="Arial" w:eastAsia="Arial" w:hAnsi="Arial"/>
                <w:sz w:val="18"/>
                <w:szCs w:val="18"/>
                <w:i w:val="1"/>
                <w:iCs w:val="1"/>
                <w:color w:val="131E29"/>
              </w:rPr>
              <w:t>revenue</w:t>
            </w:r>
          </w:p>
        </w:tc>
        <w:tc>
          <w:tcPr>
            <w:tcW w:w="1000" w:type="dxa"/>
            <w:vAlign w:val="bottom"/>
          </w:tcPr>
          <w:p>
            <w:pPr>
              <w:jc w:val="right"/>
              <w:ind w:right="130"/>
              <w:spacing w:after="0"/>
              <w:rPr>
                <w:sz w:val="20"/>
                <w:szCs w:val="20"/>
                <w:color w:val="auto"/>
              </w:rPr>
            </w:pPr>
            <w:r>
              <w:rPr>
                <w:rFonts w:ascii="Arial" w:cs="Arial" w:eastAsia="Arial" w:hAnsi="Arial"/>
                <w:sz w:val="18"/>
                <w:szCs w:val="18"/>
                <w:color w:val="131E29"/>
              </w:rPr>
              <w:t>22.7%</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131E29"/>
              </w:rPr>
              <w:t>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670"/>
              <w:spacing w:after="0"/>
              <w:rPr>
                <w:sz w:val="20"/>
                <w:szCs w:val="20"/>
                <w:color w:val="auto"/>
              </w:rPr>
            </w:pPr>
            <w:r>
              <w:rPr>
                <w:rFonts w:ascii="Arial" w:cs="Arial" w:eastAsia="Arial" w:hAnsi="Arial"/>
                <w:sz w:val="18"/>
                <w:szCs w:val="18"/>
                <w:color w:val="131E29"/>
              </w:rPr>
              <w:t>N/A</w:t>
            </w:r>
          </w:p>
        </w:tc>
        <w:tc>
          <w:tcPr>
            <w:tcW w:w="1040" w:type="dxa"/>
            <w:vAlign w:val="bottom"/>
            <w:gridSpan w:val="2"/>
          </w:tcPr>
          <w:p>
            <w:pPr>
              <w:ind w:left="200"/>
              <w:spacing w:after="0"/>
              <w:rPr>
                <w:sz w:val="20"/>
                <w:szCs w:val="20"/>
                <w:color w:val="auto"/>
              </w:rPr>
            </w:pPr>
            <w:r>
              <w:rPr>
                <w:rFonts w:ascii="Arial" w:cs="Arial" w:eastAsia="Arial" w:hAnsi="Arial"/>
                <w:sz w:val="18"/>
                <w:szCs w:val="18"/>
                <w:color w:val="131E29"/>
              </w:rPr>
              <w:t>(320)bps</w:t>
            </w:r>
          </w:p>
        </w:tc>
        <w:tc>
          <w:tcPr>
            <w:tcW w:w="900" w:type="dxa"/>
            <w:vAlign w:val="bottom"/>
          </w:tcPr>
          <w:p>
            <w:pPr>
              <w:jc w:val="center"/>
              <w:ind w:left="30"/>
              <w:spacing w:after="0"/>
              <w:rPr>
                <w:sz w:val="20"/>
                <w:szCs w:val="20"/>
                <w:color w:val="auto"/>
              </w:rPr>
            </w:pPr>
            <w:r>
              <w:rPr>
                <w:rFonts w:ascii="Arial" w:cs="Arial" w:eastAsia="Arial" w:hAnsi="Arial"/>
                <w:sz w:val="18"/>
                <w:szCs w:val="18"/>
                <w:color w:val="131E29"/>
                <w:w w:val="97"/>
              </w:rPr>
              <w:t>25.9%</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131E29"/>
              </w:rPr>
              <w:t>30.5%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131E29"/>
              </w:rPr>
              <w:t>N/A</w:t>
            </w:r>
          </w:p>
        </w:tc>
        <w:tc>
          <w:tcPr>
            <w:tcW w:w="940" w:type="dxa"/>
            <w:vAlign w:val="bottom"/>
          </w:tcPr>
          <w:p>
            <w:pPr>
              <w:jc w:val="center"/>
              <w:ind w:right="30"/>
              <w:spacing w:after="0"/>
              <w:rPr>
                <w:sz w:val="20"/>
                <w:szCs w:val="20"/>
                <w:color w:val="auto"/>
              </w:rPr>
            </w:pPr>
            <w:r>
              <w:rPr>
                <w:rFonts w:ascii="Arial" w:cs="Arial" w:eastAsia="Arial" w:hAnsi="Arial"/>
                <w:sz w:val="18"/>
                <w:szCs w:val="18"/>
                <w:color w:val="131E29"/>
                <w:w w:val="98"/>
              </w:rPr>
              <w:t>(460)bps</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The selling, general, and administrative impacts for the year-over-year comparison, presented in dollars and basis points, were driven by the following:</w:t>
      </w:r>
    </w:p>
    <w:p>
      <w:pPr>
        <w:spacing w:after="0" w:line="148"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22"/>
          <w:szCs w:val="22"/>
          <w:b w:val="1"/>
          <w:bCs w:val="1"/>
          <w:color w:val="006098"/>
        </w:rPr>
      </w:pPr>
      <w:r>
        <w:rPr>
          <w:rFonts w:ascii="Arial" w:cs="Arial" w:eastAsia="Arial" w:hAnsi="Arial"/>
          <w:sz w:val="18"/>
          <w:szCs w:val="18"/>
          <w:color w:val="131E29"/>
        </w:rPr>
        <w:t>$6.7 million from investments in human capital, processes, and systems to support our revenue growth.</w:t>
      </w:r>
    </w:p>
    <w:p>
      <w:pPr>
        <w:spacing w:after="0" w:line="111"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7"/>
        </w:numPr>
        <w:rPr>
          <w:rFonts w:ascii="Arial" w:cs="Arial" w:eastAsia="Arial" w:hAnsi="Arial"/>
          <w:sz w:val="22"/>
          <w:szCs w:val="22"/>
          <w:b w:val="1"/>
          <w:bCs w:val="1"/>
          <w:color w:val="006098"/>
        </w:rPr>
      </w:pPr>
      <w:r>
        <w:rPr>
          <w:rFonts w:ascii="Arial" w:cs="Arial" w:eastAsia="Arial" w:hAnsi="Arial"/>
          <w:sz w:val="18"/>
          <w:szCs w:val="18"/>
          <w:color w:val="131E29"/>
        </w:rPr>
        <w:t>$2.3 million or 120 bps from higher costs incurred as a result of being a public company.</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7"/>
        </w:numPr>
        <w:rPr>
          <w:rFonts w:ascii="Arial" w:cs="Arial" w:eastAsia="Arial" w:hAnsi="Arial"/>
          <w:sz w:val="22"/>
          <w:szCs w:val="22"/>
          <w:b w:val="1"/>
          <w:bCs w:val="1"/>
          <w:color w:val="006098"/>
        </w:rPr>
      </w:pPr>
      <w:r>
        <w:rPr>
          <w:rFonts w:ascii="Arial" w:cs="Arial" w:eastAsia="Arial" w:hAnsi="Arial"/>
          <w:sz w:val="18"/>
          <w:szCs w:val="18"/>
          <w:color w:val="131E29"/>
        </w:rPr>
        <w:t>$2.1 million or 110 bps from higher equity-based compensation charges.</w:t>
      </w:r>
    </w:p>
    <w:p>
      <w:pPr>
        <w:spacing w:after="0" w:line="16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2"/>
          <w:szCs w:val="22"/>
          <w:b w:val="1"/>
          <w:bCs w:val="1"/>
          <w:color w:val="D7282F"/>
        </w:rPr>
      </w:pPr>
      <w:r>
        <w:rPr>
          <w:rFonts w:ascii="Arial" w:cs="Arial" w:eastAsia="Arial" w:hAnsi="Arial"/>
          <w:sz w:val="18"/>
          <w:szCs w:val="18"/>
          <w:color w:val="131E29"/>
        </w:rPr>
        <w:t xml:space="preserve">$2.3 million </w:t>
      </w:r>
      <w:r>
        <w:rPr>
          <w:rFonts w:ascii="Arial" w:cs="Arial" w:eastAsia="Arial" w:hAnsi="Arial"/>
          <w:sz w:val="18"/>
          <w:szCs w:val="18"/>
          <w:color w:val="000000"/>
        </w:rPr>
        <w:t>or 120 bps from non-recurring pre-IPO costs.</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summation of the impact of the specific items above would have increased selling, general and administrative expenses by 110 bps to be 28.2% of revenue. However, leverage from revenue growth reduces that percentage by 430 bps to be 22.7% of revenue.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131E29"/>
        </w:rPr>
        <w:t>The selling, general, and administrative impacts for the year-over-year comparison, presented in dollars and basis points, were driven by the following:</w:t>
      </w:r>
    </w:p>
    <w:p>
      <w:pPr>
        <w:spacing w:after="0" w:line="148"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2"/>
          <w:szCs w:val="22"/>
          <w:b w:val="1"/>
          <w:bCs w:val="1"/>
          <w:color w:val="006098"/>
        </w:rPr>
      </w:pPr>
      <w:r>
        <w:rPr>
          <w:rFonts w:ascii="Arial" w:cs="Arial" w:eastAsia="Arial" w:hAnsi="Arial"/>
          <w:sz w:val="18"/>
          <w:szCs w:val="18"/>
          <w:color w:val="131E29"/>
        </w:rPr>
        <w:t>$14.8 million from investments in human capital, processes, and systems to support our revenue growth.</w:t>
      </w:r>
    </w:p>
    <w:p>
      <w:pPr>
        <w:spacing w:after="0" w:line="111"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9"/>
        </w:numPr>
        <w:rPr>
          <w:rFonts w:ascii="Arial" w:cs="Arial" w:eastAsia="Arial" w:hAnsi="Arial"/>
          <w:sz w:val="22"/>
          <w:szCs w:val="22"/>
          <w:b w:val="1"/>
          <w:bCs w:val="1"/>
          <w:color w:val="006098"/>
        </w:rPr>
      </w:pPr>
      <w:r>
        <w:rPr>
          <w:rFonts w:ascii="Arial" w:cs="Arial" w:eastAsia="Arial" w:hAnsi="Arial"/>
          <w:sz w:val="18"/>
          <w:szCs w:val="18"/>
          <w:color w:val="131E29"/>
        </w:rPr>
        <w:t>$4.7 million or 140 bps from higher costs incurred as a result of being a public company.</w:t>
      </w:r>
    </w:p>
    <w:p>
      <w:pPr>
        <w:spacing w:after="0" w:line="215" w:lineRule="exact"/>
        <w:rPr>
          <w:rFonts w:ascii="Arial" w:cs="Arial" w:eastAsia="Arial" w:hAnsi="Arial"/>
          <w:sz w:val="22"/>
          <w:szCs w:val="22"/>
          <w:b w:val="1"/>
          <w:bCs w:val="1"/>
          <w:color w:val="006098"/>
        </w:rPr>
      </w:pPr>
    </w:p>
    <w:p>
      <w:pPr>
        <w:ind w:left="340" w:hanging="332"/>
        <w:spacing w:after="0" w:line="225" w:lineRule="auto"/>
        <w:tabs>
          <w:tab w:leader="none" w:pos="517" w:val="left"/>
        </w:tabs>
        <w:numPr>
          <w:ilvl w:val="0"/>
          <w:numId w:val="29"/>
        </w:numPr>
        <w:rPr>
          <w:rFonts w:ascii="Arial" w:cs="Arial" w:eastAsia="Arial" w:hAnsi="Arial"/>
          <w:sz w:val="22"/>
          <w:szCs w:val="22"/>
          <w:b w:val="1"/>
          <w:bCs w:val="1"/>
          <w:color w:val="006098"/>
        </w:rPr>
      </w:pPr>
      <w:r>
        <w:rPr>
          <w:rFonts w:ascii="Arial" w:cs="Arial" w:eastAsia="Arial" w:hAnsi="Arial"/>
          <w:sz w:val="18"/>
          <w:szCs w:val="18"/>
          <w:color w:val="131E29"/>
        </w:rPr>
        <w:t>$2.4 million or 70 bps from company-wide event costs celebrating 30 years serving high QUALITY, hand-crafted beverages with unparalleled SPEED and superior SERVICE to our customers.</w:t>
      </w:r>
    </w:p>
    <w:p>
      <w:pPr>
        <w:spacing w:after="0" w:line="203" w:lineRule="exact"/>
        <w:rPr>
          <w:rFonts w:ascii="Arial" w:cs="Arial" w:eastAsia="Arial" w:hAnsi="Arial"/>
          <w:sz w:val="22"/>
          <w:szCs w:val="22"/>
          <w:b w:val="1"/>
          <w:bCs w:val="1"/>
          <w:color w:val="006098"/>
        </w:rPr>
      </w:pPr>
    </w:p>
    <w:p>
      <w:pPr>
        <w:jc w:val="both"/>
        <w:ind w:left="340" w:hanging="332"/>
        <w:spacing w:after="0" w:line="233" w:lineRule="auto"/>
        <w:tabs>
          <w:tab w:leader="none" w:pos="346" w:val="left"/>
        </w:tabs>
        <w:numPr>
          <w:ilvl w:val="0"/>
          <w:numId w:val="29"/>
        </w:numPr>
        <w:rPr>
          <w:rFonts w:ascii="Arial" w:cs="Arial" w:eastAsia="Arial" w:hAnsi="Arial"/>
          <w:sz w:val="22"/>
          <w:szCs w:val="22"/>
          <w:b w:val="1"/>
          <w:bCs w:val="1"/>
          <w:color w:val="006098"/>
        </w:rPr>
      </w:pPr>
      <w:r>
        <w:rPr>
          <w:rFonts w:ascii="Arial" w:cs="Arial" w:eastAsia="Arial" w:hAnsi="Arial"/>
          <w:sz w:val="18"/>
          <w:szCs w:val="18"/>
          <w:color w:val="131E29"/>
        </w:rPr>
        <w:t>$1.2 million or 40 bps from write-off of prepaid expense for our virtual corporate engagement platform built in response to COVID-19 as a substitute for in-person engagement practices pre-pandemic. The platform was determined ineffective, as we have shifted back to in-person engagements with the easing of COVID-19 restrictions.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2"/>
          <w:szCs w:val="22"/>
          <w:b w:val="1"/>
          <w:bCs w:val="1"/>
          <w:color w:val="D7282F"/>
        </w:rPr>
      </w:pPr>
      <w:r>
        <w:rPr>
          <w:rFonts w:ascii="Arial" w:cs="Arial" w:eastAsia="Arial" w:hAnsi="Arial"/>
          <w:sz w:val="18"/>
          <w:szCs w:val="18"/>
          <w:color w:val="131E29"/>
        </w:rPr>
        <w:t>$2.6 million or 80 bps from lower equity-based compensation charges.</w:t>
      </w:r>
    </w:p>
    <w:p>
      <w:pPr>
        <w:spacing w:after="0" w:line="165" w:lineRule="exact"/>
        <w:rPr>
          <w:rFonts w:ascii="Arial" w:cs="Arial" w:eastAsia="Arial" w:hAnsi="Arial"/>
          <w:sz w:val="22"/>
          <w:szCs w:val="22"/>
          <w:b w:val="1"/>
          <w:bCs w:val="1"/>
          <w:color w:val="D7282F"/>
        </w:rPr>
      </w:pPr>
    </w:p>
    <w:p>
      <w:pPr>
        <w:ind w:left="320" w:hanging="312"/>
        <w:spacing w:after="0"/>
        <w:tabs>
          <w:tab w:leader="none" w:pos="320" w:val="left"/>
        </w:tabs>
        <w:numPr>
          <w:ilvl w:val="0"/>
          <w:numId w:val="30"/>
        </w:numPr>
        <w:rPr>
          <w:rFonts w:ascii="Arial" w:cs="Arial" w:eastAsia="Arial" w:hAnsi="Arial"/>
          <w:sz w:val="22"/>
          <w:szCs w:val="22"/>
          <w:b w:val="1"/>
          <w:bCs w:val="1"/>
          <w:color w:val="D7282F"/>
        </w:rPr>
      </w:pPr>
      <w:r>
        <w:rPr>
          <w:rFonts w:ascii="Arial" w:cs="Arial" w:eastAsia="Arial" w:hAnsi="Arial"/>
          <w:sz w:val="18"/>
          <w:szCs w:val="18"/>
          <w:color w:val="131E29"/>
        </w:rPr>
        <w:t>$2.3 million or 70 bps from non-recurring pre-IPO costs.</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The summation of the impact of the specific items above would have increased selling, general and administrative expenses by 100 bps to be 32.2% of revenue. However, leverage from revenue growth reduces that percentage by 560 bps to be 25.9% of revenue.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Other Expense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9"/>
          </w:tcPr>
          <w:p>
            <w:pPr>
              <w:ind w:left="680"/>
              <w:spacing w:after="0"/>
              <w:rPr>
                <w:sz w:val="20"/>
                <w:szCs w:val="20"/>
                <w:color w:val="auto"/>
              </w:rPr>
            </w:pPr>
            <w:r>
              <w:rPr>
                <w:rFonts w:ascii="Arial" w:cs="Arial" w:eastAsia="Arial" w:hAnsi="Arial"/>
                <w:sz w:val="18"/>
                <w:szCs w:val="18"/>
                <w:b w:val="1"/>
                <w:bCs w:val="1"/>
                <w:color w:val="131E29"/>
              </w:rPr>
              <w:t>Three Months Ended June 30,</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8"/>
          </w:tcPr>
          <w:p>
            <w:pPr>
              <w:ind w:left="720"/>
              <w:spacing w:after="0"/>
              <w:rPr>
                <w:sz w:val="20"/>
                <w:szCs w:val="20"/>
                <w:color w:val="auto"/>
              </w:rPr>
            </w:pPr>
            <w:r>
              <w:rPr>
                <w:rFonts w:ascii="Arial" w:cs="Arial" w:eastAsia="Arial" w:hAnsi="Arial"/>
                <w:sz w:val="18"/>
                <w:szCs w:val="18"/>
                <w:b w:val="1"/>
                <w:bCs w:val="1"/>
                <w:color w:val="131E29"/>
              </w:rPr>
              <w:t>Six Months Ended June 30,</w:t>
            </w:r>
          </w:p>
        </w:tc>
        <w:tc>
          <w:tcPr>
            <w:tcW w:w="940" w:type="dxa"/>
            <w:vAlign w:val="bottom"/>
          </w:tcPr>
          <w:p>
            <w:pPr>
              <w:spacing w:after="0"/>
              <w:rPr>
                <w:sz w:val="20"/>
                <w:szCs w:val="20"/>
                <w:color w:val="auto"/>
              </w:rPr>
            </w:pPr>
          </w:p>
        </w:tc>
      </w:tr>
      <w:tr>
        <w:trPr>
          <w:trHeight w:val="27"/>
        </w:trPr>
        <w:tc>
          <w:tcPr>
            <w:tcW w:w="2540" w:type="dxa"/>
            <w:vAlign w:val="bottom"/>
            <w:gridSpan w:val="2"/>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1780" w:type="dxa"/>
            <w:vAlign w:val="bottom"/>
            <w:tcBorders>
              <w:bottom w:val="single" w:sz="8" w:color="131E29"/>
            </w:tcBorders>
            <w:gridSpan w:val="4"/>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r>
      <w:tr>
        <w:trPr>
          <w:trHeight w:val="238"/>
        </w:trPr>
        <w:tc>
          <w:tcPr>
            <w:tcW w:w="25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5"/>
          </w:tcPr>
          <w:p>
            <w:pPr>
              <w:ind w:left="240"/>
              <w:spacing w:after="0"/>
              <w:rPr>
                <w:sz w:val="20"/>
                <w:szCs w:val="20"/>
                <w:color w:val="auto"/>
              </w:rPr>
            </w:pPr>
            <w:r>
              <w:rPr>
                <w:rFonts w:ascii="Arial" w:cs="Arial" w:eastAsia="Arial" w:hAnsi="Arial"/>
                <w:sz w:val="18"/>
                <w:szCs w:val="18"/>
                <w:b w:val="1"/>
                <w:bCs w:val="1"/>
                <w:color w:val="131E29"/>
              </w:rPr>
              <w:t>2022 v. 2021</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131E29"/>
              </w:rPr>
              <w:t>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240"/>
              <w:spacing w:after="0"/>
              <w:rPr>
                <w:sz w:val="20"/>
                <w:szCs w:val="20"/>
                <w:color w:val="auto"/>
              </w:rPr>
            </w:pPr>
            <w:r>
              <w:rPr>
                <w:rFonts w:ascii="Arial" w:cs="Arial" w:eastAsia="Arial" w:hAnsi="Arial"/>
                <w:sz w:val="18"/>
                <w:szCs w:val="18"/>
                <w:b w:val="1"/>
                <w:bCs w:val="1"/>
                <w:color w:val="131E29"/>
              </w:rPr>
              <w:t>2022 v. 2021</w:t>
            </w:r>
          </w:p>
        </w:tc>
      </w:tr>
      <w:tr>
        <w:trPr>
          <w:trHeight w:val="26"/>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74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760" w:type="dxa"/>
            <w:vAlign w:val="bottom"/>
            <w:tcBorders>
              <w:bottom w:val="single" w:sz="8" w:color="131E29"/>
            </w:tcBorders>
          </w:tcPr>
          <w:p>
            <w:pPr>
              <w:spacing w:after="0"/>
              <w:rPr>
                <w:sz w:val="2"/>
                <w:szCs w:val="2"/>
                <w:color w:val="auto"/>
              </w:rPr>
            </w:pPr>
          </w:p>
        </w:tc>
        <w:tc>
          <w:tcPr>
            <w:tcW w:w="80" w:type="dxa"/>
            <w:vAlign w:val="bottom"/>
            <w:tcBorders>
              <w:bottom w:val="single" w:sz="8" w:color="131E29"/>
            </w:tcBorders>
          </w:tcPr>
          <w:p>
            <w:pPr>
              <w:spacing w:after="0"/>
              <w:rPr>
                <w:sz w:val="2"/>
                <w:szCs w:val="2"/>
                <w:color w:val="auto"/>
              </w:rPr>
            </w:pPr>
          </w:p>
        </w:tc>
        <w:tc>
          <w:tcPr>
            <w:tcW w:w="940" w:type="dxa"/>
            <w:vAlign w:val="bottom"/>
            <w:tcBorders>
              <w:bottom w:val="single" w:sz="8" w:color="131E29"/>
            </w:tcBorders>
          </w:tcPr>
          <w:p>
            <w:pPr>
              <w:spacing w:after="0"/>
              <w:rPr>
                <w:sz w:val="2"/>
                <w:szCs w:val="2"/>
                <w:color w:val="auto"/>
              </w:rPr>
            </w:pPr>
          </w:p>
        </w:tc>
      </w:tr>
      <w:tr>
        <w:trPr>
          <w:trHeight w:val="236"/>
        </w:trPr>
        <w:tc>
          <w:tcPr>
            <w:tcW w:w="25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on finance</w:t>
            </w:r>
          </w:p>
        </w:tc>
        <w:tc>
          <w:tcPr>
            <w:tcW w:w="22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2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7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8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0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7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r>
      <w:tr>
        <w:trPr>
          <w:trHeight w:val="224"/>
        </w:trPr>
        <w:tc>
          <w:tcPr>
            <w:tcW w:w="2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leases</w:t>
            </w: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(2,056)</w:t>
            </w:r>
          </w:p>
        </w:tc>
        <w:tc>
          <w:tcPr>
            <w:tcW w:w="100" w:type="dxa"/>
            <w:vAlign w:val="bottom"/>
            <w:tcBorders>
              <w:bottom w:val="single" w:sz="8" w:color="D2DCE5"/>
            </w:tcBorders>
            <w:shd w:val="clear" w:color="auto" w:fill="D2DCE5"/>
          </w:tcPr>
          <w:p>
            <w:pPr>
              <w:spacing w:after="0"/>
              <w:rPr>
                <w:sz w:val="19"/>
                <w:szCs w:val="19"/>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(918)</w:t>
            </w: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(1,138)</w:t>
            </w:r>
          </w:p>
        </w:tc>
        <w:tc>
          <w:tcPr>
            <w:tcW w:w="100" w:type="dxa"/>
            <w:vAlign w:val="bottom"/>
            <w:tcBorders>
              <w:bottom w:val="single" w:sz="8" w:color="D2DCE5"/>
            </w:tcBorders>
            <w:shd w:val="clear" w:color="auto" w:fill="D2DCE5"/>
          </w:tcPr>
          <w:p>
            <w:pPr>
              <w:spacing w:after="0"/>
              <w:rPr>
                <w:sz w:val="19"/>
                <w:szCs w:val="19"/>
                <w:color w:val="auto"/>
              </w:rPr>
            </w:pPr>
          </w:p>
        </w:tc>
        <w:tc>
          <w:tcPr>
            <w:tcW w:w="100" w:type="dxa"/>
            <w:vAlign w:val="bottom"/>
            <w:tcBorders>
              <w:bottom w:val="single" w:sz="8" w:color="D2DCE5"/>
            </w:tcBorders>
            <w:shd w:val="clear" w:color="auto" w:fill="D2DCE5"/>
          </w:tcPr>
          <w:p>
            <w:pPr>
              <w:spacing w:after="0"/>
              <w:rPr>
                <w:sz w:val="19"/>
                <w:szCs w:val="19"/>
                <w:color w:val="auto"/>
              </w:rPr>
            </w:pPr>
          </w:p>
        </w:tc>
        <w:tc>
          <w:tcPr>
            <w:tcW w:w="840" w:type="dxa"/>
            <w:vAlign w:val="bottom"/>
            <w:tcBorders>
              <w:bottom w:val="single" w:sz="8" w:color="D2DCE5"/>
            </w:tcBorders>
            <w:shd w:val="clear" w:color="auto" w:fill="D2DCE5"/>
          </w:tcPr>
          <w:p>
            <w:pPr>
              <w:jc w:val="center"/>
              <w:ind w:right="10"/>
              <w:spacing w:after="0"/>
              <w:rPr>
                <w:sz w:val="20"/>
                <w:szCs w:val="20"/>
                <w:color w:val="auto"/>
              </w:rPr>
            </w:pPr>
            <w:r>
              <w:rPr>
                <w:rFonts w:ascii="Arial" w:cs="Arial" w:eastAsia="Arial" w:hAnsi="Arial"/>
                <w:sz w:val="18"/>
                <w:szCs w:val="18"/>
                <w:color w:val="131E29"/>
              </w:rPr>
              <w:t>123.9%</w:t>
            </w:r>
          </w:p>
        </w:tc>
        <w:tc>
          <w:tcPr>
            <w:tcW w:w="80" w:type="dxa"/>
            <w:vAlign w:val="bottom"/>
            <w:tcBorders>
              <w:bottom w:val="single" w:sz="8" w:color="D2DCE5"/>
            </w:tcBorders>
            <w:shd w:val="clear" w:color="auto" w:fill="D2DCE5"/>
          </w:tcPr>
          <w:p>
            <w:pPr>
              <w:spacing w:after="0"/>
              <w:rPr>
                <w:sz w:val="19"/>
                <w:szCs w:val="19"/>
                <w:color w:val="auto"/>
              </w:rPr>
            </w:pP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(3,779)</w:t>
            </w:r>
          </w:p>
        </w:tc>
        <w:tc>
          <w:tcPr>
            <w:tcW w:w="80" w:type="dxa"/>
            <w:vAlign w:val="bottom"/>
            <w:tcBorders>
              <w:bottom w:val="single" w:sz="8" w:color="D2DCE5"/>
            </w:tcBorders>
            <w:shd w:val="clear" w:color="auto" w:fill="D2DCE5"/>
          </w:tcPr>
          <w:p>
            <w:pPr>
              <w:spacing w:after="0"/>
              <w:rPr>
                <w:sz w:val="19"/>
                <w:szCs w:val="19"/>
                <w:color w:val="auto"/>
              </w:rPr>
            </w:pP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(1,742)</w:t>
            </w:r>
          </w:p>
        </w:tc>
        <w:tc>
          <w:tcPr>
            <w:tcW w:w="10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(2,037)</w:t>
            </w:r>
          </w:p>
        </w:tc>
        <w:tc>
          <w:tcPr>
            <w:tcW w:w="80" w:type="dxa"/>
            <w:vAlign w:val="bottom"/>
            <w:tcBorders>
              <w:bottom w:val="single" w:sz="8" w:color="D2DCE5"/>
            </w:tcBorders>
            <w:shd w:val="clear" w:color="auto" w:fill="D2DCE5"/>
          </w:tcPr>
          <w:p>
            <w:pPr>
              <w:spacing w:after="0"/>
              <w:rPr>
                <w:sz w:val="19"/>
                <w:szCs w:val="19"/>
                <w:color w:val="auto"/>
              </w:rPr>
            </w:pPr>
          </w:p>
        </w:tc>
        <w:tc>
          <w:tcPr>
            <w:tcW w:w="9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116.9%</w:t>
            </w: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131E29"/>
              </w:rPr>
              <w:t>Other interest expense, net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(1,540)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(920)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131E29"/>
              </w:rPr>
              <w:t>(620)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131E29"/>
                <w:w w:val="97"/>
              </w:rPr>
              <w:t>67.4%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131E29"/>
                <w:w w:val="99"/>
              </w:rPr>
              <w:t>$</w:t>
            </w:r>
          </w:p>
        </w:tc>
        <w:tc>
          <w:tcPr>
            <w:tcW w:w="840" w:type="dxa"/>
            <w:vAlign w:val="bottom"/>
          </w:tcPr>
          <w:p>
            <w:pPr>
              <w:jc w:val="right"/>
              <w:spacing w:after="0"/>
              <w:rPr>
                <w:sz w:val="20"/>
                <w:szCs w:val="20"/>
                <w:color w:val="auto"/>
              </w:rPr>
            </w:pPr>
            <w:r>
              <w:rPr>
                <w:rFonts w:ascii="Arial" w:cs="Arial" w:eastAsia="Arial" w:hAnsi="Arial"/>
                <w:sz w:val="18"/>
                <w:szCs w:val="18"/>
                <w:color w:val="131E29"/>
              </w:rPr>
              <w:t>(2,306)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tcPr>
          <w:p>
            <w:pPr>
              <w:jc w:val="right"/>
              <w:spacing w:after="0"/>
              <w:rPr>
                <w:sz w:val="20"/>
                <w:szCs w:val="20"/>
                <w:color w:val="auto"/>
              </w:rPr>
            </w:pPr>
            <w:r>
              <w:rPr>
                <w:rFonts w:ascii="Arial" w:cs="Arial" w:eastAsia="Arial" w:hAnsi="Arial"/>
                <w:sz w:val="18"/>
                <w:szCs w:val="18"/>
                <w:color w:val="131E29"/>
              </w:rPr>
              <w:t>(1,113)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tcPr>
          <w:p>
            <w:pPr>
              <w:jc w:val="right"/>
              <w:spacing w:after="0"/>
              <w:rPr>
                <w:sz w:val="20"/>
                <w:szCs w:val="20"/>
                <w:color w:val="auto"/>
              </w:rPr>
            </w:pPr>
            <w:r>
              <w:rPr>
                <w:rFonts w:ascii="Arial" w:cs="Arial" w:eastAsia="Arial" w:hAnsi="Arial"/>
                <w:sz w:val="18"/>
                <w:szCs w:val="18"/>
                <w:color w:val="131E29"/>
              </w:rPr>
              <w:t>(1,193)</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131E29"/>
              </w:rPr>
              <w:t>107.2%</w:t>
            </w:r>
          </w:p>
        </w:tc>
      </w:tr>
      <w:tr>
        <w:trPr>
          <w:trHeight w:val="27"/>
        </w:trPr>
        <w:tc>
          <w:tcPr>
            <w:tcW w:w="24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(1,838)</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(1,758)</w:t>
            </w:r>
          </w:p>
        </w:tc>
        <w:tc>
          <w:tcPr>
            <w:tcW w:w="100" w:type="dxa"/>
            <w:vAlign w:val="bottom"/>
            <w:tcBorders>
              <w:bottom w:val="single" w:sz="8" w:color="D2DCE5"/>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840" w:type="dxa"/>
            <w:vAlign w:val="bottom"/>
            <w:tcBorders>
              <w:bottom w:val="single" w:sz="8" w:color="D2DCE5"/>
            </w:tcBorders>
            <w:shd w:val="clear" w:color="auto" w:fill="D2DCE5"/>
          </w:tcPr>
          <w:p>
            <w:pPr>
              <w:jc w:val="center"/>
              <w:ind w:right="10"/>
              <w:spacing w:after="0"/>
              <w:rPr>
                <w:sz w:val="20"/>
                <w:szCs w:val="20"/>
                <w:color w:val="auto"/>
              </w:rPr>
            </w:pPr>
            <w:r>
              <w:rPr>
                <w:rFonts w:ascii="Arial" w:cs="Arial" w:eastAsia="Arial" w:hAnsi="Arial"/>
                <w:sz w:val="18"/>
                <w:szCs w:val="18"/>
                <w:color w:val="131E29"/>
                <w:w w:val="97"/>
              </w:rPr>
              <w:t>95.6%</w:t>
            </w:r>
          </w:p>
        </w:tc>
        <w:tc>
          <w:tcPr>
            <w:tcW w:w="80" w:type="dxa"/>
            <w:vAlign w:val="bottom"/>
            <w:tcBorders>
              <w:bottom w:val="single" w:sz="8" w:color="D2DCE5"/>
            </w:tcBorders>
            <w:shd w:val="clear" w:color="auto" w:fill="D2DCE5"/>
          </w:tcPr>
          <w:p>
            <w:pPr>
              <w:spacing w:after="0"/>
              <w:rPr>
                <w:sz w:val="22"/>
                <w:szCs w:val="22"/>
                <w:color w:val="auto"/>
              </w:rPr>
            </w:pP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(6,085)</w:t>
            </w:r>
          </w:p>
        </w:tc>
        <w:tc>
          <w:tcPr>
            <w:tcW w:w="80" w:type="dxa"/>
            <w:vAlign w:val="bottom"/>
            <w:tcBorders>
              <w:bottom w:val="single" w:sz="8" w:color="D2DCE5"/>
            </w:tcBorders>
            <w:shd w:val="clear" w:color="auto" w:fill="D2DCE5"/>
          </w:tcPr>
          <w:p>
            <w:pPr>
              <w:spacing w:after="0"/>
              <w:rPr>
                <w:sz w:val="22"/>
                <w:szCs w:val="22"/>
                <w:color w:val="auto"/>
              </w:rPr>
            </w:pP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(2,855)</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(3,230)</w:t>
            </w:r>
          </w:p>
        </w:tc>
        <w:tc>
          <w:tcPr>
            <w:tcW w:w="80" w:type="dxa"/>
            <w:vAlign w:val="bottom"/>
            <w:tcBorders>
              <w:bottom w:val="single" w:sz="8" w:color="D2DCE5"/>
            </w:tcBorders>
            <w:shd w:val="clear" w:color="auto" w:fill="D2DCE5"/>
          </w:tcPr>
          <w:p>
            <w:pPr>
              <w:spacing w:after="0"/>
              <w:rPr>
                <w:sz w:val="22"/>
                <w:szCs w:val="22"/>
                <w:color w:val="auto"/>
              </w:rPr>
            </w:pPr>
          </w:p>
        </w:tc>
        <w:tc>
          <w:tcPr>
            <w:tcW w:w="9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rPr>
              <w:t>113.1%</w:t>
            </w:r>
          </w:p>
        </w:tc>
      </w:tr>
      <w:tr>
        <w:trPr>
          <w:trHeight w:val="236"/>
        </w:trPr>
        <w:tc>
          <w:tcPr>
            <w:tcW w:w="2540" w:type="dxa"/>
            <w:vAlign w:val="bottom"/>
            <w:gridSpan w:val="2"/>
          </w:tcPr>
          <w:p>
            <w:pPr>
              <w:ind w:left="20"/>
              <w:spacing w:after="0"/>
              <w:rPr>
                <w:sz w:val="20"/>
                <w:szCs w:val="20"/>
                <w:color w:val="auto"/>
              </w:rPr>
            </w:pPr>
            <w:r>
              <w:rPr>
                <w:rFonts w:ascii="Arial" w:cs="Arial" w:eastAsia="Arial" w:hAnsi="Arial"/>
                <w:sz w:val="18"/>
                <w:szCs w:val="18"/>
                <w:color w:val="131E29"/>
              </w:rPr>
              <w:t>Other income (expense)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131E29"/>
              </w:rPr>
              <w:t>N/M</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131E29"/>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282</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340</w:t>
            </w:r>
          </w:p>
        </w:tc>
        <w:tc>
          <w:tcPr>
            <w:tcW w:w="80" w:type="dxa"/>
            <w:vAlign w:val="bottom"/>
          </w:tcPr>
          <w:p>
            <w:pPr>
              <w:spacing w:after="0"/>
              <w:rPr>
                <w:sz w:val="20"/>
                <w:szCs w:val="20"/>
                <w:color w:val="auto"/>
              </w:rPr>
            </w:pPr>
          </w:p>
        </w:tc>
        <w:tc>
          <w:tcPr>
            <w:tcW w:w="9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131E29"/>
              </w:rPr>
              <w:t>N/M</w:t>
            </w:r>
          </w:p>
        </w:tc>
      </w:tr>
      <w:tr>
        <w:trPr>
          <w:trHeight w:val="27"/>
        </w:trPr>
        <w:tc>
          <w:tcPr>
            <w:tcW w:w="24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2540" w:type="dxa"/>
            <w:vAlign w:val="bottom"/>
            <w:tcBorders>
              <w:bottom w:val="single" w:sz="8" w:color="D2DCE5"/>
            </w:tcBorders>
            <w:gridSpan w:val="2"/>
            <w:shd w:val="clear" w:color="auto" w:fill="D2DCE5"/>
          </w:tcPr>
          <w:p>
            <w:pPr>
              <w:ind w:left="240"/>
              <w:spacing w:after="0"/>
              <w:rPr>
                <w:sz w:val="20"/>
                <w:szCs w:val="20"/>
                <w:color w:val="auto"/>
              </w:rPr>
            </w:pPr>
            <w:r>
              <w:rPr>
                <w:rFonts w:ascii="Arial" w:cs="Arial" w:eastAsia="Arial" w:hAnsi="Arial"/>
                <w:sz w:val="18"/>
                <w:szCs w:val="18"/>
                <w:color w:val="131E29"/>
              </w:rPr>
              <w:t>Total other expense</w:t>
            </w:r>
          </w:p>
        </w:tc>
        <w:tc>
          <w:tcPr>
            <w:tcW w:w="220" w:type="dxa"/>
            <w:vAlign w:val="bottom"/>
            <w:tcBorders>
              <w:bottom w:val="single" w:sz="8" w:color="auto"/>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(3,535)</w:t>
            </w:r>
          </w:p>
        </w:tc>
        <w:tc>
          <w:tcPr>
            <w:tcW w:w="10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(1,843)</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(1,692)</w:t>
            </w:r>
          </w:p>
        </w:tc>
        <w:tc>
          <w:tcPr>
            <w:tcW w:w="100" w:type="dxa"/>
            <w:vAlign w:val="bottom"/>
            <w:tcBorders>
              <w:bottom w:val="single" w:sz="8" w:color="D2DCE5"/>
            </w:tcBorders>
            <w:shd w:val="clear" w:color="auto" w:fill="D2DCE5"/>
          </w:tcPr>
          <w:p>
            <w:pPr>
              <w:spacing w:after="0"/>
              <w:rPr>
                <w:sz w:val="24"/>
                <w:szCs w:val="24"/>
                <w:color w:val="auto"/>
              </w:rPr>
            </w:pPr>
          </w:p>
        </w:tc>
        <w:tc>
          <w:tcPr>
            <w:tcW w:w="100" w:type="dxa"/>
            <w:vAlign w:val="bottom"/>
            <w:tcBorders>
              <w:bottom w:val="single" w:sz="8" w:color="auto"/>
            </w:tcBorders>
            <w:shd w:val="clear" w:color="auto" w:fill="D2DCE5"/>
          </w:tcPr>
          <w:p>
            <w:pPr>
              <w:spacing w:after="0"/>
              <w:rPr>
                <w:sz w:val="24"/>
                <w:szCs w:val="24"/>
                <w:color w:val="auto"/>
              </w:rPr>
            </w:pPr>
          </w:p>
        </w:tc>
        <w:tc>
          <w:tcPr>
            <w:tcW w:w="840" w:type="dxa"/>
            <w:vAlign w:val="bottom"/>
            <w:tcBorders>
              <w:bottom w:val="single" w:sz="8" w:color="auto"/>
            </w:tcBorders>
            <w:shd w:val="clear" w:color="auto" w:fill="D2DCE5"/>
          </w:tcPr>
          <w:p>
            <w:pPr>
              <w:jc w:val="center"/>
              <w:ind w:right="10"/>
              <w:spacing w:after="0"/>
              <w:rPr>
                <w:sz w:val="20"/>
                <w:szCs w:val="20"/>
                <w:color w:val="auto"/>
              </w:rPr>
            </w:pPr>
            <w:r>
              <w:rPr>
                <w:rFonts w:ascii="Arial" w:cs="Arial" w:eastAsia="Arial" w:hAnsi="Arial"/>
                <w:sz w:val="18"/>
                <w:szCs w:val="18"/>
                <w:color w:val="131E29"/>
                <w:w w:val="97"/>
              </w:rPr>
              <w:t>91.8%</w:t>
            </w:r>
          </w:p>
        </w:tc>
        <w:tc>
          <w:tcPr>
            <w:tcW w:w="80" w:type="dxa"/>
            <w:vAlign w:val="bottom"/>
            <w:tcBorders>
              <w:bottom w:val="single" w:sz="8" w:color="D2DCE5"/>
            </w:tcBorders>
            <w:shd w:val="clear" w:color="auto" w:fill="D2DCE5"/>
          </w:tcPr>
          <w:p>
            <w:pPr>
              <w:spacing w:after="0"/>
              <w:rPr>
                <w:sz w:val="24"/>
                <w:szCs w:val="24"/>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(5,803)</w:t>
            </w:r>
          </w:p>
        </w:tc>
        <w:tc>
          <w:tcPr>
            <w:tcW w:w="80" w:type="dxa"/>
            <w:vAlign w:val="bottom"/>
            <w:tcBorders>
              <w:bottom w:val="single" w:sz="8" w:color="D2DCE5"/>
            </w:tcBorders>
            <w:shd w:val="clear" w:color="auto" w:fill="D2DCE5"/>
          </w:tcPr>
          <w:p>
            <w:pPr>
              <w:spacing w:after="0"/>
              <w:rPr>
                <w:sz w:val="24"/>
                <w:szCs w:val="24"/>
                <w:color w:val="auto"/>
              </w:rPr>
            </w:pPr>
          </w:p>
        </w:tc>
        <w:tc>
          <w:tcPr>
            <w:tcW w:w="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(2,913)</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(2,890)</w:t>
            </w:r>
          </w:p>
        </w:tc>
        <w:tc>
          <w:tcPr>
            <w:tcW w:w="80" w:type="dxa"/>
            <w:vAlign w:val="bottom"/>
            <w:tcBorders>
              <w:bottom w:val="single" w:sz="8" w:color="D2DCE5"/>
            </w:tcBorders>
            <w:shd w:val="clear" w:color="auto" w:fill="D2DCE5"/>
          </w:tcPr>
          <w:p>
            <w:pPr>
              <w:spacing w:after="0"/>
              <w:rPr>
                <w:sz w:val="24"/>
                <w:szCs w:val="24"/>
                <w:color w:val="auto"/>
              </w:rPr>
            </w:pPr>
          </w:p>
        </w:tc>
        <w:tc>
          <w:tcPr>
            <w:tcW w:w="9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8"/>
                <w:szCs w:val="18"/>
                <w:color w:val="131E29"/>
                <w:w w:val="97"/>
              </w:rPr>
              <w:t>99.2%</w:t>
            </w:r>
          </w:p>
        </w:tc>
      </w:tr>
      <w:tr>
        <w:trPr>
          <w:trHeight w:val="20"/>
        </w:trPr>
        <w:tc>
          <w:tcPr>
            <w:tcW w:w="24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7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7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7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June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interest expense, net increase was primarily driven by additional finance leases for new shop builds, increased borrowings associated with our credit facility, and activity related to our interest rate swap.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Six Months Ended June 30, 2022 v 2021</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interest expense, net increase was primarily driven by additional finance leases for new shop builds, increased borrowings associated with our credit facility, and activity related to our interest rate swap.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The other income (expense) increase was primarily driven by sales of previously written off Dutchwear inventory.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Income Tax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color w:val="131E29"/>
              </w:rPr>
              <w:t>Three Months Ended 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20" w:type="dxa"/>
            <w:vAlign w:val="bottom"/>
            <w:gridSpan w:val="7"/>
          </w:tcPr>
          <w:p>
            <w:pPr>
              <w:jc w:val="right"/>
              <w:ind w:right="50"/>
              <w:spacing w:after="0"/>
              <w:rPr>
                <w:sz w:val="20"/>
                <w:szCs w:val="20"/>
                <w:color w:val="auto"/>
              </w:rPr>
            </w:pPr>
            <w:r>
              <w:rPr>
                <w:rFonts w:ascii="Arial" w:cs="Arial" w:eastAsia="Arial" w:hAnsi="Arial"/>
                <w:sz w:val="18"/>
                <w:szCs w:val="18"/>
                <w:b w:val="1"/>
                <w:bCs w:val="1"/>
                <w:color w:val="131E29"/>
              </w:rPr>
              <w:t>Six Months Ended June 30,</w:t>
            </w:r>
          </w:p>
        </w:tc>
        <w:tc>
          <w:tcPr>
            <w:tcW w:w="900" w:type="dxa"/>
            <w:vAlign w:val="bottom"/>
          </w:tcPr>
          <w:p>
            <w:pPr>
              <w:spacing w:after="0"/>
              <w:rPr>
                <w:sz w:val="20"/>
                <w:szCs w:val="20"/>
                <w:color w:val="auto"/>
              </w:rPr>
            </w:pPr>
          </w:p>
        </w:tc>
      </w:tr>
      <w:tr>
        <w:trPr>
          <w:trHeight w:val="27"/>
        </w:trPr>
        <w:tc>
          <w:tcPr>
            <w:tcW w:w="22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38"/>
        </w:trPr>
        <w:tc>
          <w:tcPr>
            <w:tcW w:w="22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131E2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2100" w:type="dxa"/>
            <w:vAlign w:val="bottom"/>
            <w:gridSpan w:val="3"/>
          </w:tcPr>
          <w:p>
            <w:pPr>
              <w:ind w:left="480"/>
              <w:spacing w:after="0"/>
              <w:rPr>
                <w:sz w:val="20"/>
                <w:szCs w:val="20"/>
                <w:color w:val="auto"/>
              </w:rPr>
            </w:pPr>
            <w:r>
              <w:rPr>
                <w:rFonts w:ascii="Arial" w:cs="Arial" w:eastAsia="Arial" w:hAnsi="Arial"/>
                <w:sz w:val="18"/>
                <w:szCs w:val="18"/>
                <w:b w:val="1"/>
                <w:bCs w:val="1"/>
                <w:color w:val="131E29"/>
              </w:rPr>
              <w:t>2022 v. 2021</w:t>
            </w:r>
          </w:p>
        </w:tc>
        <w:tc>
          <w:tcPr>
            <w:tcW w:w="24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131E29"/>
              </w:rPr>
              <w:t>2022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131E29"/>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ind w:left="180"/>
              <w:spacing w:after="0"/>
              <w:rPr>
                <w:sz w:val="20"/>
                <w:szCs w:val="20"/>
                <w:color w:val="auto"/>
              </w:rPr>
            </w:pPr>
            <w:r>
              <w:rPr>
                <w:rFonts w:ascii="Arial" w:cs="Arial" w:eastAsia="Arial" w:hAnsi="Arial"/>
                <w:sz w:val="18"/>
                <w:szCs w:val="18"/>
                <w:b w:val="1"/>
                <w:bCs w:val="1"/>
                <w:color w:val="131E29"/>
              </w:rPr>
              <w:t>2022 v. 2021</w:t>
            </w:r>
          </w:p>
        </w:tc>
      </w:tr>
      <w:tr>
        <w:trPr>
          <w:trHeight w:val="25"/>
        </w:trPr>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920" w:type="dxa"/>
            <w:vAlign w:val="bottom"/>
            <w:tcBorders>
              <w:bottom w:val="single" w:sz="8" w:color="131E29"/>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100" w:type="dxa"/>
            <w:vAlign w:val="bottom"/>
            <w:tcBorders>
              <w:bottom w:val="single" w:sz="8" w:color="131E29"/>
            </w:tcBorders>
          </w:tcPr>
          <w:p>
            <w:pPr>
              <w:spacing w:after="0"/>
              <w:rPr>
                <w:sz w:val="2"/>
                <w:szCs w:val="2"/>
                <w:color w:val="auto"/>
              </w:rPr>
            </w:pPr>
          </w:p>
        </w:tc>
        <w:tc>
          <w:tcPr>
            <w:tcW w:w="90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131E29"/>
            </w:tcBorders>
          </w:tcPr>
          <w:p>
            <w:pPr>
              <w:spacing w:after="0"/>
              <w:rPr>
                <w:sz w:val="2"/>
                <w:szCs w:val="2"/>
                <w:color w:val="auto"/>
              </w:rPr>
            </w:pPr>
          </w:p>
        </w:tc>
        <w:tc>
          <w:tcPr>
            <w:tcW w:w="740" w:type="dxa"/>
            <w:vAlign w:val="bottom"/>
            <w:tcBorders>
              <w:bottom w:val="single" w:sz="8" w:color="131E29"/>
            </w:tcBorders>
          </w:tcPr>
          <w:p>
            <w:pPr>
              <w:spacing w:after="0"/>
              <w:rPr>
                <w:sz w:val="2"/>
                <w:szCs w:val="2"/>
                <w:color w:val="auto"/>
              </w:rPr>
            </w:pPr>
          </w:p>
        </w:tc>
        <w:tc>
          <w:tcPr>
            <w:tcW w:w="1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84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800" w:type="dxa"/>
            <w:vAlign w:val="bottom"/>
            <w:tcBorders>
              <w:bottom w:val="single" w:sz="8" w:color="131E29"/>
            </w:tcBorders>
          </w:tcPr>
          <w:p>
            <w:pPr>
              <w:spacing w:after="0"/>
              <w:rPr>
                <w:sz w:val="2"/>
                <w:szCs w:val="2"/>
                <w:color w:val="auto"/>
              </w:rPr>
            </w:pPr>
          </w:p>
        </w:tc>
        <w:tc>
          <w:tcPr>
            <w:tcW w:w="900" w:type="dxa"/>
            <w:vAlign w:val="bottom"/>
            <w:tcBorders>
              <w:bottom w:val="single" w:sz="8" w:color="131E29"/>
            </w:tcBorders>
          </w:tcPr>
          <w:p>
            <w:pPr>
              <w:spacing w:after="0"/>
              <w:rPr>
                <w:sz w:val="2"/>
                <w:szCs w:val="2"/>
                <w:color w:val="auto"/>
              </w:rPr>
            </w:pPr>
          </w:p>
        </w:tc>
      </w:tr>
      <w:tr>
        <w:trPr>
          <w:trHeight w:val="243"/>
        </w:trPr>
        <w:tc>
          <w:tcPr>
            <w:tcW w:w="22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7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885</w:t>
            </w:r>
          </w:p>
        </w:tc>
        <w:tc>
          <w:tcPr>
            <w:tcW w:w="560" w:type="dxa"/>
            <w:vAlign w:val="bottom"/>
            <w:tcBorders>
              <w:bottom w:val="single" w:sz="8" w:color="D2DCE5"/>
            </w:tcBorders>
            <w:gridSpan w:val="3"/>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92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521</w:t>
            </w:r>
          </w:p>
        </w:tc>
        <w:tc>
          <w:tcPr>
            <w:tcW w:w="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ind w:right="270"/>
              <w:spacing w:after="0"/>
              <w:rPr>
                <w:sz w:val="20"/>
                <w:szCs w:val="20"/>
                <w:color w:val="auto"/>
              </w:rPr>
            </w:pPr>
            <w:r>
              <w:rPr>
                <w:rFonts w:ascii="Arial" w:cs="Arial" w:eastAsia="Arial" w:hAnsi="Arial"/>
                <w:sz w:val="18"/>
                <w:szCs w:val="18"/>
                <w:color w:val="131E29"/>
              </w:rPr>
              <w:t>$   364</w:t>
            </w:r>
          </w:p>
        </w:tc>
        <w:tc>
          <w:tcPr>
            <w:tcW w:w="90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rPr>
              <w:t>69.9%</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740" w:type="dxa"/>
            <w:vAlign w:val="bottom"/>
            <w:tcBorders>
              <w:bottom w:val="single" w:sz="8" w:color="D2DCE5"/>
            </w:tcBorders>
            <w:shd w:val="clear" w:color="auto" w:fill="D2DCE5"/>
          </w:tcPr>
          <w:p>
            <w:pPr>
              <w:ind w:left="360"/>
              <w:spacing w:after="0"/>
              <w:rPr>
                <w:sz w:val="20"/>
                <w:szCs w:val="20"/>
                <w:color w:val="auto"/>
              </w:rPr>
            </w:pPr>
            <w:r>
              <w:rPr>
                <w:rFonts w:ascii="Arial" w:cs="Arial" w:eastAsia="Arial" w:hAnsi="Arial"/>
                <w:sz w:val="18"/>
                <w:szCs w:val="18"/>
                <w:color w:val="131E29"/>
              </w:rPr>
              <w:t>671</w:t>
            </w:r>
          </w:p>
        </w:tc>
        <w:tc>
          <w:tcPr>
            <w:tcW w:w="48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84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564</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80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rPr>
              <w:t>107</w:t>
            </w:r>
          </w:p>
        </w:tc>
        <w:tc>
          <w:tcPr>
            <w:tcW w:w="90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19.0%</w:t>
            </w:r>
          </w:p>
        </w:tc>
      </w:tr>
      <w:tr>
        <w:trPr>
          <w:trHeight w:val="243"/>
        </w:trPr>
        <w:tc>
          <w:tcPr>
            <w:tcW w:w="220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131E29"/>
              </w:rPr>
              <w:t>(102.2)%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4.2 %</w:t>
            </w:r>
          </w:p>
        </w:tc>
        <w:tc>
          <w:tcPr>
            <w:tcW w:w="80" w:type="dxa"/>
            <w:vAlign w:val="bottom"/>
          </w:tcPr>
          <w:p>
            <w:pPr>
              <w:spacing w:after="0"/>
              <w:rPr>
                <w:sz w:val="21"/>
                <w:szCs w:val="21"/>
                <w:color w:val="auto"/>
              </w:rPr>
            </w:pPr>
          </w:p>
        </w:tc>
        <w:tc>
          <w:tcPr>
            <w:tcW w:w="1100" w:type="dxa"/>
            <w:vAlign w:val="bottom"/>
          </w:tcPr>
          <w:p>
            <w:pPr>
              <w:ind w:left="500"/>
              <w:spacing w:after="0"/>
              <w:rPr>
                <w:sz w:val="20"/>
                <w:szCs w:val="20"/>
                <w:color w:val="auto"/>
              </w:rPr>
            </w:pPr>
            <w:r>
              <w:rPr>
                <w:rFonts w:ascii="Arial" w:cs="Arial" w:eastAsia="Arial" w:hAnsi="Arial"/>
                <w:sz w:val="18"/>
                <w:szCs w:val="18"/>
                <w:color w:val="131E29"/>
              </w:rPr>
              <w:t>N/A</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131E29"/>
                <w:w w:val="96"/>
              </w:rPr>
              <w:t>N/M</w:t>
            </w:r>
          </w:p>
        </w:tc>
        <w:tc>
          <w:tcPr>
            <w:tcW w:w="240" w:type="dxa"/>
            <w:vAlign w:val="bottom"/>
          </w:tcPr>
          <w:p>
            <w:pPr>
              <w:spacing w:after="0"/>
              <w:rPr>
                <w:sz w:val="21"/>
                <w:szCs w:val="21"/>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131E29"/>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131E29"/>
              </w:rPr>
              <w:t>7.4 %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131E29"/>
              </w:rPr>
              <w:t>N/A</w:t>
            </w:r>
          </w:p>
        </w:tc>
        <w:tc>
          <w:tcPr>
            <w:tcW w:w="900" w:type="dxa"/>
            <w:vAlign w:val="bottom"/>
          </w:tcPr>
          <w:p>
            <w:pPr>
              <w:jc w:val="center"/>
              <w:ind w:right="10"/>
              <w:spacing w:after="0"/>
              <w:rPr>
                <w:sz w:val="20"/>
                <w:szCs w:val="20"/>
                <w:color w:val="auto"/>
              </w:rPr>
            </w:pPr>
            <w:r>
              <w:rPr>
                <w:rFonts w:ascii="Arial" w:cs="Arial" w:eastAsia="Arial" w:hAnsi="Arial"/>
                <w:sz w:val="18"/>
                <w:szCs w:val="18"/>
                <w:color w:val="131E29"/>
                <w:w w:val="96"/>
              </w:rPr>
              <w:t>N/M</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and Six Months Ended June 30, 2022 v 2021</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The tax expense was primarily driven by state taxes, a change in valuation allowance, and the tax expense of the corporate subsidiary, partially offset by the losses allocated from Dutch Bros OpCo to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Overview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We had cash and cash equivalents of $21.3 million and $18.5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For the six months ended June 30, 2022, our principal sources of liquidity were cash flows from our new term loan, revolving credit facilities, and operations. Our principal uses of liquidity for the six months ended June 30, 2022 were to pay off our prior revolving credit facility and fund our new shop builds and working capital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131E29"/>
              </w:rPr>
              <w:t>Six Months Ended June 30,</w:t>
            </w:r>
          </w:p>
        </w:tc>
        <w:tc>
          <w:tcPr>
            <w:tcW w:w="780" w:type="dxa"/>
            <w:vAlign w:val="bottom"/>
          </w:tcPr>
          <w:p>
            <w:pPr>
              <w:spacing w:after="0"/>
              <w:rPr>
                <w:sz w:val="20"/>
                <w:szCs w:val="20"/>
                <w:color w:val="auto"/>
              </w:rPr>
            </w:pPr>
          </w:p>
        </w:tc>
      </w:tr>
      <w:tr>
        <w:trPr>
          <w:trHeight w:val="27"/>
        </w:trPr>
        <w:tc>
          <w:tcPr>
            <w:tcW w:w="59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8"/>
        </w:trPr>
        <w:tc>
          <w:tcPr>
            <w:tcW w:w="594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2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131E29"/>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131E29"/>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ind w:left="520"/>
              <w:spacing w:after="0"/>
              <w:rPr>
                <w:sz w:val="20"/>
                <w:szCs w:val="20"/>
                <w:color w:val="auto"/>
              </w:rPr>
            </w:pPr>
            <w:r>
              <w:rPr>
                <w:rFonts w:ascii="Arial" w:cs="Arial" w:eastAsia="Arial" w:hAnsi="Arial"/>
                <w:sz w:val="18"/>
                <w:szCs w:val="18"/>
                <w:b w:val="1"/>
                <w:bCs w:val="1"/>
                <w:color w:val="131E29"/>
              </w:rPr>
              <w:t>2022 v. 2021</w:t>
            </w:r>
          </w:p>
        </w:tc>
        <w:tc>
          <w:tcPr>
            <w:tcW w:w="780" w:type="dxa"/>
            <w:vAlign w:val="bottom"/>
          </w:tcPr>
          <w:p>
            <w:pPr>
              <w:spacing w:after="0"/>
              <w:rPr>
                <w:sz w:val="20"/>
                <w:szCs w:val="20"/>
                <w:color w:val="auto"/>
              </w:rPr>
            </w:pPr>
          </w:p>
        </w:tc>
      </w:tr>
      <w:tr>
        <w:trPr>
          <w:trHeight w:val="26"/>
        </w:trPr>
        <w:tc>
          <w:tcPr>
            <w:tcW w:w="58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00" w:type="dxa"/>
            <w:vAlign w:val="bottom"/>
            <w:tcBorders>
              <w:bottom w:val="single" w:sz="8" w:color="131E29"/>
            </w:tcBorders>
          </w:tcPr>
          <w:p>
            <w:pPr>
              <w:spacing w:after="0"/>
              <w:rPr>
                <w:sz w:val="2"/>
                <w:szCs w:val="2"/>
                <w:color w:val="auto"/>
              </w:rPr>
            </w:pPr>
          </w:p>
        </w:tc>
        <w:tc>
          <w:tcPr>
            <w:tcW w:w="920" w:type="dxa"/>
            <w:vAlign w:val="bottom"/>
            <w:tcBorders>
              <w:bottom w:val="single" w:sz="8" w:color="131E29"/>
            </w:tcBorders>
          </w:tcPr>
          <w:p>
            <w:pPr>
              <w:spacing w:after="0"/>
              <w:rPr>
                <w:sz w:val="2"/>
                <w:szCs w:val="2"/>
                <w:color w:val="auto"/>
              </w:rPr>
            </w:pPr>
          </w:p>
        </w:tc>
        <w:tc>
          <w:tcPr>
            <w:tcW w:w="100" w:type="dxa"/>
            <w:vAlign w:val="bottom"/>
            <w:tcBorders>
              <w:bottom w:val="single" w:sz="8" w:color="131E29"/>
            </w:tcBorders>
          </w:tcPr>
          <w:p>
            <w:pPr>
              <w:spacing w:after="0"/>
              <w:rPr>
                <w:sz w:val="2"/>
                <w:szCs w:val="2"/>
                <w:color w:val="auto"/>
              </w:rPr>
            </w:pPr>
          </w:p>
        </w:tc>
        <w:tc>
          <w:tcPr>
            <w:tcW w:w="580" w:type="dxa"/>
            <w:vAlign w:val="bottom"/>
            <w:tcBorders>
              <w:bottom w:val="single" w:sz="8" w:color="131E29"/>
            </w:tcBorders>
          </w:tcPr>
          <w:p>
            <w:pPr>
              <w:spacing w:after="0"/>
              <w:rPr>
                <w:sz w:val="2"/>
                <w:szCs w:val="2"/>
                <w:color w:val="auto"/>
              </w:rPr>
            </w:pPr>
          </w:p>
        </w:tc>
        <w:tc>
          <w:tcPr>
            <w:tcW w:w="780" w:type="dxa"/>
            <w:vAlign w:val="bottom"/>
            <w:tcBorders>
              <w:bottom w:val="single" w:sz="8" w:color="131E29"/>
            </w:tcBorders>
          </w:tcPr>
          <w:p>
            <w:pPr>
              <w:spacing w:after="0"/>
              <w:rPr>
                <w:sz w:val="2"/>
                <w:szCs w:val="2"/>
                <w:color w:val="auto"/>
              </w:rPr>
            </w:pPr>
          </w:p>
        </w:tc>
      </w:tr>
      <w:tr>
        <w:trPr>
          <w:trHeight w:val="243"/>
        </w:trPr>
        <w:tc>
          <w:tcPr>
            <w:tcW w:w="5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flows provided by operating activities</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16,713</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080" w:type="dxa"/>
            <w:vAlign w:val="bottom"/>
            <w:tcBorders>
              <w:bottom w:val="single" w:sz="8" w:color="D2DCE5"/>
            </w:tcBorders>
            <w:shd w:val="clear" w:color="auto" w:fill="D2DCE5"/>
          </w:tcPr>
          <w:p>
            <w:pPr>
              <w:jc w:val="center"/>
              <w:ind w:left="270"/>
              <w:spacing w:after="0"/>
              <w:rPr>
                <w:sz w:val="20"/>
                <w:szCs w:val="20"/>
                <w:color w:val="auto"/>
              </w:rPr>
            </w:pPr>
            <w:r>
              <w:rPr>
                <w:rFonts w:ascii="Arial" w:cs="Arial" w:eastAsia="Arial" w:hAnsi="Arial"/>
                <w:sz w:val="18"/>
                <w:szCs w:val="18"/>
                <w:color w:val="131E29"/>
              </w:rPr>
              <w:t>56,199</w:t>
            </w: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(39,486)</w:t>
            </w:r>
          </w:p>
        </w:tc>
        <w:tc>
          <w:tcPr>
            <w:tcW w:w="10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spacing w:after="0"/>
              <w:rPr>
                <w:sz w:val="21"/>
                <w:szCs w:val="21"/>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(70.3)%</w:t>
            </w:r>
          </w:p>
        </w:tc>
      </w:tr>
      <w:tr>
        <w:trPr>
          <w:trHeight w:val="243"/>
        </w:trPr>
        <w:tc>
          <w:tcPr>
            <w:tcW w:w="5940" w:type="dxa"/>
            <w:vAlign w:val="bottom"/>
            <w:gridSpan w:val="2"/>
          </w:tcPr>
          <w:p>
            <w:pPr>
              <w:ind w:left="20"/>
              <w:spacing w:after="0"/>
              <w:rPr>
                <w:sz w:val="20"/>
                <w:szCs w:val="20"/>
                <w:color w:val="auto"/>
              </w:rPr>
            </w:pPr>
            <w:r>
              <w:rPr>
                <w:rFonts w:ascii="Arial" w:cs="Arial" w:eastAsia="Arial" w:hAnsi="Arial"/>
                <w:sz w:val="18"/>
                <w:szCs w:val="18"/>
                <w:color w:val="131E29"/>
              </w:rPr>
              <w:t>Net cash flows used in investing activities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31E29"/>
              </w:rPr>
              <w:t>(88,633)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250"/>
              <w:spacing w:after="0"/>
              <w:rPr>
                <w:sz w:val="20"/>
                <w:szCs w:val="20"/>
                <w:color w:val="auto"/>
              </w:rPr>
            </w:pPr>
            <w:r>
              <w:rPr>
                <w:rFonts w:ascii="Arial" w:cs="Arial" w:eastAsia="Arial" w:hAnsi="Arial"/>
                <w:sz w:val="18"/>
                <w:szCs w:val="18"/>
                <w:color w:val="131E29"/>
                <w:w w:val="98"/>
              </w:rPr>
              <w:t>(36,386)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(52,247)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131E29"/>
              </w:rPr>
              <w:t>143.6 %</w:t>
            </w:r>
          </w:p>
        </w:tc>
      </w:tr>
      <w:tr>
        <w:trPr>
          <w:trHeight w:val="27"/>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(used in) financing activities</w:t>
            </w:r>
          </w:p>
        </w:tc>
        <w:tc>
          <w:tcPr>
            <w:tcW w:w="280" w:type="dxa"/>
            <w:vAlign w:val="bottom"/>
            <w:tcBorders>
              <w:bottom w:val="single" w:sz="8" w:color="D2DCE5"/>
            </w:tcBorders>
            <w:shd w:val="clear" w:color="auto" w:fill="D2DCE5"/>
          </w:tcPr>
          <w:p>
            <w:pPr>
              <w:spacing w:after="0"/>
              <w:rPr>
                <w:sz w:val="23"/>
                <w:szCs w:val="23"/>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74,707</w:t>
            </w:r>
          </w:p>
        </w:tc>
        <w:tc>
          <w:tcPr>
            <w:tcW w:w="100" w:type="dxa"/>
            <w:vAlign w:val="bottom"/>
            <w:tcBorders>
              <w:bottom w:val="single" w:sz="8" w:color="D2DCE5"/>
            </w:tcBorders>
            <w:shd w:val="clear" w:color="auto" w:fill="D2DCE5"/>
          </w:tcPr>
          <w:p>
            <w:pPr>
              <w:spacing w:after="0"/>
              <w:rPr>
                <w:sz w:val="23"/>
                <w:szCs w:val="23"/>
                <w:color w:val="auto"/>
              </w:rPr>
            </w:pPr>
          </w:p>
        </w:tc>
        <w:tc>
          <w:tcPr>
            <w:tcW w:w="14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center"/>
              <w:ind w:left="250"/>
              <w:spacing w:after="0"/>
              <w:rPr>
                <w:sz w:val="20"/>
                <w:szCs w:val="20"/>
                <w:color w:val="auto"/>
              </w:rPr>
            </w:pPr>
            <w:r>
              <w:rPr>
                <w:rFonts w:ascii="Arial" w:cs="Arial" w:eastAsia="Arial" w:hAnsi="Arial"/>
                <w:sz w:val="18"/>
                <w:szCs w:val="18"/>
                <w:color w:val="131E29"/>
                <w:w w:val="98"/>
              </w:rPr>
              <w:t>(31,876)</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106,583</w:t>
            </w:r>
          </w:p>
        </w:tc>
        <w:tc>
          <w:tcPr>
            <w:tcW w:w="100" w:type="dxa"/>
            <w:vAlign w:val="bottom"/>
            <w:tcBorders>
              <w:bottom w:val="single" w:sz="8" w:color="D2DCE5"/>
            </w:tcBorders>
            <w:shd w:val="clear" w:color="auto" w:fill="D2DCE5"/>
          </w:tcPr>
          <w:p>
            <w:pPr>
              <w:spacing w:after="0"/>
              <w:rPr>
                <w:sz w:val="23"/>
                <w:szCs w:val="23"/>
                <w:color w:val="auto"/>
              </w:rPr>
            </w:pPr>
          </w:p>
        </w:tc>
        <w:tc>
          <w:tcPr>
            <w:tcW w:w="580" w:type="dxa"/>
            <w:vAlign w:val="bottom"/>
            <w:tcBorders>
              <w:bottom w:val="single" w:sz="8" w:color="D2DCE5"/>
            </w:tcBorders>
            <w:shd w:val="clear" w:color="auto" w:fill="D2DCE5"/>
          </w:tcPr>
          <w:p>
            <w:pPr>
              <w:spacing w:after="0"/>
              <w:rPr>
                <w:sz w:val="23"/>
                <w:szCs w:val="23"/>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N/M</w:t>
            </w:r>
          </w:p>
        </w:tc>
      </w:tr>
      <w:tr>
        <w:trPr>
          <w:trHeight w:val="237"/>
        </w:trPr>
        <w:tc>
          <w:tcPr>
            <w:tcW w:w="5940" w:type="dxa"/>
            <w:vAlign w:val="bottom"/>
            <w:gridSpan w:val="2"/>
          </w:tcPr>
          <w:p>
            <w:pPr>
              <w:ind w:left="20"/>
              <w:spacing w:after="0"/>
              <w:rPr>
                <w:sz w:val="20"/>
                <w:szCs w:val="20"/>
                <w:color w:val="auto"/>
              </w:rPr>
            </w:pPr>
            <w:r>
              <w:rPr>
                <w:rFonts w:ascii="Arial" w:cs="Arial" w:eastAsia="Arial" w:hAnsi="Arial"/>
                <w:sz w:val="18"/>
                <w:szCs w:val="18"/>
                <w:color w:val="131E29"/>
              </w:rPr>
              <w:t>Net increase (decrease) in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080" w:type="dxa"/>
            <w:vAlign w:val="bottom"/>
            <w:tcBorders>
              <w:top w:val="single" w:sz="8" w:color="auto"/>
            </w:tcBorders>
          </w:tcPr>
          <w:p>
            <w:pPr>
              <w:jc w:val="center"/>
              <w:ind w:left="250"/>
              <w:spacing w:after="0"/>
              <w:rPr>
                <w:sz w:val="20"/>
                <w:szCs w:val="20"/>
                <w:color w:val="auto"/>
              </w:rPr>
            </w:pPr>
            <w:r>
              <w:rPr>
                <w:rFonts w:ascii="Arial" w:cs="Arial" w:eastAsia="Arial" w:hAnsi="Arial"/>
                <w:sz w:val="18"/>
                <w:szCs w:val="18"/>
                <w:color w:val="131E29"/>
                <w:w w:val="98"/>
              </w:rPr>
              <w:t>(12,063)</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14,850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(123.1)%</w:t>
            </w:r>
          </w:p>
        </w:tc>
      </w:tr>
      <w:tr>
        <w:trPr>
          <w:trHeight w:val="27"/>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9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280" w:type="dxa"/>
            <w:vAlign w:val="bottom"/>
            <w:tcBorders>
              <w:bottom w:val="single" w:sz="8" w:color="D2DCE5"/>
            </w:tcBorders>
            <w:shd w:val="clear" w:color="auto" w:fill="D2DCE5"/>
          </w:tcPr>
          <w:p>
            <w:pPr>
              <w:spacing w:after="0"/>
              <w:rPr>
                <w:sz w:val="23"/>
                <w:szCs w:val="23"/>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18,506</w:t>
            </w:r>
          </w:p>
        </w:tc>
        <w:tc>
          <w:tcPr>
            <w:tcW w:w="100" w:type="dxa"/>
            <w:vAlign w:val="bottom"/>
            <w:tcBorders>
              <w:bottom w:val="single" w:sz="8" w:color="D2DCE5"/>
            </w:tcBorders>
            <w:shd w:val="clear" w:color="auto" w:fill="D2DCE5"/>
          </w:tcPr>
          <w:p>
            <w:pPr>
              <w:spacing w:after="0"/>
              <w:rPr>
                <w:sz w:val="23"/>
                <w:szCs w:val="23"/>
                <w:color w:val="auto"/>
              </w:rPr>
            </w:pPr>
          </w:p>
        </w:tc>
        <w:tc>
          <w:tcPr>
            <w:tcW w:w="140" w:type="dxa"/>
            <w:vAlign w:val="bottom"/>
            <w:tcBorders>
              <w:bottom w:val="single" w:sz="8" w:color="D2DCE5"/>
            </w:tcBorders>
            <w:shd w:val="clear" w:color="auto" w:fill="D2DCE5"/>
          </w:tcPr>
          <w:p>
            <w:pPr>
              <w:spacing w:after="0"/>
              <w:rPr>
                <w:sz w:val="23"/>
                <w:szCs w:val="23"/>
                <w:color w:val="auto"/>
              </w:rPr>
            </w:pPr>
          </w:p>
        </w:tc>
        <w:tc>
          <w:tcPr>
            <w:tcW w:w="1080" w:type="dxa"/>
            <w:vAlign w:val="bottom"/>
            <w:tcBorders>
              <w:bottom w:val="single" w:sz="8" w:color="D2DCE5"/>
            </w:tcBorders>
            <w:shd w:val="clear" w:color="auto" w:fill="D2DCE5"/>
          </w:tcPr>
          <w:p>
            <w:pPr>
              <w:jc w:val="center"/>
              <w:ind w:left="270"/>
              <w:spacing w:after="0"/>
              <w:rPr>
                <w:sz w:val="20"/>
                <w:szCs w:val="20"/>
                <w:color w:val="auto"/>
              </w:rPr>
            </w:pPr>
            <w:r>
              <w:rPr>
                <w:rFonts w:ascii="Arial" w:cs="Arial" w:eastAsia="Arial" w:hAnsi="Arial"/>
                <w:sz w:val="18"/>
                <w:szCs w:val="18"/>
                <w:color w:val="131E29"/>
              </w:rPr>
              <w:t>31,640</w:t>
            </w:r>
          </w:p>
        </w:tc>
        <w:tc>
          <w:tcPr>
            <w:tcW w:w="8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(13,134)</w:t>
            </w:r>
          </w:p>
        </w:tc>
        <w:tc>
          <w:tcPr>
            <w:tcW w:w="100" w:type="dxa"/>
            <w:vAlign w:val="bottom"/>
            <w:tcBorders>
              <w:bottom w:val="single" w:sz="8" w:color="D2DCE5"/>
            </w:tcBorders>
            <w:shd w:val="clear" w:color="auto" w:fill="D2DCE5"/>
          </w:tcPr>
          <w:p>
            <w:pPr>
              <w:spacing w:after="0"/>
              <w:rPr>
                <w:sz w:val="23"/>
                <w:szCs w:val="23"/>
                <w:color w:val="auto"/>
              </w:rPr>
            </w:pPr>
          </w:p>
        </w:tc>
        <w:tc>
          <w:tcPr>
            <w:tcW w:w="580" w:type="dxa"/>
            <w:vAlign w:val="bottom"/>
            <w:tcBorders>
              <w:bottom w:val="single" w:sz="8" w:color="D2DCE5"/>
            </w:tcBorders>
            <w:shd w:val="clear" w:color="auto" w:fill="D2DCE5"/>
          </w:tcPr>
          <w:p>
            <w:pPr>
              <w:spacing w:after="0"/>
              <w:rPr>
                <w:sz w:val="23"/>
                <w:szCs w:val="23"/>
                <w:color w:val="auto"/>
              </w:rPr>
            </w:pPr>
          </w:p>
        </w:tc>
        <w:tc>
          <w:tcPr>
            <w:tcW w:w="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(41.5)%</w:t>
            </w:r>
          </w:p>
        </w:tc>
      </w:tr>
      <w:tr>
        <w:trPr>
          <w:trHeight w:val="263"/>
        </w:trPr>
        <w:tc>
          <w:tcPr>
            <w:tcW w:w="5940" w:type="dxa"/>
            <w:vAlign w:val="bottom"/>
            <w:gridSpan w:val="2"/>
          </w:tcPr>
          <w:p>
            <w:pPr>
              <w:ind w:left="20"/>
              <w:spacing w:after="0"/>
              <w:rPr>
                <w:sz w:val="20"/>
                <w:szCs w:val="20"/>
                <w:color w:val="auto"/>
              </w:rPr>
            </w:pPr>
            <w:r>
              <w:rPr>
                <w:rFonts w:ascii="Arial" w:cs="Arial" w:eastAsia="Arial" w:hAnsi="Arial"/>
                <w:sz w:val="18"/>
                <w:szCs w:val="18"/>
                <w:color w:val="131E29"/>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21,293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080" w:type="dxa"/>
            <w:vAlign w:val="bottom"/>
            <w:tcBorders>
              <w:top w:val="single" w:sz="8" w:color="auto"/>
              <w:bottom w:val="single" w:sz="8" w:color="auto"/>
            </w:tcBorders>
          </w:tcPr>
          <w:p>
            <w:pPr>
              <w:jc w:val="center"/>
              <w:ind w:left="270"/>
              <w:spacing w:after="0"/>
              <w:rPr>
                <w:sz w:val="20"/>
                <w:szCs w:val="20"/>
                <w:color w:val="auto"/>
              </w:rPr>
            </w:pPr>
            <w:r>
              <w:rPr>
                <w:rFonts w:ascii="Arial" w:cs="Arial" w:eastAsia="Arial" w:hAnsi="Arial"/>
                <w:sz w:val="18"/>
                <w:szCs w:val="18"/>
                <w:color w:val="131E29"/>
              </w:rPr>
              <w:t>19,577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1,716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8.8 %</w:t>
            </w:r>
          </w:p>
        </w:tc>
      </w:tr>
      <w:tr>
        <w:trPr>
          <w:trHeight w:val="21"/>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The decrease in operating activities cash flows was primarily driven by higher cost of sales and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Investing Activities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investing activities cash outflows was primarily driven by investment in capital expenditures as a result of new company-operated shop openings and our acquisition of franchise shops.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Financing Activities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The increase in financing activities cash flows was primarily driven by a special non-recurring distribution to our continuing members in the prior year, partially offset by lower net proceeds from our credit facilities.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Requirements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We believe that cash provided by operating activities, cash and cash equivalents, and proceeds from our 2022 Credit Facility are adequate to fund our debt service requirements, operating lease obligations, and working capital obligations for at least the next 12 months.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future capital requirements may vary materially from period to period and will depend on many factors, primarily our expansion and growth by opening additional company-operated shops and/or reacquiring existing franchised shops. We currently expect to fund our material cash requirements in the long term with additional proceeds from our 2022 Credit Facility, but we may also seek additional debt or equity financing.</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As of June 30, 2022, cash requirements for the following items have materially changed from our Annual Report on Form 10-K for the year ended December 31, 2021:</w:t>
      </w:r>
    </w:p>
    <w:p>
      <w:pPr>
        <w:spacing w:after="0" w:line="126" w:lineRule="exact"/>
        <w:rPr>
          <w:sz w:val="20"/>
          <w:szCs w:val="20"/>
          <w:color w:val="auto"/>
        </w:rPr>
      </w:pPr>
    </w:p>
    <w:p>
      <w:pPr>
        <w:ind w:left="340" w:right="20" w:hanging="332"/>
        <w:spacing w:after="0" w:line="282" w:lineRule="auto"/>
        <w:tabs>
          <w:tab w:leader="none" w:pos="335" w:val="left"/>
        </w:tabs>
        <w:numPr>
          <w:ilvl w:val="0"/>
          <w:numId w:val="31"/>
        </w:numPr>
        <w:rPr>
          <w:rFonts w:ascii="Arial" w:cs="Arial" w:eastAsia="Arial" w:hAnsi="Arial"/>
          <w:sz w:val="18"/>
          <w:szCs w:val="18"/>
          <w:color w:val="131E29"/>
        </w:rPr>
      </w:pPr>
      <w:r>
        <w:rPr>
          <w:rFonts w:ascii="Arial" w:cs="Arial" w:eastAsia="Arial" w:hAnsi="Arial"/>
          <w:sz w:val="18"/>
          <w:szCs w:val="18"/>
          <w:color w:val="006098"/>
        </w:rPr>
        <w:t xml:space="preserve">Operating lease obligations </w:t>
      </w:r>
      <w:r>
        <w:rPr>
          <w:rFonts w:ascii="Arial" w:cs="Arial" w:eastAsia="Arial" w:hAnsi="Arial"/>
          <w:sz w:val="18"/>
          <w:szCs w:val="18"/>
          <w:color w:val="131E29"/>
        </w:rPr>
        <w:t>— increased approximately $34 million from the adoption of ASC 842,</w:t>
      </w:r>
      <w:r>
        <w:rPr>
          <w:rFonts w:ascii="Arial" w:cs="Arial" w:eastAsia="Arial" w:hAnsi="Arial"/>
          <w:sz w:val="18"/>
          <w:szCs w:val="18"/>
          <w:color w:val="006098"/>
        </w:rPr>
        <w:t xml:space="preserve"> </w:t>
      </w:r>
      <w:r>
        <w:rPr>
          <w:rFonts w:ascii="Arial" w:cs="Arial" w:eastAsia="Arial" w:hAnsi="Arial"/>
          <w:sz w:val="18"/>
          <w:szCs w:val="18"/>
          <w:i w:val="1"/>
          <w:iCs w:val="1"/>
          <w:color w:val="131E29"/>
        </w:rPr>
        <w:t>Leases,</w:t>
      </w:r>
      <w:r>
        <w:rPr>
          <w:rFonts w:ascii="Arial" w:cs="Arial" w:eastAsia="Arial" w:hAnsi="Arial"/>
          <w:sz w:val="18"/>
          <w:szCs w:val="18"/>
          <w:color w:val="006098"/>
        </w:rPr>
        <w:t xml:space="preserve"> </w:t>
      </w:r>
      <w:r>
        <w:rPr>
          <w:rFonts w:ascii="Arial" w:cs="Arial" w:eastAsia="Arial" w:hAnsi="Arial"/>
          <w:sz w:val="18"/>
          <w:szCs w:val="18"/>
          <w:color w:val="131E29"/>
        </w:rPr>
        <w:t>and newly commenced</w:t>
      </w:r>
      <w:r>
        <w:rPr>
          <w:rFonts w:ascii="Arial" w:cs="Arial" w:eastAsia="Arial" w:hAnsi="Arial"/>
          <w:sz w:val="18"/>
          <w:szCs w:val="18"/>
          <w:color w:val="006098"/>
        </w:rPr>
        <w:t xml:space="preserve"> </w:t>
      </w:r>
      <w:r>
        <w:rPr>
          <w:rFonts w:ascii="Arial" w:cs="Arial" w:eastAsia="Arial" w:hAnsi="Arial"/>
          <w:sz w:val="18"/>
          <w:szCs w:val="18"/>
          <w:color w:val="131E29"/>
        </w:rPr>
        <w:t>leases during the six months ended June 30, 2022.</w:t>
      </w:r>
    </w:p>
    <w:p>
      <w:pPr>
        <w:spacing w:after="0" w:line="107" w:lineRule="exact"/>
        <w:rPr>
          <w:rFonts w:ascii="Arial" w:cs="Arial" w:eastAsia="Arial" w:hAnsi="Arial"/>
          <w:sz w:val="18"/>
          <w:szCs w:val="18"/>
          <w:color w:val="131E29"/>
        </w:rPr>
      </w:pPr>
    </w:p>
    <w:p>
      <w:pPr>
        <w:ind w:left="340" w:hanging="332"/>
        <w:spacing w:after="0" w:line="282" w:lineRule="auto"/>
        <w:tabs>
          <w:tab w:leader="none" w:pos="335" w:val="left"/>
        </w:tabs>
        <w:numPr>
          <w:ilvl w:val="0"/>
          <w:numId w:val="31"/>
        </w:numPr>
        <w:rPr>
          <w:rFonts w:ascii="Arial" w:cs="Arial" w:eastAsia="Arial" w:hAnsi="Arial"/>
          <w:sz w:val="18"/>
          <w:szCs w:val="18"/>
          <w:color w:val="131E29"/>
        </w:rPr>
      </w:pPr>
      <w:r>
        <w:rPr>
          <w:rFonts w:ascii="Arial" w:cs="Arial" w:eastAsia="Arial" w:hAnsi="Arial"/>
          <w:sz w:val="18"/>
          <w:szCs w:val="18"/>
          <w:color w:val="006098"/>
        </w:rPr>
        <w:t xml:space="preserve">Finance lease obligations </w:t>
      </w:r>
      <w:r>
        <w:rPr>
          <w:rFonts w:ascii="Arial" w:cs="Arial" w:eastAsia="Arial" w:hAnsi="Arial"/>
          <w:sz w:val="18"/>
          <w:szCs w:val="18"/>
          <w:color w:val="131E29"/>
        </w:rPr>
        <w:t>— increased approximately $125 million from the adoption of ASC 842,</w:t>
      </w:r>
      <w:r>
        <w:rPr>
          <w:rFonts w:ascii="Arial" w:cs="Arial" w:eastAsia="Arial" w:hAnsi="Arial"/>
          <w:sz w:val="18"/>
          <w:szCs w:val="18"/>
          <w:color w:val="006098"/>
        </w:rPr>
        <w:t xml:space="preserve"> </w:t>
      </w:r>
      <w:r>
        <w:rPr>
          <w:rFonts w:ascii="Arial" w:cs="Arial" w:eastAsia="Arial" w:hAnsi="Arial"/>
          <w:sz w:val="18"/>
          <w:szCs w:val="18"/>
          <w:i w:val="1"/>
          <w:iCs w:val="1"/>
          <w:color w:val="131E29"/>
        </w:rPr>
        <w:t>Leases,</w:t>
      </w:r>
      <w:r>
        <w:rPr>
          <w:rFonts w:ascii="Arial" w:cs="Arial" w:eastAsia="Arial" w:hAnsi="Arial"/>
          <w:sz w:val="18"/>
          <w:szCs w:val="18"/>
          <w:color w:val="006098"/>
        </w:rPr>
        <w:t xml:space="preserve"> </w:t>
      </w:r>
      <w:r>
        <w:rPr>
          <w:rFonts w:ascii="Arial" w:cs="Arial" w:eastAsia="Arial" w:hAnsi="Arial"/>
          <w:sz w:val="18"/>
          <w:szCs w:val="18"/>
          <w:color w:val="131E29"/>
        </w:rPr>
        <w:t>and newly commenced leases</w:t>
      </w:r>
      <w:r>
        <w:rPr>
          <w:rFonts w:ascii="Arial" w:cs="Arial" w:eastAsia="Arial" w:hAnsi="Arial"/>
          <w:sz w:val="18"/>
          <w:szCs w:val="18"/>
          <w:color w:val="006098"/>
        </w:rPr>
        <w:t xml:space="preserve"> </w:t>
      </w:r>
      <w:r>
        <w:rPr>
          <w:rFonts w:ascii="Arial" w:cs="Arial" w:eastAsia="Arial" w:hAnsi="Arial"/>
          <w:sz w:val="18"/>
          <w:szCs w:val="18"/>
          <w:color w:val="131E29"/>
        </w:rPr>
        <w:t>during the six months ended June 30, 2022.</w:t>
      </w:r>
    </w:p>
    <w:p>
      <w:pPr>
        <w:spacing w:after="0" w:line="125"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1"/>
        </w:numPr>
        <w:rPr>
          <w:rFonts w:ascii="Arial" w:cs="Arial" w:eastAsia="Arial" w:hAnsi="Arial"/>
          <w:sz w:val="18"/>
          <w:szCs w:val="18"/>
          <w:color w:val="131E29"/>
        </w:rPr>
      </w:pPr>
      <w:r>
        <w:rPr>
          <w:rFonts w:ascii="Arial" w:cs="Arial" w:eastAsia="Arial" w:hAnsi="Arial"/>
          <w:sz w:val="18"/>
          <w:szCs w:val="18"/>
          <w:color w:val="006098"/>
        </w:rPr>
        <w:t xml:space="preserve">Debt obligations </w:t>
      </w:r>
      <w:r>
        <w:rPr>
          <w:rFonts w:ascii="Arial" w:cs="Arial" w:eastAsia="Arial" w:hAnsi="Arial"/>
          <w:sz w:val="18"/>
          <w:szCs w:val="18"/>
          <w:color w:val="131E29"/>
        </w:rPr>
        <w:t>— increased approximately $83 million on a net basis due to our new 2022 Credit Facility for the six months ended June</w:t>
      </w:r>
      <w:r>
        <w:rPr>
          <w:rFonts w:ascii="Arial" w:cs="Arial" w:eastAsia="Arial" w:hAnsi="Arial"/>
          <w:sz w:val="18"/>
          <w:szCs w:val="18"/>
          <w:color w:val="006098"/>
        </w:rPr>
        <w:t xml:space="preserve"> </w:t>
      </w:r>
      <w:r>
        <w:rPr>
          <w:rFonts w:ascii="Arial" w:cs="Arial" w:eastAsia="Arial" w:hAnsi="Arial"/>
          <w:sz w:val="18"/>
          <w:szCs w:val="18"/>
          <w:color w:val="131E29"/>
        </w:rPr>
        <w:t>30, 2022.</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Senior Secured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JP Morgan Credit Facility</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On February 28, 2022 (the Effective Date) we amended our Senior Secured Credit Facility with JPMorgan Chase, N.A. The 2022 Credit Facility has a total capacity of $500 million, consisting of a $250 million revolving credit facility, a term loan facility of up to $100 million, and a delayed draw term loan facility of up to $150 million. The revolving credit facility includes sub-limits for issuance of letters of credit and swing line loans of up to $ 50 million and $15 million, respectively. It also contains an option allowing Dutch Bros PubCo to increase the size of the 2022 Credit Facility by up to an additional $150 million, with the agreement of the committing lenders. The 2022 Credit Facility expires five years after the Effective Date.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Upon entering into the 2022 Credit Facility, we drew a $100 million term loan and approximately $28 million in revolving loans, and the existing credit facility was repaid and terminated.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Obligations under the 2022 Credit Facility are guaranteed by Dutch Bros OpCo and its subsidiaries, and secured by a first priority perfected security interest in substantially all of the assets of the guarantors.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Interest Rate Swap Contract</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On April 1, 2022, Dutch Bros PubCo completed an interest rate swap transaction with JPMorgan Chase Bank, N.A. as administrative agent and other financial institutions as the lenders party thereto, with respect to $70 million of the term loan under the 2022 Credit Facility. The purpose of the floating-to-fixed interest rate swap was to fix the term loan interest rate at 2.67%. The interest rate swap matures on February 28, 2027.</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Seasonality</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Our business is subject to seasonal fluctuations in that our system sales are typically nominally higher during the summer months affecting the second and third quarters.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Critical Accounting Estimates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consolidated financial statements. While we believe that our estimates, assumptions, and judgments are reasonable, they are based on information available when the estimate was made.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Material changes to our critical accounting estimates from those disclosed in Part II, Item 7 of our Annual Report on Form 10-K for the year ended December 31, 2021 are listed below. Refer also to NOTE 2 — Basis of Presentation and Summary of Significant Accounting Policies, NOTE 3 — Revenue Recognition, and NOTE 8 — Leases within the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Dutch Rewards Loyalty Program</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Eligible customers who register for the Dutch Rewards loyalty program earn points for every dollar spent. After accumulating a certain number of points, the customer earns a reward that can be redeemed for a free drink. Earned rewards expire six months after they are issued, and points collected but not redeemed expire after six months.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estimation of the standalone selling price of points and other rewards issued to customers involves several assumptions, primarily the estimated value of product for which the reward is expected to be redeemed and the probability that the points or reward will expire. Our estimate of points and other rewards we expect to be redeemed is based on historical company-specific data. These inputs are subject to change over time due to factors such as menu price increases, changes in points redemption options, and changes in customer behavior.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Leases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At the commencement of each lease, we evaluate the lease agreement to determine whether it is an operating or finance lease. The evaluation requires significant judgments in determining the fair value of the lease right-of-use asset and the lease liability and appropriate lease terms.</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Our lease agreements generally do not provide an implicit interest rate; as such, the discount rate used to measure the initial lease liability is equal to the rate the Company would pay on a collateralized basis to borrow an amount equal to the lease payments under similar terms. The discount rate is subject to fluctuation based on market interest rates and our credit risk profile.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also estimate the lease term at commencement. The lease term commences on the date when we take possession of the leased property, irrespective of the contractual lease payments schedule. To determine the length of the lease term at inception, we consider both termination and renewal option periods available. Reasonably certain renewal periods are included in the lease term at commencement, and are generally based on historical leasing activity.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31E29"/>
        </w:rPr>
        <w:t>Variations in judgment applied to these estimates could result in material differences such as the following:</w:t>
      </w:r>
    </w:p>
    <w:p>
      <w:pPr>
        <w:spacing w:after="0" w:line="171"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Lease expenses, including rent, depreciation and amortization</w:t>
      </w:r>
    </w:p>
    <w:p>
      <w:pPr>
        <w:spacing w:after="0" w:line="171" w:lineRule="exact"/>
        <w:rPr>
          <w:rFonts w:ascii="Arial" w:cs="Arial" w:eastAsia="Arial" w:hAnsi="Arial"/>
          <w:sz w:val="18"/>
          <w:szCs w:val="18"/>
          <w:color w:val="131E29"/>
        </w:rPr>
      </w:pPr>
    </w:p>
    <w:p>
      <w:pPr>
        <w:ind w:left="280" w:hanging="272"/>
        <w:spacing w:after="0"/>
        <w:tabs>
          <w:tab w:leader="none" w:pos="28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Fair value of lease right-of-use asset and lease liability</w:t>
      </w:r>
    </w:p>
    <w:p>
      <w:pPr>
        <w:spacing w:after="0" w:line="171" w:lineRule="exact"/>
        <w:rPr>
          <w:rFonts w:ascii="Arial" w:cs="Arial" w:eastAsia="Arial" w:hAnsi="Arial"/>
          <w:sz w:val="18"/>
          <w:szCs w:val="18"/>
          <w:color w:val="131E29"/>
        </w:rPr>
      </w:pPr>
    </w:p>
    <w:p>
      <w:pPr>
        <w:ind w:left="280" w:hanging="272"/>
        <w:spacing w:after="0"/>
        <w:tabs>
          <w:tab w:leader="none" w:pos="28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Reasonably certain lease term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non-GAAP financial measures reflect adjustments based on one or more of the following items. These non-GAAP financial measures should not be considered a substitute for, or superior to, financial measures calculated in accordance with GAAP, and the financial results calculated in accordance with U.S. GAAP and reconciliations from these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contribution (in dollars and as a percentage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Company-operated segment gross profit, before company-operated shop depreciation and amortization. Company-operated shop contribution in dollars (as defined), taken as a percentage of company-operated shop revenue.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 (in dollars and as a percentage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Net income (loss) before interest expense (net of interest income), income taxes expense (benefit), and depreciation and amortization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Defined as EBITDA (as defined above), excluding equity-based compensation, expenses associated with equity offerings, COVID-19: “Thank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You” pay and catastrophic leave expenses, COVID-19: prepaid costs not utilized, and costs incurred for company-wide milestone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31E29"/>
        </w:rPr>
        <w:t>Adjusted EBITDA in dollars (as defined), taken as a percentage of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Non-cash expenses related to the grant and vesting of stock awards, restricted stock awards and restricted stock units in Dutch Bros PubCo and/or Profit Interest Units in Dutch Bros OpCo to certain eligible employees. These awards are accounted for in accordance with guidance prescribed for in accounting for share-based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Expenses associated with equity offerings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Costs incurred as a result of our equity offerings. These costs include legal fees, consulting fees, tax and accounting fees, and payroll taxes related to the grant and vesting of equity awards for certain employees.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COVID-19: “Thank You” pay and catastrophic leave</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All COVID-19-related protocols, including catastrophic leave, will remain in effect until the end of the COVID-19 pandemic as determined by the appropriate government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COVID-19: Prepaid costs not utilized</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Milestone events</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Costs incurred for company-wide events to celebrate 30 years of serving high QUALITY, hand-crafted beverages with unparalleled SPEED and superior SERVICE to our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31E29"/>
        </w:rPr>
        <w:t>Following are the reconciliations of the most comparable GAAP metric to non-GAAP metrics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12"/>
          </w:tcPr>
          <w:p>
            <w:pPr>
              <w:jc w:val="right"/>
              <w:ind w:right="80"/>
              <w:spacing w:after="0"/>
              <w:rPr>
                <w:sz w:val="20"/>
                <w:szCs w:val="20"/>
                <w:color w:val="auto"/>
              </w:rPr>
            </w:pPr>
            <w:r>
              <w:rPr>
                <w:rFonts w:ascii="Arial" w:cs="Arial" w:eastAsia="Arial" w:hAnsi="Arial"/>
                <w:sz w:val="18"/>
                <w:szCs w:val="18"/>
                <w:b w:val="1"/>
                <w:bCs w:val="1"/>
                <w:color w:val="131E29"/>
              </w:rPr>
              <w:t>Three Months Ended June 30,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gridSpan w:val="12"/>
          </w:tcPr>
          <w:p>
            <w:pPr>
              <w:ind w:left="740"/>
              <w:spacing w:after="0"/>
              <w:rPr>
                <w:sz w:val="20"/>
                <w:szCs w:val="20"/>
                <w:color w:val="auto"/>
              </w:rPr>
            </w:pPr>
            <w:r>
              <w:rPr>
                <w:rFonts w:ascii="Arial" w:cs="Arial" w:eastAsia="Arial" w:hAnsi="Arial"/>
                <w:sz w:val="18"/>
                <w:szCs w:val="18"/>
                <w:b w:val="1"/>
                <w:bCs w:val="1"/>
                <w:color w:val="131E29"/>
              </w:rPr>
              <w:t>Six Months Ended June 30,</w:t>
            </w:r>
          </w:p>
        </w:tc>
        <w:tc>
          <w:tcPr>
            <w:tcW w:w="58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131E29"/>
              </w:rPr>
              <w:t>2022</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131E29"/>
              </w:rPr>
              <w:t>2021 ¹</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4"/>
          </w:tcPr>
          <w:p>
            <w:pPr>
              <w:ind w:left="720"/>
              <w:spacing w:after="0"/>
              <w:rPr>
                <w:sz w:val="20"/>
                <w:szCs w:val="20"/>
                <w:color w:val="auto"/>
              </w:rPr>
            </w:pPr>
            <w:r>
              <w:rPr>
                <w:rFonts w:ascii="Arial" w:cs="Arial" w:eastAsia="Arial" w:hAnsi="Arial"/>
                <w:sz w:val="18"/>
                <w:szCs w:val="18"/>
                <w:b w:val="1"/>
                <w:bCs w:val="1"/>
                <w:color w:val="131E29"/>
              </w:rPr>
              <w:t>2022</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131E29"/>
              </w:rPr>
              <w:t>2021 ¹</w:t>
            </w:r>
          </w:p>
        </w:tc>
        <w:tc>
          <w:tcPr>
            <w:tcW w:w="580" w:type="dxa"/>
            <w:vAlign w:val="bottom"/>
          </w:tcPr>
          <w:p>
            <w:pPr>
              <w:spacing w:after="0"/>
              <w:rPr>
                <w:sz w:val="20"/>
                <w:szCs w:val="20"/>
                <w:color w:val="auto"/>
              </w:rPr>
            </w:pPr>
          </w:p>
        </w:tc>
      </w:tr>
      <w:tr>
        <w:trPr>
          <w:trHeight w:val="27"/>
        </w:trPr>
        <w:tc>
          <w:tcPr>
            <w:tcW w:w="3500" w:type="dxa"/>
            <w:vAlign w:val="bottom"/>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8"/>
        </w:trPr>
        <w:tc>
          <w:tcPr>
            <w:tcW w:w="3500" w:type="dxa"/>
            <w:vAlign w:val="bottom"/>
            <w:gridSpan w:val="2"/>
          </w:tcPr>
          <w:p>
            <w:pPr>
              <w:ind w:left="20"/>
              <w:spacing w:after="0"/>
              <w:rPr>
                <w:sz w:val="20"/>
                <w:szCs w:val="20"/>
                <w:color w:val="auto"/>
              </w:rPr>
            </w:pPr>
            <w:r>
              <w:rPr>
                <w:rFonts w:ascii="Arial" w:cs="Arial" w:eastAsia="Arial" w:hAnsi="Arial"/>
                <w:sz w:val="14"/>
                <w:szCs w:val="14"/>
                <w:color w:val="131E29"/>
              </w:rPr>
              <w:t>(in thousands; unaudited)</w:t>
            </w: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b w:val="1"/>
                <w:bCs w:val="1"/>
                <w:color w:val="131E2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131E2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131E2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131E2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b w:val="1"/>
                <w:bCs w:val="1"/>
                <w:color w:val="131E29"/>
              </w:rPr>
              <w:t>%</w:t>
            </w:r>
          </w:p>
        </w:tc>
      </w:tr>
      <w:tr>
        <w:trPr>
          <w:trHeight w:val="26"/>
        </w:trPr>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gross profit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31,218</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19.4</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29,452</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28.6</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47,857</w:t>
            </w:r>
          </w:p>
        </w:tc>
        <w:tc>
          <w:tcPr>
            <w:tcW w:w="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16.5</w:t>
            </w: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47,030</w:t>
            </w:r>
          </w:p>
        </w:tc>
        <w:tc>
          <w:tcPr>
            <w:tcW w:w="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26.0</w:t>
            </w:r>
          </w:p>
        </w:tc>
      </w:tr>
      <w:tr>
        <w:trPr>
          <w:trHeight w:val="243"/>
        </w:trPr>
        <w:tc>
          <w:tcPr>
            <w:tcW w:w="350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8"/>
                <w:szCs w:val="18"/>
                <w:color w:val="131E29"/>
              </w:rPr>
              <w:t>8,307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3,473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15,447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31E29"/>
              </w:rPr>
              <w:t>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131E29"/>
              </w:rPr>
              <w:t>6,744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31E29"/>
              </w:rPr>
              <w:t>3.7</w:t>
            </w:r>
          </w:p>
        </w:tc>
      </w:tr>
      <w:tr>
        <w:trPr>
          <w:trHeight w:val="27"/>
        </w:trPr>
        <w:tc>
          <w:tcPr>
            <w:tcW w:w="34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3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contribution</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39,525</w:t>
            </w:r>
          </w:p>
        </w:tc>
        <w:tc>
          <w:tcPr>
            <w:tcW w:w="100" w:type="dxa"/>
            <w:vAlign w:val="bottom"/>
            <w:tcBorders>
              <w:bottom w:val="single" w:sz="8" w:color="D2DCE5"/>
            </w:tcBorders>
            <w:shd w:val="clear" w:color="auto" w:fill="D2DCE5"/>
          </w:tcPr>
          <w:p>
            <w:pPr>
              <w:spacing w:after="0"/>
              <w:rPr>
                <w:sz w:val="24"/>
                <w:szCs w:val="24"/>
                <w:color w:val="auto"/>
              </w:rPr>
            </w:pPr>
          </w:p>
        </w:tc>
        <w:tc>
          <w:tcPr>
            <w:tcW w:w="220" w:type="dxa"/>
            <w:vAlign w:val="bottom"/>
            <w:tcBorders>
              <w:bottom w:val="single" w:sz="8" w:color="auto"/>
            </w:tcBorders>
            <w:shd w:val="clear" w:color="auto" w:fill="D2DCE5"/>
          </w:tcPr>
          <w:p>
            <w:pPr>
              <w:spacing w:after="0"/>
              <w:rPr>
                <w:sz w:val="24"/>
                <w:szCs w:val="24"/>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24.6</w:t>
            </w:r>
          </w:p>
        </w:tc>
        <w:tc>
          <w:tcPr>
            <w:tcW w:w="20" w:type="dxa"/>
            <w:vAlign w:val="bottom"/>
            <w:tcBorders>
              <w:bottom w:val="single" w:sz="8" w:color="auto"/>
            </w:tcBorders>
            <w:shd w:val="clear" w:color="auto" w:fill="D2DCE5"/>
          </w:tcPr>
          <w:p>
            <w:pPr>
              <w:spacing w:after="0"/>
              <w:rPr>
                <w:sz w:val="24"/>
                <w:szCs w:val="24"/>
                <w:color w:val="auto"/>
              </w:rPr>
            </w:pPr>
          </w:p>
        </w:tc>
        <w:tc>
          <w:tcPr>
            <w:tcW w:w="80" w:type="dxa"/>
            <w:vAlign w:val="bottom"/>
            <w:tcBorders>
              <w:bottom w:val="single" w:sz="8" w:color="D2DCE5"/>
            </w:tcBorders>
            <w:shd w:val="clear" w:color="auto" w:fill="D2DCE5"/>
          </w:tcPr>
          <w:p>
            <w:pPr>
              <w:spacing w:after="0"/>
              <w:rPr>
                <w:sz w:val="24"/>
                <w:szCs w:val="24"/>
                <w:color w:val="auto"/>
              </w:rPr>
            </w:pPr>
          </w:p>
        </w:tc>
        <w:tc>
          <w:tcPr>
            <w:tcW w:w="20" w:type="dxa"/>
            <w:vAlign w:val="bottom"/>
            <w:tcBorders>
              <w:bottom w:val="single" w:sz="8" w:color="D2DCE5"/>
            </w:tcBorders>
            <w:shd w:val="clear" w:color="auto" w:fill="D2DCE5"/>
          </w:tcPr>
          <w:p>
            <w:pPr>
              <w:spacing w:after="0"/>
              <w:rPr>
                <w:sz w:val="24"/>
                <w:szCs w:val="24"/>
                <w:color w:val="auto"/>
              </w:rPr>
            </w:pPr>
          </w:p>
        </w:tc>
        <w:tc>
          <w:tcPr>
            <w:tcW w:w="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32,925</w:t>
            </w:r>
          </w:p>
        </w:tc>
        <w:tc>
          <w:tcPr>
            <w:tcW w:w="20" w:type="dxa"/>
            <w:vAlign w:val="bottom"/>
            <w:tcBorders>
              <w:bottom w:val="single" w:sz="8" w:color="auto"/>
            </w:tcBorders>
            <w:shd w:val="clear" w:color="auto" w:fill="D2DCE5"/>
          </w:tcPr>
          <w:p>
            <w:pPr>
              <w:spacing w:after="0"/>
              <w:rPr>
                <w:sz w:val="24"/>
                <w:szCs w:val="24"/>
                <w:color w:val="auto"/>
              </w:rPr>
            </w:pPr>
          </w:p>
        </w:tc>
        <w:tc>
          <w:tcPr>
            <w:tcW w:w="80" w:type="dxa"/>
            <w:vAlign w:val="bottom"/>
            <w:tcBorders>
              <w:bottom w:val="single" w:sz="8" w:color="D2DCE5"/>
            </w:tcBorders>
            <w:shd w:val="clear" w:color="auto" w:fill="D2DCE5"/>
          </w:tcPr>
          <w:p>
            <w:pPr>
              <w:spacing w:after="0"/>
              <w:rPr>
                <w:sz w:val="24"/>
                <w:szCs w:val="24"/>
                <w:color w:val="auto"/>
              </w:rPr>
            </w:pPr>
          </w:p>
        </w:tc>
        <w:tc>
          <w:tcPr>
            <w:tcW w:w="2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spacing w:after="0"/>
              <w:rPr>
                <w:sz w:val="24"/>
                <w:szCs w:val="24"/>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32.0</w:t>
            </w:r>
          </w:p>
        </w:tc>
        <w:tc>
          <w:tcPr>
            <w:tcW w:w="20" w:type="dxa"/>
            <w:vAlign w:val="bottom"/>
            <w:tcBorders>
              <w:bottom w:val="single" w:sz="8" w:color="auto"/>
            </w:tcBorders>
            <w:shd w:val="clear" w:color="auto" w:fill="D2DCE5"/>
          </w:tcPr>
          <w:p>
            <w:pPr>
              <w:spacing w:after="0"/>
              <w:rPr>
                <w:sz w:val="24"/>
                <w:szCs w:val="24"/>
                <w:color w:val="auto"/>
              </w:rPr>
            </w:pPr>
          </w:p>
        </w:tc>
        <w:tc>
          <w:tcPr>
            <w:tcW w:w="80" w:type="dxa"/>
            <w:vAlign w:val="bottom"/>
            <w:tcBorders>
              <w:bottom w:val="single" w:sz="8" w:color="D2DCE5"/>
            </w:tcBorders>
            <w:shd w:val="clear" w:color="auto" w:fill="D2DCE5"/>
          </w:tcPr>
          <w:p>
            <w:pPr>
              <w:spacing w:after="0"/>
              <w:rPr>
                <w:sz w:val="24"/>
                <w:szCs w:val="24"/>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63,304</w:t>
            </w:r>
          </w:p>
        </w:tc>
        <w:tc>
          <w:tcPr>
            <w:tcW w:w="80" w:type="dxa"/>
            <w:vAlign w:val="bottom"/>
            <w:tcBorders>
              <w:bottom w:val="single" w:sz="8" w:color="D2DCE5"/>
            </w:tcBorders>
            <w:shd w:val="clear" w:color="auto" w:fill="D2DCE5"/>
          </w:tcPr>
          <w:p>
            <w:pPr>
              <w:spacing w:after="0"/>
              <w:rPr>
                <w:sz w:val="24"/>
                <w:szCs w:val="24"/>
                <w:color w:val="auto"/>
              </w:rPr>
            </w:pPr>
          </w:p>
        </w:tc>
        <w:tc>
          <w:tcPr>
            <w:tcW w:w="80" w:type="dxa"/>
            <w:vAlign w:val="bottom"/>
            <w:tcBorders>
              <w:bottom w:val="single" w:sz="8" w:color="auto"/>
            </w:tcBorders>
            <w:shd w:val="clear" w:color="auto" w:fill="D2DCE5"/>
          </w:tcPr>
          <w:p>
            <w:pPr>
              <w:spacing w:after="0"/>
              <w:rPr>
                <w:sz w:val="24"/>
                <w:szCs w:val="24"/>
                <w:color w:val="auto"/>
              </w:rPr>
            </w:pPr>
          </w:p>
        </w:tc>
        <w:tc>
          <w:tcPr>
            <w:tcW w:w="80" w:type="dxa"/>
            <w:vAlign w:val="bottom"/>
            <w:tcBorders>
              <w:bottom w:val="single" w:sz="8" w:color="auto"/>
            </w:tcBorders>
            <w:shd w:val="clear" w:color="auto" w:fill="D2DCE5"/>
          </w:tcPr>
          <w:p>
            <w:pPr>
              <w:spacing w:after="0"/>
              <w:rPr>
                <w:sz w:val="24"/>
                <w:szCs w:val="24"/>
                <w:color w:val="auto"/>
              </w:rPr>
            </w:pPr>
          </w:p>
        </w:tc>
        <w:tc>
          <w:tcPr>
            <w:tcW w:w="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21.8</w:t>
            </w:r>
          </w:p>
        </w:tc>
        <w:tc>
          <w:tcPr>
            <w:tcW w:w="80" w:type="dxa"/>
            <w:vAlign w:val="bottom"/>
            <w:tcBorders>
              <w:bottom w:val="single" w:sz="8" w:color="D2DCE5"/>
            </w:tcBorders>
            <w:shd w:val="clear" w:color="auto" w:fill="D2DCE5"/>
          </w:tcPr>
          <w:p>
            <w:pPr>
              <w:spacing w:after="0"/>
              <w:rPr>
                <w:sz w:val="24"/>
                <w:szCs w:val="24"/>
                <w:color w:val="auto"/>
              </w:rPr>
            </w:pPr>
          </w:p>
        </w:tc>
        <w:tc>
          <w:tcPr>
            <w:tcW w:w="20" w:type="dxa"/>
            <w:vAlign w:val="bottom"/>
            <w:tcBorders>
              <w:bottom w:val="single" w:sz="8" w:color="D2DCE5"/>
            </w:tcBorders>
            <w:shd w:val="clear" w:color="auto" w:fill="D2DCE5"/>
          </w:tcPr>
          <w:p>
            <w:pPr>
              <w:spacing w:after="0"/>
              <w:rPr>
                <w:sz w:val="24"/>
                <w:szCs w:val="24"/>
                <w:color w:val="auto"/>
              </w:rPr>
            </w:pPr>
          </w:p>
        </w:tc>
        <w:tc>
          <w:tcPr>
            <w:tcW w:w="960" w:type="dxa"/>
            <w:vAlign w:val="bottom"/>
            <w:tcBorders>
              <w:bottom w:val="single" w:sz="8" w:color="auto"/>
            </w:tcBorders>
            <w:gridSpan w:val="2"/>
            <w:shd w:val="clear" w:color="auto" w:fill="D2DCE5"/>
          </w:tcPr>
          <w:p>
            <w:pPr>
              <w:jc w:val="right"/>
              <w:spacing w:after="0"/>
              <w:rPr>
                <w:sz w:val="20"/>
                <w:szCs w:val="20"/>
                <w:color w:val="auto"/>
              </w:rPr>
            </w:pPr>
            <w:r>
              <w:rPr>
                <w:rFonts w:ascii="Arial" w:cs="Arial" w:eastAsia="Arial" w:hAnsi="Arial"/>
                <w:sz w:val="18"/>
                <w:szCs w:val="18"/>
                <w:color w:val="131E29"/>
              </w:rPr>
              <w:t>53,774</w:t>
            </w:r>
          </w:p>
        </w:tc>
        <w:tc>
          <w:tcPr>
            <w:tcW w:w="80" w:type="dxa"/>
            <w:vAlign w:val="bottom"/>
            <w:tcBorders>
              <w:bottom w:val="single" w:sz="8" w:color="D2DCE5"/>
            </w:tcBorders>
            <w:shd w:val="clear" w:color="auto" w:fill="D2DCE5"/>
          </w:tcPr>
          <w:p>
            <w:pPr>
              <w:spacing w:after="0"/>
              <w:rPr>
                <w:sz w:val="24"/>
                <w:szCs w:val="24"/>
                <w:color w:val="auto"/>
              </w:rPr>
            </w:pPr>
          </w:p>
        </w:tc>
        <w:tc>
          <w:tcPr>
            <w:tcW w:w="100" w:type="dxa"/>
            <w:vAlign w:val="bottom"/>
            <w:tcBorders>
              <w:bottom w:val="single" w:sz="8" w:color="auto"/>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spacing w:after="0"/>
              <w:rPr>
                <w:sz w:val="24"/>
                <w:szCs w:val="24"/>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29.7</w:t>
            </w:r>
          </w:p>
        </w:tc>
      </w:tr>
      <w:tr>
        <w:trPr>
          <w:trHeight w:val="20"/>
        </w:trPr>
        <w:tc>
          <w:tcPr>
            <w:tcW w:w="34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D2DCE5"/>
              <w:bottom w:val="single" w:sz="8" w:color="auto"/>
            </w:tcBorders>
          </w:tcPr>
          <w:p>
            <w:pPr>
              <w:spacing w:after="0" w:line="20" w:lineRule="exact"/>
              <w:rPr>
                <w:sz w:val="1"/>
                <w:szCs w:val="1"/>
                <w:color w:val="auto"/>
              </w:rPr>
            </w:pPr>
          </w:p>
        </w:tc>
        <w:tc>
          <w:tcPr>
            <w:tcW w:w="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560" w:type="dxa"/>
            <w:vAlign w:val="bottom"/>
            <w:tcBorders>
              <w:top w:val="single" w:sz="8" w:color="D2DCE5"/>
              <w:bottom w:val="single" w:sz="8" w:color="auto"/>
            </w:tcBorders>
          </w:tcPr>
          <w:p>
            <w:pPr>
              <w:spacing w:after="0" w:line="20" w:lineRule="exact"/>
              <w:rPr>
                <w:sz w:val="1"/>
                <w:szCs w:val="1"/>
                <w:color w:val="auto"/>
              </w:rPr>
            </w:pPr>
          </w:p>
        </w:tc>
        <w:tc>
          <w:tcPr>
            <w:tcW w:w="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r>
      <w:tr>
        <w:trPr>
          <w:trHeight w:val="258"/>
        </w:trPr>
        <w:tc>
          <w:tcPr>
            <w:tcW w:w="3500" w:type="dxa"/>
            <w:vAlign w:val="bottom"/>
            <w:gridSpan w:val="2"/>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0"/>
        </w:trPr>
        <w:tc>
          <w:tcPr>
            <w:tcW w:w="3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(loss)</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(1,751)</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(0.9)</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11,889</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gridSpan w:val="3"/>
            <w:shd w:val="clear" w:color="auto" w:fill="D2DCE5"/>
          </w:tcPr>
          <w:p>
            <w:pPr>
              <w:ind w:left="420"/>
              <w:spacing w:after="0"/>
              <w:rPr>
                <w:sz w:val="20"/>
                <w:szCs w:val="20"/>
                <w:color w:val="auto"/>
              </w:rPr>
            </w:pPr>
            <w:r>
              <w:rPr>
                <w:rFonts w:ascii="Arial" w:cs="Arial" w:eastAsia="Arial" w:hAnsi="Arial"/>
                <w:sz w:val="18"/>
                <w:szCs w:val="18"/>
                <w:color w:val="131E29"/>
              </w:rPr>
              <w:t>(18,030)</w:t>
            </w:r>
          </w:p>
        </w:tc>
        <w:tc>
          <w:tcPr>
            <w:tcW w:w="8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gridSpan w:val="2"/>
            <w:shd w:val="clear" w:color="auto" w:fill="D2DCE5"/>
          </w:tcPr>
          <w:p>
            <w:pPr>
              <w:jc w:val="right"/>
              <w:ind w:right="20"/>
              <w:spacing w:after="0"/>
              <w:rPr>
                <w:sz w:val="20"/>
                <w:szCs w:val="20"/>
                <w:color w:val="auto"/>
              </w:rPr>
            </w:pPr>
            <w:r>
              <w:rPr>
                <w:rFonts w:ascii="Arial" w:cs="Arial" w:eastAsia="Arial" w:hAnsi="Arial"/>
                <w:sz w:val="18"/>
                <w:szCs w:val="18"/>
                <w:color w:val="131E29"/>
              </w:rPr>
              <w:t>(5.3)</w:t>
            </w:r>
          </w:p>
        </w:tc>
        <w:tc>
          <w:tcPr>
            <w:tcW w:w="2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7,067</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w:t>
            </w:r>
          </w:p>
        </w:tc>
      </w:tr>
      <w:tr>
        <w:trPr>
          <w:trHeight w:val="243"/>
        </w:trPr>
        <w:tc>
          <w:tcPr>
            <w:tcW w:w="350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8"/>
                <w:szCs w:val="18"/>
                <w:color w:val="131E29"/>
              </w:rPr>
              <w:t>10,539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5,681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19,721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131E29"/>
              </w:rPr>
              <w:t>5.8</w:t>
            </w:r>
          </w:p>
        </w:tc>
        <w:tc>
          <w:tcPr>
            <w:tcW w:w="2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131E29"/>
              </w:rPr>
              <w:t>11,031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31E29"/>
              </w:rPr>
              <w:t>4.8</w:t>
            </w:r>
          </w:p>
        </w:tc>
      </w:tr>
      <w:tr>
        <w:trPr>
          <w:trHeight w:val="27"/>
        </w:trPr>
        <w:tc>
          <w:tcPr>
            <w:tcW w:w="35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 expense, net</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3,596</w:t>
            </w:r>
          </w:p>
        </w:tc>
        <w:tc>
          <w:tcPr>
            <w:tcW w:w="10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1,838</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6,085</w:t>
            </w:r>
          </w:p>
        </w:tc>
        <w:tc>
          <w:tcPr>
            <w:tcW w:w="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1.8</w:t>
            </w:r>
          </w:p>
        </w:tc>
        <w:tc>
          <w:tcPr>
            <w:tcW w:w="2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2,855</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w:t>
            </w:r>
          </w:p>
        </w:tc>
      </w:tr>
      <w:tr>
        <w:trPr>
          <w:trHeight w:val="243"/>
        </w:trPr>
        <w:tc>
          <w:tcPr>
            <w:tcW w:w="3500" w:type="dxa"/>
            <w:vAlign w:val="bottom"/>
            <w:gridSpan w:val="2"/>
          </w:tcPr>
          <w:p>
            <w:pPr>
              <w:ind w:left="180"/>
              <w:spacing w:after="0"/>
              <w:rPr>
                <w:sz w:val="20"/>
                <w:szCs w:val="20"/>
                <w:color w:val="auto"/>
              </w:rPr>
            </w:pPr>
            <w:r>
              <w:rPr>
                <w:rFonts w:ascii="Arial" w:cs="Arial" w:eastAsia="Arial" w:hAnsi="Arial"/>
                <w:sz w:val="18"/>
                <w:szCs w:val="18"/>
                <w:color w:val="131E29"/>
              </w:rPr>
              <w:t>Income tax expense</w:t>
            </w:r>
          </w:p>
        </w:tc>
        <w:tc>
          <w:tcPr>
            <w:tcW w:w="940" w:type="dxa"/>
            <w:vAlign w:val="bottom"/>
          </w:tcPr>
          <w:p>
            <w:pPr>
              <w:jc w:val="right"/>
              <w:spacing w:after="0"/>
              <w:rPr>
                <w:sz w:val="20"/>
                <w:szCs w:val="20"/>
                <w:color w:val="auto"/>
              </w:rPr>
            </w:pPr>
            <w:r>
              <w:rPr>
                <w:rFonts w:ascii="Arial" w:cs="Arial" w:eastAsia="Arial" w:hAnsi="Arial"/>
                <w:sz w:val="18"/>
                <w:szCs w:val="18"/>
                <w:color w:val="131E29"/>
              </w:rPr>
              <w:t>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521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671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131E29"/>
              </w:rPr>
              <w:t>0.2</w:t>
            </w:r>
          </w:p>
        </w:tc>
        <w:tc>
          <w:tcPr>
            <w:tcW w:w="2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131E29"/>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31E29"/>
              </w:rPr>
              <w:t>0.2</w:t>
            </w:r>
          </w:p>
        </w:tc>
      </w:tr>
      <w:tr>
        <w:trPr>
          <w:trHeight w:val="27"/>
        </w:trPr>
        <w:tc>
          <w:tcPr>
            <w:tcW w:w="3500" w:type="dxa"/>
            <w:vAlign w:val="bottom"/>
            <w:tcBorders>
              <w:bottom w:val="single" w:sz="8" w:color="D2DCE5"/>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131E29"/>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560" w:type="dxa"/>
            <w:vAlign w:val="bottom"/>
            <w:tcBorders>
              <w:bottom w:val="single" w:sz="8" w:color="131E29"/>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20" w:type="dxa"/>
            <w:vAlign w:val="bottom"/>
            <w:tcBorders>
              <w:bottom w:val="single" w:sz="8" w:color="131E29"/>
            </w:tcBorders>
            <w:gridSpan w:val="2"/>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580" w:type="dxa"/>
            <w:vAlign w:val="bottom"/>
            <w:tcBorders>
              <w:bottom w:val="single" w:sz="8" w:color="131E29"/>
            </w:tcBorders>
          </w:tcPr>
          <w:p>
            <w:pPr>
              <w:spacing w:after="0"/>
              <w:rPr>
                <w:sz w:val="2"/>
                <w:szCs w:val="2"/>
                <w:color w:val="auto"/>
              </w:rPr>
            </w:pPr>
          </w:p>
        </w:tc>
      </w:tr>
      <w:tr>
        <w:trPr>
          <w:trHeight w:val="263"/>
        </w:trPr>
        <w:tc>
          <w:tcPr>
            <w:tcW w:w="35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13,269</w:t>
            </w:r>
          </w:p>
        </w:tc>
        <w:tc>
          <w:tcPr>
            <w:tcW w:w="100" w:type="dxa"/>
            <w:vAlign w:val="bottom"/>
            <w:tcBorders>
              <w:bottom w:val="single" w:sz="8" w:color="D2DCE5"/>
            </w:tcBorders>
            <w:shd w:val="clear" w:color="auto" w:fill="D2DCE5"/>
          </w:tcPr>
          <w:p>
            <w:pPr>
              <w:spacing w:after="0"/>
              <w:rPr>
                <w:sz w:val="22"/>
                <w:szCs w:val="22"/>
                <w:color w:val="auto"/>
              </w:rPr>
            </w:pPr>
          </w:p>
        </w:tc>
        <w:tc>
          <w:tcPr>
            <w:tcW w:w="220" w:type="dxa"/>
            <w:vAlign w:val="bottom"/>
            <w:tcBorders>
              <w:bottom w:val="single" w:sz="8" w:color="D2DCE5"/>
            </w:tcBorders>
            <w:shd w:val="clear" w:color="auto" w:fill="D2DCE5"/>
          </w:tcPr>
          <w:p>
            <w:pPr>
              <w:spacing w:after="0"/>
              <w:rPr>
                <w:sz w:val="22"/>
                <w:szCs w:val="22"/>
                <w:color w:val="auto"/>
              </w:rPr>
            </w:pP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w:t>
            </w:r>
          </w:p>
        </w:tc>
        <w:tc>
          <w:tcPr>
            <w:tcW w:w="2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19,929</w:t>
            </w:r>
          </w:p>
        </w:tc>
        <w:tc>
          <w:tcPr>
            <w:tcW w:w="2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2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15.4</w:t>
            </w:r>
          </w:p>
        </w:tc>
        <w:tc>
          <w:tcPr>
            <w:tcW w:w="2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8,447</w:t>
            </w:r>
          </w:p>
        </w:tc>
        <w:tc>
          <w:tcPr>
            <w:tcW w:w="80" w:type="dxa"/>
            <w:vAlign w:val="bottom"/>
            <w:tcBorders>
              <w:bottom w:val="single" w:sz="8" w:color="D2DCE5"/>
            </w:tcBorders>
            <w:shd w:val="clear" w:color="auto" w:fill="D2DCE5"/>
          </w:tcPr>
          <w:p>
            <w:pPr>
              <w:spacing w:after="0"/>
              <w:rPr>
                <w:sz w:val="22"/>
                <w:szCs w:val="22"/>
                <w:color w:val="auto"/>
              </w:rPr>
            </w:pPr>
          </w:p>
        </w:tc>
        <w:tc>
          <w:tcPr>
            <w:tcW w:w="80" w:type="dxa"/>
            <w:vAlign w:val="bottom"/>
            <w:tcBorders>
              <w:bottom w:val="single" w:sz="8" w:color="D2DCE5"/>
            </w:tcBorders>
            <w:shd w:val="clear" w:color="auto" w:fill="D2DCE5"/>
          </w:tcPr>
          <w:p>
            <w:pPr>
              <w:spacing w:after="0"/>
              <w:rPr>
                <w:sz w:val="22"/>
                <w:szCs w:val="22"/>
                <w:color w:val="auto"/>
              </w:rPr>
            </w:pPr>
          </w:p>
        </w:tc>
        <w:tc>
          <w:tcPr>
            <w:tcW w:w="720" w:type="dxa"/>
            <w:vAlign w:val="bottom"/>
            <w:tcBorders>
              <w:bottom w:val="single" w:sz="8" w:color="D2DCE5"/>
            </w:tcBorders>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2.5</w:t>
            </w:r>
          </w:p>
        </w:tc>
        <w:tc>
          <w:tcPr>
            <w:tcW w:w="2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21,517</w:t>
            </w:r>
          </w:p>
        </w:tc>
        <w:tc>
          <w:tcPr>
            <w:tcW w:w="100" w:type="dxa"/>
            <w:vAlign w:val="bottom"/>
            <w:tcBorders>
              <w:bottom w:val="single" w:sz="8" w:color="D2DCE5"/>
            </w:tcBorders>
            <w:shd w:val="clear" w:color="auto" w:fill="D2DCE5"/>
          </w:tcPr>
          <w:p>
            <w:pPr>
              <w:spacing w:after="0"/>
              <w:rPr>
                <w:sz w:val="22"/>
                <w:szCs w:val="22"/>
                <w:color w:val="auto"/>
              </w:rPr>
            </w:pPr>
          </w:p>
        </w:tc>
        <w:tc>
          <w:tcPr>
            <w:tcW w:w="140" w:type="dxa"/>
            <w:vAlign w:val="bottom"/>
            <w:tcBorders>
              <w:bottom w:val="single" w:sz="8" w:color="D2DCE5"/>
            </w:tcBorders>
            <w:shd w:val="clear" w:color="auto" w:fill="D2DCE5"/>
          </w:tcPr>
          <w:p>
            <w:pPr>
              <w:spacing w:after="0"/>
              <w:rPr>
                <w:sz w:val="22"/>
                <w:szCs w:val="22"/>
                <w:color w:val="auto"/>
              </w:rPr>
            </w:pP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w:t>
            </w:r>
          </w:p>
        </w:tc>
      </w:tr>
      <w:tr>
        <w:trPr>
          <w:trHeight w:val="237"/>
        </w:trPr>
        <w:tc>
          <w:tcPr>
            <w:tcW w:w="3500" w:type="dxa"/>
            <w:vAlign w:val="bottom"/>
            <w:gridSpan w:val="2"/>
          </w:tcPr>
          <w:p>
            <w:pPr>
              <w:ind w:left="180"/>
              <w:spacing w:after="0"/>
              <w:rPr>
                <w:sz w:val="20"/>
                <w:szCs w:val="20"/>
                <w:color w:val="auto"/>
              </w:rPr>
            </w:pPr>
            <w:r>
              <w:rPr>
                <w:rFonts w:ascii="Arial" w:cs="Arial" w:eastAsia="Arial" w:hAnsi="Arial"/>
                <w:sz w:val="18"/>
                <w:szCs w:val="18"/>
                <w:color w:val="131E29"/>
              </w:rPr>
              <w:t>Equity-based compensation</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10,446</w:t>
            </w:r>
          </w:p>
        </w:tc>
        <w:tc>
          <w:tcPr>
            <w:tcW w:w="100" w:type="dxa"/>
            <w:vAlign w:val="bottom"/>
          </w:tcPr>
          <w:p>
            <w:pPr>
              <w:spacing w:after="0"/>
              <w:rPr>
                <w:sz w:val="20"/>
                <w:szCs w:val="20"/>
                <w:color w:val="auto"/>
              </w:rPr>
            </w:pPr>
          </w:p>
        </w:tc>
        <w:tc>
          <w:tcPr>
            <w:tcW w:w="220" w:type="dxa"/>
            <w:vAlign w:val="bottom"/>
            <w:tcBorders>
              <w:top w:val="single" w:sz="8" w:color="131E29"/>
            </w:tcBorders>
          </w:tcPr>
          <w:p>
            <w:pPr>
              <w:spacing w:after="0"/>
              <w:rPr>
                <w:sz w:val="20"/>
                <w:szCs w:val="20"/>
                <w:color w:val="auto"/>
              </w:rPr>
            </w:pPr>
          </w:p>
        </w:tc>
        <w:tc>
          <w:tcPr>
            <w:tcW w:w="60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8,332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131E29"/>
            </w:tcBorders>
          </w:tcPr>
          <w:p>
            <w:pPr>
              <w:spacing w:after="0"/>
              <w:rPr>
                <w:sz w:val="20"/>
                <w:szCs w:val="20"/>
                <w:color w:val="auto"/>
              </w:rPr>
            </w:pPr>
          </w:p>
        </w:tc>
        <w:tc>
          <w:tcPr>
            <w:tcW w:w="260" w:type="dxa"/>
            <w:vAlign w:val="bottom"/>
            <w:tcBorders>
              <w:top w:val="single" w:sz="8" w:color="131E29"/>
            </w:tcBorders>
          </w:tcPr>
          <w:p>
            <w:pPr>
              <w:spacing w:after="0"/>
              <w:rPr>
                <w:sz w:val="20"/>
                <w:szCs w:val="20"/>
                <w:color w:val="auto"/>
              </w:rPr>
            </w:pPr>
          </w:p>
        </w:tc>
        <w:tc>
          <w:tcPr>
            <w:tcW w:w="56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131E29"/>
              </w:rPr>
              <w:t>20,346</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131E29"/>
            </w:tcBorders>
            <w:gridSpan w:val="2"/>
          </w:tcPr>
          <w:p>
            <w:pPr>
              <w:jc w:val="right"/>
              <w:ind w:right="80"/>
              <w:spacing w:after="0"/>
              <w:rPr>
                <w:sz w:val="20"/>
                <w:szCs w:val="20"/>
                <w:color w:val="auto"/>
              </w:rPr>
            </w:pPr>
            <w:r>
              <w:rPr>
                <w:rFonts w:ascii="Arial" w:cs="Arial" w:eastAsia="Arial" w:hAnsi="Arial"/>
                <w:sz w:val="18"/>
                <w:szCs w:val="18"/>
                <w:color w:val="131E29"/>
              </w:rPr>
              <w:t>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131E29"/>
              </w:rPr>
              <w:t>22,982</w:t>
            </w:r>
          </w:p>
        </w:tc>
        <w:tc>
          <w:tcPr>
            <w:tcW w:w="100" w:type="dxa"/>
            <w:vAlign w:val="bottom"/>
          </w:tcPr>
          <w:p>
            <w:pPr>
              <w:spacing w:after="0"/>
              <w:rPr>
                <w:sz w:val="20"/>
                <w:szCs w:val="20"/>
                <w:color w:val="auto"/>
              </w:rPr>
            </w:pPr>
          </w:p>
        </w:tc>
        <w:tc>
          <w:tcPr>
            <w:tcW w:w="140" w:type="dxa"/>
            <w:vAlign w:val="bottom"/>
            <w:tcBorders>
              <w:top w:val="single" w:sz="8" w:color="131E29"/>
            </w:tcBorders>
          </w:tcPr>
          <w:p>
            <w:pPr>
              <w:spacing w:after="0"/>
              <w:rPr>
                <w:sz w:val="20"/>
                <w:szCs w:val="20"/>
                <w:color w:val="auto"/>
              </w:rPr>
            </w:pPr>
          </w:p>
        </w:tc>
        <w:tc>
          <w:tcPr>
            <w:tcW w:w="58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10.1</w:t>
            </w:r>
          </w:p>
        </w:tc>
      </w:tr>
      <w:tr>
        <w:trPr>
          <w:trHeight w:val="27"/>
        </w:trPr>
        <w:tc>
          <w:tcPr>
            <w:tcW w:w="35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2"/>
        </w:trPr>
        <w:tc>
          <w:tcPr>
            <w:tcW w:w="35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Expenses associated with equity</w:t>
            </w:r>
          </w:p>
        </w:tc>
        <w:tc>
          <w:tcPr>
            <w:tcW w:w="9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20" w:type="dxa"/>
            <w:vAlign w:val="bottom"/>
            <w:shd w:val="clear" w:color="auto" w:fill="D2DCE5"/>
          </w:tcPr>
          <w:p>
            <w:pPr>
              <w:spacing w:after="0"/>
              <w:rPr>
                <w:sz w:val="21"/>
                <w:szCs w:val="21"/>
                <w:color w:val="auto"/>
              </w:rPr>
            </w:pPr>
          </w:p>
        </w:tc>
        <w:tc>
          <w:tcPr>
            <w:tcW w:w="60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92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56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6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8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40" w:type="dxa"/>
            <w:vAlign w:val="bottom"/>
            <w:shd w:val="clear" w:color="auto" w:fill="D2DCE5"/>
          </w:tcPr>
          <w:p>
            <w:pPr>
              <w:spacing w:after="0"/>
              <w:rPr>
                <w:sz w:val="21"/>
                <w:szCs w:val="21"/>
                <w:color w:val="auto"/>
              </w:rPr>
            </w:pPr>
          </w:p>
        </w:tc>
        <w:tc>
          <w:tcPr>
            <w:tcW w:w="580" w:type="dxa"/>
            <w:vAlign w:val="bottom"/>
            <w:shd w:val="clear" w:color="auto" w:fill="D2DCE5"/>
          </w:tcPr>
          <w:p>
            <w:pPr>
              <w:spacing w:after="0"/>
              <w:rPr>
                <w:sz w:val="21"/>
                <w:szCs w:val="21"/>
                <w:color w:val="auto"/>
              </w:rPr>
            </w:pPr>
          </w:p>
        </w:tc>
      </w:tr>
      <w:tr>
        <w:trPr>
          <w:trHeight w:val="224"/>
        </w:trPr>
        <w:tc>
          <w:tcPr>
            <w:tcW w:w="3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offerings</w:t>
            </w:r>
          </w:p>
        </w:tc>
        <w:tc>
          <w:tcPr>
            <w:tcW w:w="1260" w:type="dxa"/>
            <w:vAlign w:val="bottom"/>
            <w:tcBorders>
              <w:bottom w:val="single" w:sz="8" w:color="D2DCE5"/>
            </w:tcBorders>
            <w:gridSpan w:val="3"/>
            <w:shd w:val="clear" w:color="auto" w:fill="D2DCE5"/>
          </w:tcPr>
          <w:p>
            <w:pPr>
              <w:jc w:val="right"/>
              <w:ind w:right="400"/>
              <w:spacing w:after="0"/>
              <w:rPr>
                <w:sz w:val="20"/>
                <w:szCs w:val="20"/>
                <w:color w:val="auto"/>
              </w:rPr>
            </w:pPr>
            <w:r>
              <w:rPr>
                <w:rFonts w:ascii="Arial" w:cs="Arial" w:eastAsia="Arial" w:hAnsi="Arial"/>
                <w:sz w:val="18"/>
                <w:szCs w:val="18"/>
                <w:color w:val="131E29"/>
              </w:rPr>
              <w:t>—</w:t>
            </w:r>
          </w:p>
        </w:tc>
        <w:tc>
          <w:tcPr>
            <w:tcW w:w="720" w:type="dxa"/>
            <w:vAlign w:val="bottom"/>
            <w:tcBorders>
              <w:bottom w:val="single" w:sz="8" w:color="D2DCE5"/>
            </w:tcBorders>
            <w:gridSpan w:val="4"/>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2,253</w:t>
            </w:r>
          </w:p>
        </w:tc>
        <w:tc>
          <w:tcPr>
            <w:tcW w:w="2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20" w:type="dxa"/>
            <w:vAlign w:val="bottom"/>
            <w:tcBorders>
              <w:bottom w:val="single" w:sz="8" w:color="D2DCE5"/>
            </w:tcBorders>
            <w:shd w:val="clear" w:color="auto" w:fill="D2DCE5"/>
          </w:tcPr>
          <w:p>
            <w:pPr>
              <w:spacing w:after="0"/>
              <w:rPr>
                <w:sz w:val="19"/>
                <w:szCs w:val="19"/>
                <w:color w:val="auto"/>
              </w:rPr>
            </w:pPr>
          </w:p>
        </w:tc>
        <w:tc>
          <w:tcPr>
            <w:tcW w:w="260" w:type="dxa"/>
            <w:vAlign w:val="bottom"/>
            <w:tcBorders>
              <w:bottom w:val="single" w:sz="8" w:color="D2DCE5"/>
            </w:tcBorders>
            <w:shd w:val="clear" w:color="auto" w:fill="D2DCE5"/>
          </w:tcPr>
          <w:p>
            <w:pPr>
              <w:spacing w:after="0"/>
              <w:rPr>
                <w:sz w:val="19"/>
                <w:szCs w:val="19"/>
                <w:color w:val="auto"/>
              </w:rPr>
            </w:pP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w:t>
            </w:r>
          </w:p>
        </w:tc>
        <w:tc>
          <w:tcPr>
            <w:tcW w:w="20" w:type="dxa"/>
            <w:vAlign w:val="bottom"/>
            <w:tcBorders>
              <w:bottom w:val="single" w:sz="8" w:color="D2DCE5"/>
            </w:tcBorders>
            <w:shd w:val="clear" w:color="auto" w:fill="D2DCE5"/>
          </w:tcPr>
          <w:p>
            <w:pPr>
              <w:spacing w:after="0"/>
              <w:rPr>
                <w:sz w:val="19"/>
                <w:szCs w:val="19"/>
                <w:color w:val="auto"/>
              </w:rPr>
            </w:pPr>
          </w:p>
        </w:tc>
        <w:tc>
          <w:tcPr>
            <w:tcW w:w="80" w:type="dxa"/>
            <w:vAlign w:val="bottom"/>
            <w:tcBorders>
              <w:bottom w:val="single" w:sz="8" w:color="D2DCE5"/>
            </w:tcBorders>
            <w:shd w:val="clear" w:color="auto" w:fill="D2DCE5"/>
          </w:tcPr>
          <w:p>
            <w:pPr>
              <w:spacing w:after="0"/>
              <w:rPr>
                <w:sz w:val="19"/>
                <w:szCs w:val="19"/>
                <w:color w:val="auto"/>
              </w:rPr>
            </w:pPr>
          </w:p>
        </w:tc>
        <w:tc>
          <w:tcPr>
            <w:tcW w:w="1200" w:type="dxa"/>
            <w:vAlign w:val="bottom"/>
            <w:tcBorders>
              <w:bottom w:val="single" w:sz="8" w:color="D2DCE5"/>
            </w:tcBorders>
            <w:gridSpan w:val="4"/>
            <w:shd w:val="clear" w:color="auto" w:fill="D2DCE5"/>
          </w:tcPr>
          <w:p>
            <w:pPr>
              <w:jc w:val="right"/>
              <w:ind w:right="160"/>
              <w:spacing w:after="0"/>
              <w:rPr>
                <w:sz w:val="20"/>
                <w:szCs w:val="20"/>
                <w:color w:val="auto"/>
              </w:rPr>
            </w:pPr>
            <w:r>
              <w:rPr>
                <w:rFonts w:ascii="Arial" w:cs="Arial" w:eastAsia="Arial" w:hAnsi="Arial"/>
                <w:sz w:val="18"/>
                <w:szCs w:val="18"/>
                <w:color w:val="131E29"/>
              </w:rPr>
              <w:t>—</w:t>
            </w:r>
          </w:p>
        </w:tc>
        <w:tc>
          <w:tcPr>
            <w:tcW w:w="740" w:type="dxa"/>
            <w:vAlign w:val="bottom"/>
            <w:tcBorders>
              <w:bottom w:val="single" w:sz="8" w:color="D2DCE5"/>
            </w:tcBorders>
            <w:gridSpan w:val="3"/>
            <w:shd w:val="clear" w:color="auto" w:fill="D2DCE5"/>
          </w:tcPr>
          <w:p>
            <w:pPr>
              <w:jc w:val="right"/>
              <w:ind w:right="10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2,329</w:t>
            </w:r>
          </w:p>
        </w:tc>
        <w:tc>
          <w:tcPr>
            <w:tcW w:w="100" w:type="dxa"/>
            <w:vAlign w:val="bottom"/>
            <w:tcBorders>
              <w:bottom w:val="single" w:sz="8" w:color="D2DCE5"/>
            </w:tcBorders>
            <w:shd w:val="clear" w:color="auto" w:fill="D2DCE5"/>
          </w:tcPr>
          <w:p>
            <w:pPr>
              <w:spacing w:after="0"/>
              <w:rPr>
                <w:sz w:val="19"/>
                <w:szCs w:val="19"/>
                <w:color w:val="auto"/>
              </w:rPr>
            </w:pPr>
          </w:p>
        </w:tc>
        <w:tc>
          <w:tcPr>
            <w:tcW w:w="140" w:type="dxa"/>
            <w:vAlign w:val="bottom"/>
            <w:tcBorders>
              <w:bottom w:val="single" w:sz="8" w:color="D2DCE5"/>
            </w:tcBorders>
            <w:shd w:val="clear" w:color="auto" w:fill="D2DCE5"/>
          </w:tcPr>
          <w:p>
            <w:pPr>
              <w:spacing w:after="0"/>
              <w:rPr>
                <w:sz w:val="19"/>
                <w:szCs w:val="19"/>
                <w:color w:val="auto"/>
              </w:rPr>
            </w:pP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42"/>
        </w:trPr>
        <w:tc>
          <w:tcPr>
            <w:tcW w:w="3500" w:type="dxa"/>
            <w:vAlign w:val="bottom"/>
            <w:gridSpan w:val="2"/>
          </w:tcPr>
          <w:p>
            <w:pPr>
              <w:ind w:left="180"/>
              <w:spacing w:after="0"/>
              <w:rPr>
                <w:sz w:val="20"/>
                <w:szCs w:val="20"/>
                <w:color w:val="auto"/>
              </w:rPr>
            </w:pPr>
            <w:r>
              <w:rPr>
                <w:rFonts w:ascii="Arial" w:cs="Arial" w:eastAsia="Arial" w:hAnsi="Arial"/>
                <w:sz w:val="18"/>
                <w:szCs w:val="18"/>
                <w:color w:val="131E29"/>
              </w:rPr>
              <w:t>COVID-19: “Thank You” pay and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7"/>
        </w:trPr>
        <w:tc>
          <w:tcPr>
            <w:tcW w:w="3500" w:type="dxa"/>
            <w:vAlign w:val="bottom"/>
            <w:gridSpan w:val="2"/>
          </w:tcPr>
          <w:p>
            <w:pPr>
              <w:ind w:left="180"/>
              <w:spacing w:after="0"/>
              <w:rPr>
                <w:sz w:val="20"/>
                <w:szCs w:val="20"/>
                <w:color w:val="auto"/>
              </w:rPr>
            </w:pPr>
            <w:r>
              <w:rPr>
                <w:rFonts w:ascii="Arial" w:cs="Arial" w:eastAsia="Arial" w:hAnsi="Arial"/>
                <w:sz w:val="18"/>
                <w:szCs w:val="18"/>
                <w:color w:val="131E29"/>
              </w:rPr>
              <w:t>catastrophic leave</w:t>
            </w:r>
          </w:p>
        </w:tc>
        <w:tc>
          <w:tcPr>
            <w:tcW w:w="940" w:type="dxa"/>
            <w:vAlign w:val="bottom"/>
          </w:tcPr>
          <w:p>
            <w:pPr>
              <w:jc w:val="right"/>
              <w:spacing w:after="0"/>
              <w:rPr>
                <w:sz w:val="20"/>
                <w:szCs w:val="20"/>
                <w:color w:val="auto"/>
              </w:rPr>
            </w:pPr>
            <w:r>
              <w:rPr>
                <w:rFonts w:ascii="Arial" w:cs="Arial" w:eastAsia="Arial" w:hAnsi="Arial"/>
                <w:sz w:val="18"/>
                <w:szCs w:val="18"/>
                <w:color w:val="131E29"/>
              </w:rPr>
              <w:t>224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131E29"/>
              </w:rPr>
              <w:t>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31E29"/>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1,174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131E29"/>
              </w:rPr>
              <w:t>0.3</w:t>
            </w:r>
          </w:p>
        </w:tc>
        <w:tc>
          <w:tcPr>
            <w:tcW w:w="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131E29"/>
              </w:rPr>
              <w:t>2,556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31E29"/>
              </w:rPr>
              <w:t>1.1</w:t>
            </w:r>
          </w:p>
        </w:tc>
      </w:tr>
      <w:tr>
        <w:trPr>
          <w:trHeight w:val="27"/>
        </w:trPr>
        <w:tc>
          <w:tcPr>
            <w:tcW w:w="35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COVID-19: Prepaid costs not utilized</w:t>
            </w:r>
          </w:p>
        </w:tc>
        <w:tc>
          <w:tcPr>
            <w:tcW w:w="1260" w:type="dxa"/>
            <w:vAlign w:val="bottom"/>
            <w:tcBorders>
              <w:bottom w:val="single" w:sz="8" w:color="D2DCE5"/>
            </w:tcBorders>
            <w:gridSpan w:val="3"/>
            <w:shd w:val="clear" w:color="auto" w:fill="D2DCE5"/>
          </w:tcPr>
          <w:p>
            <w:pPr>
              <w:jc w:val="right"/>
              <w:ind w:right="400"/>
              <w:spacing w:after="0"/>
              <w:rPr>
                <w:sz w:val="20"/>
                <w:szCs w:val="20"/>
                <w:color w:val="auto"/>
              </w:rPr>
            </w:pPr>
            <w:r>
              <w:rPr>
                <w:rFonts w:ascii="Arial" w:cs="Arial" w:eastAsia="Arial" w:hAnsi="Arial"/>
                <w:sz w:val="18"/>
                <w:szCs w:val="18"/>
                <w:color w:val="131E29"/>
              </w:rPr>
              <w:t>—</w:t>
            </w:r>
          </w:p>
        </w:tc>
        <w:tc>
          <w:tcPr>
            <w:tcW w:w="720" w:type="dxa"/>
            <w:vAlign w:val="bottom"/>
            <w:tcBorders>
              <w:bottom w:val="single" w:sz="8" w:color="D2DCE5"/>
            </w:tcBorders>
            <w:gridSpan w:val="4"/>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300" w:type="dxa"/>
            <w:vAlign w:val="bottom"/>
            <w:tcBorders>
              <w:bottom w:val="single" w:sz="8" w:color="D2DCE5"/>
            </w:tcBorders>
            <w:gridSpan w:val="5"/>
            <w:shd w:val="clear" w:color="auto" w:fill="D2DCE5"/>
          </w:tcPr>
          <w:p>
            <w:pPr>
              <w:jc w:val="right"/>
              <w:ind w:right="440"/>
              <w:spacing w:after="0"/>
              <w:rPr>
                <w:sz w:val="20"/>
                <w:szCs w:val="20"/>
                <w:color w:val="auto"/>
              </w:rPr>
            </w:pPr>
            <w:r>
              <w:rPr>
                <w:rFonts w:ascii="Arial" w:cs="Arial" w:eastAsia="Arial" w:hAnsi="Arial"/>
                <w:sz w:val="18"/>
                <w:szCs w:val="18"/>
                <w:color w:val="131E29"/>
              </w:rPr>
              <w:t>—</w:t>
            </w:r>
          </w:p>
        </w:tc>
        <w:tc>
          <w:tcPr>
            <w:tcW w:w="660" w:type="dxa"/>
            <w:vAlign w:val="bottom"/>
            <w:tcBorders>
              <w:bottom w:val="single" w:sz="8" w:color="D2DCE5"/>
            </w:tcBorders>
            <w:gridSpan w:val="3"/>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gridSpan w:val="2"/>
            <w:shd w:val="clear" w:color="auto" w:fill="D2DCE5"/>
          </w:tcPr>
          <w:p>
            <w:pPr>
              <w:jc w:val="right"/>
              <w:spacing w:after="0"/>
              <w:rPr>
                <w:sz w:val="20"/>
                <w:szCs w:val="20"/>
                <w:color w:val="auto"/>
              </w:rPr>
            </w:pPr>
            <w:r>
              <w:rPr>
                <w:rFonts w:ascii="Arial" w:cs="Arial" w:eastAsia="Arial" w:hAnsi="Arial"/>
                <w:sz w:val="18"/>
                <w:szCs w:val="18"/>
                <w:color w:val="131E29"/>
              </w:rPr>
              <w:t>1,200</w:t>
            </w:r>
          </w:p>
        </w:tc>
        <w:tc>
          <w:tcPr>
            <w:tcW w:w="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720" w:type="dxa"/>
            <w:vAlign w:val="bottom"/>
            <w:tcBorders>
              <w:bottom w:val="single" w:sz="8" w:color="D2DCE5"/>
            </w:tcBorders>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0.4</w:t>
            </w:r>
          </w:p>
        </w:tc>
        <w:tc>
          <w:tcPr>
            <w:tcW w:w="2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gridSpan w:val="4"/>
            <w:shd w:val="clear" w:color="auto" w:fill="D2DCE5"/>
          </w:tcPr>
          <w:p>
            <w:pPr>
              <w:jc w:val="right"/>
              <w:ind w:right="320"/>
              <w:spacing w:after="0"/>
              <w:rPr>
                <w:sz w:val="20"/>
                <w:szCs w:val="20"/>
                <w:color w:val="auto"/>
              </w:rPr>
            </w:pPr>
            <w:r>
              <w:rPr>
                <w:rFonts w:ascii="Arial" w:cs="Arial" w:eastAsia="Arial" w:hAnsi="Arial"/>
                <w:sz w:val="18"/>
                <w:szCs w:val="18"/>
                <w:color w:val="131E29"/>
              </w:rPr>
              <w:t>—</w:t>
            </w: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3"/>
        </w:trPr>
        <w:tc>
          <w:tcPr>
            <w:tcW w:w="3500" w:type="dxa"/>
            <w:vAlign w:val="bottom"/>
            <w:gridSpan w:val="2"/>
          </w:tcPr>
          <w:p>
            <w:pPr>
              <w:ind w:left="180"/>
              <w:spacing w:after="0"/>
              <w:rPr>
                <w:sz w:val="20"/>
                <w:szCs w:val="20"/>
                <w:color w:val="auto"/>
              </w:rPr>
            </w:pPr>
            <w:r>
              <w:rPr>
                <w:rFonts w:ascii="Arial" w:cs="Arial" w:eastAsia="Arial" w:hAnsi="Arial"/>
                <w:sz w:val="18"/>
                <w:szCs w:val="18"/>
                <w:color w:val="131E29"/>
              </w:rPr>
              <w:t>Milestone events</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131E29"/>
              </w:rPr>
              <w:t>—</w:t>
            </w: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131E29"/>
              </w:rPr>
              <w:t>—</w:t>
            </w:r>
          </w:p>
        </w:tc>
        <w:tc>
          <w:tcPr>
            <w:tcW w:w="1300" w:type="dxa"/>
            <w:vAlign w:val="bottom"/>
            <w:gridSpan w:val="5"/>
          </w:tcPr>
          <w:p>
            <w:pPr>
              <w:jc w:val="right"/>
              <w:ind w:right="440"/>
              <w:spacing w:after="0"/>
              <w:rPr>
                <w:sz w:val="20"/>
                <w:szCs w:val="20"/>
                <w:color w:val="auto"/>
              </w:rPr>
            </w:pPr>
            <w:r>
              <w:rPr>
                <w:rFonts w:ascii="Arial" w:cs="Arial" w:eastAsia="Arial" w:hAnsi="Arial"/>
                <w:sz w:val="18"/>
                <w:szCs w:val="18"/>
                <w:color w:val="131E29"/>
              </w:rPr>
              <w:t>—</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131E2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131E29"/>
              </w:rPr>
              <w:t>2,434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131E29"/>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131E29"/>
              </w:rPr>
              <w:t>—</w:t>
            </w:r>
          </w:p>
        </w:tc>
        <w:tc>
          <w:tcPr>
            <w:tcW w:w="58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7"/>
        </w:trPr>
        <w:tc>
          <w:tcPr>
            <w:tcW w:w="3500" w:type="dxa"/>
            <w:vAlign w:val="bottom"/>
            <w:tcBorders>
              <w:bottom w:val="single" w:sz="8" w:color="D2DCE5"/>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20" w:type="dxa"/>
            <w:vAlign w:val="bottom"/>
            <w:tcBorders>
              <w:bottom w:val="single" w:sz="8" w:color="131E29"/>
            </w:tcBorders>
          </w:tcPr>
          <w:p>
            <w:pPr>
              <w:spacing w:after="0"/>
              <w:rPr>
                <w:sz w:val="2"/>
                <w:szCs w:val="2"/>
                <w:color w:val="auto"/>
              </w:rPr>
            </w:pPr>
          </w:p>
        </w:tc>
        <w:tc>
          <w:tcPr>
            <w:tcW w:w="600" w:type="dxa"/>
            <w:vAlign w:val="bottom"/>
            <w:tcBorders>
              <w:bottom w:val="single" w:sz="8" w:color="131E29"/>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131E29"/>
            </w:tcBorders>
          </w:tcPr>
          <w:p>
            <w:pPr>
              <w:spacing w:after="0"/>
              <w:rPr>
                <w:sz w:val="2"/>
                <w:szCs w:val="2"/>
                <w:color w:val="auto"/>
              </w:rPr>
            </w:pPr>
          </w:p>
        </w:tc>
        <w:tc>
          <w:tcPr>
            <w:tcW w:w="260" w:type="dxa"/>
            <w:vAlign w:val="bottom"/>
            <w:tcBorders>
              <w:bottom w:val="single" w:sz="8" w:color="131E29"/>
            </w:tcBorders>
          </w:tcPr>
          <w:p>
            <w:pPr>
              <w:spacing w:after="0"/>
              <w:rPr>
                <w:sz w:val="2"/>
                <w:szCs w:val="2"/>
                <w:color w:val="auto"/>
              </w:rPr>
            </w:pPr>
          </w:p>
        </w:tc>
        <w:tc>
          <w:tcPr>
            <w:tcW w:w="560" w:type="dxa"/>
            <w:vAlign w:val="bottom"/>
            <w:tcBorders>
              <w:bottom w:val="single" w:sz="8" w:color="131E29"/>
            </w:tcBorders>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20" w:type="dxa"/>
            <w:vAlign w:val="bottom"/>
            <w:tcBorders>
              <w:bottom w:val="single" w:sz="8" w:color="131E29"/>
            </w:tcBorders>
            <w:gridSpan w:val="2"/>
          </w:tcPr>
          <w:p>
            <w:pPr>
              <w:spacing w:after="0"/>
              <w:rPr>
                <w:sz w:val="2"/>
                <w:szCs w:val="2"/>
                <w:color w:val="auto"/>
              </w:rPr>
            </w:pPr>
          </w:p>
        </w:tc>
        <w:tc>
          <w:tcPr>
            <w:tcW w:w="20" w:type="dxa"/>
            <w:vAlign w:val="bottom"/>
            <w:tcBorders>
              <w:bottom w:val="single" w:sz="8" w:color="D2DCE5"/>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131E29"/>
            </w:tcBorders>
          </w:tcPr>
          <w:p>
            <w:pPr>
              <w:spacing w:after="0"/>
              <w:rPr>
                <w:sz w:val="2"/>
                <w:szCs w:val="2"/>
                <w:color w:val="auto"/>
              </w:rPr>
            </w:pPr>
          </w:p>
        </w:tc>
        <w:tc>
          <w:tcPr>
            <w:tcW w:w="580" w:type="dxa"/>
            <w:vAlign w:val="bottom"/>
            <w:tcBorders>
              <w:bottom w:val="single" w:sz="8" w:color="131E29"/>
            </w:tcBorders>
          </w:tcPr>
          <w:p>
            <w:pPr>
              <w:spacing w:after="0"/>
              <w:rPr>
                <w:sz w:val="2"/>
                <w:szCs w:val="2"/>
                <w:color w:val="auto"/>
              </w:rPr>
            </w:pPr>
          </w:p>
        </w:tc>
      </w:tr>
      <w:tr>
        <w:trPr>
          <w:trHeight w:val="283"/>
        </w:trPr>
        <w:tc>
          <w:tcPr>
            <w:tcW w:w="350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Adjusted EBITDA</w:t>
            </w:r>
          </w:p>
        </w:tc>
        <w:tc>
          <w:tcPr>
            <w:tcW w:w="9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23,939</w:t>
            </w:r>
          </w:p>
        </w:tc>
        <w:tc>
          <w:tcPr>
            <w:tcW w:w="10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12.8</w:t>
            </w:r>
          </w:p>
        </w:tc>
        <w:tc>
          <w:tcPr>
            <w:tcW w:w="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0" w:type="dxa"/>
            <w:vAlign w:val="bottom"/>
            <w:shd w:val="clear" w:color="auto" w:fill="D2DCE5"/>
          </w:tcPr>
          <w:p>
            <w:pPr>
              <w:spacing w:after="0"/>
              <w:rPr>
                <w:sz w:val="24"/>
                <w:szCs w:val="24"/>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30,699</w:t>
            </w:r>
          </w:p>
        </w:tc>
        <w:tc>
          <w:tcPr>
            <w:tcW w:w="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20" w:type="dxa"/>
            <w:vAlign w:val="bottom"/>
            <w:shd w:val="clear" w:color="auto" w:fill="D2DCE5"/>
          </w:tcPr>
          <w:p>
            <w:pPr>
              <w:spacing w:after="0"/>
              <w:rPr>
                <w:sz w:val="24"/>
                <w:szCs w:val="24"/>
                <w:color w:val="auto"/>
              </w:rPr>
            </w:pPr>
          </w:p>
        </w:tc>
        <w:tc>
          <w:tcPr>
            <w:tcW w:w="260" w:type="dxa"/>
            <w:vAlign w:val="bottom"/>
            <w:shd w:val="clear" w:color="auto" w:fill="D2DCE5"/>
          </w:tcPr>
          <w:p>
            <w:pPr>
              <w:spacing w:after="0"/>
              <w:rPr>
                <w:sz w:val="24"/>
                <w:szCs w:val="2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23.8</w:t>
            </w:r>
          </w:p>
        </w:tc>
        <w:tc>
          <w:tcPr>
            <w:tcW w:w="2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8"/>
                <w:szCs w:val="18"/>
                <w:color w:val="131E29"/>
              </w:rPr>
              <w:t>33,601</w:t>
            </w:r>
          </w:p>
        </w:tc>
        <w:tc>
          <w:tcPr>
            <w:tcW w:w="80" w:type="dxa"/>
            <w:vAlign w:val="bottom"/>
            <w:shd w:val="clear" w:color="auto" w:fill="D2DCE5"/>
          </w:tcPr>
          <w:p>
            <w:pPr>
              <w:spacing w:after="0"/>
              <w:rPr>
                <w:sz w:val="24"/>
                <w:szCs w:val="24"/>
                <w:color w:val="auto"/>
              </w:rPr>
            </w:pPr>
          </w:p>
        </w:tc>
        <w:tc>
          <w:tcPr>
            <w:tcW w:w="80" w:type="dxa"/>
            <w:vAlign w:val="bottom"/>
            <w:shd w:val="clear" w:color="auto" w:fill="D2DCE5"/>
          </w:tcPr>
          <w:p>
            <w:pPr>
              <w:spacing w:after="0"/>
              <w:rPr>
                <w:sz w:val="24"/>
                <w:szCs w:val="24"/>
                <w:color w:val="auto"/>
              </w:rPr>
            </w:pPr>
          </w:p>
        </w:tc>
        <w:tc>
          <w:tcPr>
            <w:tcW w:w="720" w:type="dxa"/>
            <w:vAlign w:val="bottom"/>
            <w:gridSpan w:val="2"/>
            <w:shd w:val="clear" w:color="auto" w:fill="D2DCE5"/>
          </w:tcPr>
          <w:p>
            <w:pPr>
              <w:jc w:val="right"/>
              <w:ind w:right="80"/>
              <w:spacing w:after="0"/>
              <w:rPr>
                <w:sz w:val="20"/>
                <w:szCs w:val="20"/>
                <w:color w:val="auto"/>
              </w:rPr>
            </w:pPr>
            <w:r>
              <w:rPr>
                <w:rFonts w:ascii="Arial" w:cs="Arial" w:eastAsia="Arial" w:hAnsi="Arial"/>
                <w:sz w:val="18"/>
                <w:szCs w:val="18"/>
                <w:color w:val="131E29"/>
              </w:rPr>
              <w:t>9.9</w:t>
            </w:r>
          </w:p>
        </w:tc>
        <w:tc>
          <w:tcPr>
            <w:tcW w:w="20" w:type="dxa"/>
            <w:vAlign w:val="bottom"/>
            <w:shd w:val="clear" w:color="auto" w:fill="D2DCE5"/>
          </w:tcPr>
          <w:p>
            <w:pPr>
              <w:spacing w:after="0"/>
              <w:rPr>
                <w:sz w:val="24"/>
                <w:szCs w:val="24"/>
                <w:color w:val="auto"/>
              </w:rPr>
            </w:pPr>
          </w:p>
        </w:tc>
        <w:tc>
          <w:tcPr>
            <w:tcW w:w="1040" w:type="dxa"/>
            <w:vAlign w:val="bottom"/>
            <w:gridSpan w:val="3"/>
            <w:shd w:val="clear" w:color="auto" w:fill="D2DCE5"/>
          </w:tcPr>
          <w:p>
            <w:pPr>
              <w:jc w:val="right"/>
              <w:ind w:right="80"/>
              <w:spacing w:after="0"/>
              <w:rPr>
                <w:sz w:val="20"/>
                <w:szCs w:val="20"/>
                <w:color w:val="auto"/>
              </w:rPr>
            </w:pPr>
            <w:r>
              <w:rPr>
                <w:rFonts w:ascii="Arial" w:cs="Arial" w:eastAsia="Arial" w:hAnsi="Arial"/>
                <w:sz w:val="18"/>
                <w:szCs w:val="18"/>
                <w:color w:val="131E29"/>
              </w:rPr>
              <w:t>49,384</w:t>
            </w:r>
          </w:p>
        </w:tc>
        <w:tc>
          <w:tcPr>
            <w:tcW w:w="100" w:type="dxa"/>
            <w:vAlign w:val="bottom"/>
            <w:shd w:val="clear" w:color="auto" w:fill="D2DCE5"/>
          </w:tcPr>
          <w:p>
            <w:pPr>
              <w:spacing w:after="0"/>
              <w:rPr>
                <w:sz w:val="24"/>
                <w:szCs w:val="24"/>
                <w:color w:val="auto"/>
              </w:rPr>
            </w:pPr>
          </w:p>
        </w:tc>
        <w:tc>
          <w:tcPr>
            <w:tcW w:w="140" w:type="dxa"/>
            <w:vAlign w:val="bottom"/>
            <w:shd w:val="clear" w:color="auto" w:fill="D2DCE5"/>
          </w:tcPr>
          <w:p>
            <w:pPr>
              <w:spacing w:after="0"/>
              <w:rPr>
                <w:sz w:val="24"/>
                <w:szCs w:val="24"/>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21.7</w:t>
            </w:r>
          </w:p>
        </w:tc>
      </w:tr>
      <w:tr>
        <w:trPr>
          <w:trHeight w:val="20"/>
        </w:trPr>
        <w:tc>
          <w:tcPr>
            <w:tcW w:w="34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131E29"/>
              <w:bottom w:val="single" w:sz="8" w:color="131E29"/>
            </w:tcBorders>
          </w:tcPr>
          <w:p>
            <w:pPr>
              <w:spacing w:after="0" w:line="20" w:lineRule="exact"/>
              <w:rPr>
                <w:sz w:val="1"/>
                <w:szCs w:val="1"/>
                <w:color w:val="auto"/>
              </w:rPr>
            </w:pPr>
          </w:p>
        </w:tc>
        <w:tc>
          <w:tcPr>
            <w:tcW w:w="600" w:type="dxa"/>
            <w:vAlign w:val="bottom"/>
            <w:tcBorders>
              <w:top w:val="single" w:sz="8" w:color="131E29"/>
              <w:bottom w:val="single" w:sz="8" w:color="131E29"/>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131E29"/>
              <w:bottom w:val="single" w:sz="8" w:color="131E29"/>
            </w:tcBorders>
          </w:tcPr>
          <w:p>
            <w:pPr>
              <w:spacing w:after="0" w:line="20" w:lineRule="exact"/>
              <w:rPr>
                <w:sz w:val="1"/>
                <w:szCs w:val="1"/>
                <w:color w:val="auto"/>
              </w:rPr>
            </w:pPr>
          </w:p>
        </w:tc>
        <w:tc>
          <w:tcPr>
            <w:tcW w:w="260" w:type="dxa"/>
            <w:vAlign w:val="bottom"/>
            <w:tcBorders>
              <w:top w:val="single" w:sz="8" w:color="131E29"/>
              <w:bottom w:val="single" w:sz="8" w:color="131E29"/>
            </w:tcBorders>
          </w:tcPr>
          <w:p>
            <w:pPr>
              <w:spacing w:after="0" w:line="20" w:lineRule="exact"/>
              <w:rPr>
                <w:sz w:val="1"/>
                <w:szCs w:val="1"/>
                <w:color w:val="auto"/>
              </w:rPr>
            </w:pPr>
          </w:p>
        </w:tc>
        <w:tc>
          <w:tcPr>
            <w:tcW w:w="560" w:type="dxa"/>
            <w:vAlign w:val="bottom"/>
            <w:tcBorders>
              <w:top w:val="single" w:sz="8" w:color="131E29"/>
              <w:bottom w:val="single" w:sz="8" w:color="131E29"/>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4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Borders>
              <w:top w:val="single" w:sz="8" w:color="131E29"/>
              <w:bottom w:val="single" w:sz="8" w:color="131E29"/>
            </w:tcBorders>
          </w:tcPr>
          <w:p>
            <w:pPr>
              <w:spacing w:after="0" w:line="20" w:lineRule="exact"/>
              <w:rPr>
                <w:sz w:val="1"/>
                <w:szCs w:val="1"/>
                <w:color w:val="auto"/>
              </w:rPr>
            </w:pPr>
          </w:p>
        </w:tc>
        <w:tc>
          <w:tcPr>
            <w:tcW w:w="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131E29"/>
              <w:bottom w:val="single" w:sz="8" w:color="131E29"/>
            </w:tcBorders>
          </w:tcPr>
          <w:p>
            <w:pPr>
              <w:spacing w:after="0" w:line="20" w:lineRule="exact"/>
              <w:rPr>
                <w:sz w:val="1"/>
                <w:szCs w:val="1"/>
                <w:color w:val="auto"/>
              </w:rPr>
            </w:pPr>
          </w:p>
        </w:tc>
        <w:tc>
          <w:tcPr>
            <w:tcW w:w="580" w:type="dxa"/>
            <w:vAlign w:val="bottom"/>
            <w:tcBorders>
              <w:top w:val="single" w:sz="8" w:color="131E29"/>
              <w:bottom w:val="single" w:sz="8" w:color="131E29"/>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77" w:lineRule="exact"/>
        <w:rPr>
          <w:sz w:val="20"/>
          <w:szCs w:val="20"/>
          <w:color w:val="auto"/>
        </w:rPr>
      </w:pPr>
    </w:p>
    <w:p>
      <w:pPr>
        <w:jc w:val="both"/>
        <w:ind w:left="180" w:hanging="172"/>
        <w:spacing w:after="0" w:line="270" w:lineRule="auto"/>
        <w:tabs>
          <w:tab w:leader="none" w:pos="235" w:val="left"/>
        </w:tabs>
        <w:numPr>
          <w:ilvl w:val="0"/>
          <w:numId w:val="33"/>
        </w:numPr>
        <w:rPr>
          <w:rFonts w:ascii="Arial" w:cs="Arial" w:eastAsia="Arial" w:hAnsi="Arial"/>
          <w:sz w:val="9"/>
          <w:szCs w:val="9"/>
          <w:color w:val="auto"/>
        </w:rPr>
      </w:pPr>
      <w:r>
        <w:rPr>
          <w:rFonts w:ascii="Arial" w:cs="Arial" w:eastAsia="Arial" w:hAnsi="Arial"/>
          <w:sz w:val="14"/>
          <w:szCs w:val="14"/>
          <w:color w:val="auto"/>
        </w:rPr>
        <w:t>Our historical results have been revised to reflect immaterial corrections related to the accrual of employee sick leave. For additional information, refer to NOTE 2 — Basis of Presentation and Summary of Significant Accounting Policies and NOTE 18 — Segment Reporting, included elsewhere in this Form 10-Q. The impacts of the immaterial corrections on our non-GAAP measures, not included elsewhere in this Form 10-Q, are presented below for the three and six months ended June 30, 2021, respectively.</w:t>
      </w:r>
    </w:p>
    <w:p>
      <w:pPr>
        <w:spacing w:after="0" w:line="145" w:lineRule="exact"/>
        <w:rPr>
          <w:rFonts w:ascii="Arial" w:cs="Arial" w:eastAsia="Arial" w:hAnsi="Arial"/>
          <w:sz w:val="9"/>
          <w:szCs w:val="9"/>
          <w:color w:val="auto"/>
        </w:rPr>
      </w:pPr>
    </w:p>
    <w:p>
      <w:pPr>
        <w:ind w:left="660" w:hanging="328"/>
        <w:spacing w:after="0"/>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Increase in EBITDA of $0.4 million and $1.2 million</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Increase in Adjusted EBITDA of $0.4 million and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QUANTITATIVE AND QUALITATIVE DISCLOSURES ABOUT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Commodity Risks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profitability is dependent on, among other things, our ability to anticipate and react to changes in the costs of key operating resources, including beverage,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as well as making other operational adjustments that increase productivity. However, substantial increases in costs and expenses, including dairy, coffee, fuel, and packaging commodities pricing during the six months ended June 30, 2022, could impact our operating results to the extent that such increases continue and cannot be offset by menu price increases. Additionally, if there is a time lag between increasing commodity prices and our ability to increase menu prices or if we choose not to pass on the cost increases, our operating results could be negatively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Labor and Benefits Costs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have experienced minimum wage increases in several states. In the future, we may or may not be able to offset these cost increases with operational efficiencies or menu price increases. As of June 30, 2022, we employed approximately 13,000 hourly workers in our company-operated shops.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Interest Rate Risk</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As of June 30, 2022, $100.0 million and $ 47.7 million was outstanding on our term loan and revolving loans, respectively. A hypothetical increase of interest rates up to 1% on our outstanding term and revolving loans as of June 30, 2022 would result in an increase in our annual interest expense of approximately $1.5 million. From time to time we may use interest rate swaps to mitigate the potential impacts of changes in benchmark interest rates on interest expense and cash flows.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Inflation</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primary inflation factors affecting our operations are commodity and supplies, energy costs, and construction labor costs of company-operated shops. Increases in the minimum wage requirements directly affect our labor costs. Our leases require us to pay taxes, maintenance, repairs, insurance, and utilities, all of which are generally subject to inflationary increases. Finally, the cost of constructing our shops is subject to inflation, which could increase the costs of labor and materials, and result in higher rent expense on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Evaluation of Disclosure Controls and Procedures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As of the end of the period covered by this Form 10-Q, our Chief Executive Officer (principal executive officer) and Chief Financial Officer (principal financial officer), have conducted an evaluation of the effectiveness of the design and operation of our disclosure controls and procedures (as defined in Rules 13a-15(e) and 15d-15(e) under the Securities Exchange Act of 1934, as amended (the Exchange Act)). Our certifying officers concluded that, as a result of the material weaknesses in internal control over financial reporting as described below, our disclosure controls and procedures were not effective as of June 30, 2022. 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 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previously identified and disclosed in Part II, Item 9A of our Annual Report on Form 10-K for the year ended December 31, 2021, material weaknesses in our internal control over financial reporting due to limited accounting department personnel capable of appropriately accounting for complex transactions undertaken by the Company and insufficient controls over the review and approval of manual journal entries, including appropriate segregation of duties. Additionally, as a result of the limited accounting department personnel we were unable to maintain an effective risk assessment process necessary to identify all relevant risks of material misstatement and to evaluate the implications of relevant risks on our internal control over financial reporting. As a consequence of the material weaknesses described above, internal control deficiencies related to the design and operation of process-level controls were determined to be pervasive throughout the Company’s financial reporting processes.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Notwithstanding the previously identified material weaknesses, management believes the condensed consolidated financial statements included in this Quarterly Report on Form 10-Q fairly present, in all material respects, our financial condition, results of operations and cash flows as of and for the periods presented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Remediation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remedial actions have been taken as of June 30, 2022:</w:t>
      </w:r>
    </w:p>
    <w:p>
      <w:pPr>
        <w:spacing w:after="0" w:line="171" w:lineRule="exact"/>
        <w:rPr>
          <w:sz w:val="20"/>
          <w:szCs w:val="20"/>
          <w:color w:val="auto"/>
        </w:rPr>
      </w:pPr>
    </w:p>
    <w:p>
      <w:pPr>
        <w:ind w:left="340" w:hanging="332"/>
        <w:spacing w:after="0" w:line="261" w:lineRule="auto"/>
        <w:tabs>
          <w:tab w:leader="none" w:pos="335" w:val="left"/>
        </w:tabs>
        <w:numPr>
          <w:ilvl w:val="0"/>
          <w:numId w:val="34"/>
        </w:numPr>
        <w:rPr>
          <w:rFonts w:ascii="Arial" w:cs="Arial" w:eastAsia="Arial" w:hAnsi="Arial"/>
          <w:sz w:val="18"/>
          <w:szCs w:val="18"/>
          <w:color w:val="131E29"/>
        </w:rPr>
      </w:pPr>
      <w:r>
        <w:rPr>
          <w:rFonts w:ascii="Arial" w:cs="Arial" w:eastAsia="Arial" w:hAnsi="Arial"/>
          <w:sz w:val="18"/>
          <w:szCs w:val="18"/>
          <w:color w:val="131E29"/>
        </w:rPr>
        <w:t>Hired additional full-time accounting subject matter experts with appropriate levels of experience, and augmented skills gaps with external experts;</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4"/>
        </w:numPr>
        <w:rPr>
          <w:rFonts w:ascii="Arial" w:cs="Arial" w:eastAsia="Arial" w:hAnsi="Arial"/>
          <w:sz w:val="18"/>
          <w:szCs w:val="18"/>
          <w:color w:val="131E29"/>
        </w:rPr>
      </w:pPr>
      <w:r>
        <w:rPr>
          <w:rFonts w:ascii="Arial" w:cs="Arial" w:eastAsia="Arial" w:hAnsi="Arial"/>
          <w:sz w:val="18"/>
          <w:szCs w:val="18"/>
          <w:color w:val="131E29"/>
        </w:rPr>
        <w:t>Reallocated responsibilities across the accounting organization to ensure level of knowledge and experience are applied based on risk and complexity of transactions and tasks under review, as well as to establish appropriate segregation of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Engaged a professional accounting services firm for technical support in critical areas regarding pronouncements and standards;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Established procedures to document review of manual journal entries and are in the process of implementing applications controls within the accounting system to ensure proper segregation of duties;</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Initiated detailed accounting policies review to confirm alignment with GAAP. This review process identified the immaterial error related to historic sick leave pay accruals that should not have been recorded; and</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Commenced an entity-wide risk assessment process which will include documenting internal ownership of risk monitoring and mitigation efforts, risk monitoring activities, and regular reporting by internal audit to executive management and our Audit and Risk Committee of the Board of Directors on an appropriate frequency.</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While significant progress has been made to enhance our internal control over financial reporting, we are still in the process of implementing and testing these remediated processes, procedures and controls. Additional time is required to complete our assessment. 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 had been remediated as of June 30, 2022, and therefore have concluded that our disclosure controls and procedures were not effective as of June 30, 2022.</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Changes in Internal Control over Financial Reporting</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Beginning January 1, 2022, we implemented ASU 2016-02, as amended, which required the implementation of internal controls to ensure we adequately evaluated our real estate and other vendor contracts and agreements and properly assessed the impact of the new accounting standard. In addition, the new leasing standard had a material impact on our condensed consolidated balance sheets as well as additional disclosure requirements. As such, we implemented changes to our policies and internal control over financial reporting related to our accounting for leases.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Other than those with respect to leases and the remediation efforts described above in our internal control over financial reporting (as defined in Rules 13a-15(f) and 1d-15(f) under the Exchange Act), no other changes occurred during the three months ended June 30, 2022 that has materially affected, or is reasonably likely to materially affect, our internal control over financial reporting.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131E29"/>
        </w:rPr>
        <w:t>We are not currently involved in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Summary of Risk Factors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spacing w:after="0" w:line="22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Evolving consumer preferences and tastes or changes in consumer spending may adversely affect our business.</w:t>
      </w:r>
    </w:p>
    <w:p>
      <w:pPr>
        <w:spacing w:after="0" w:line="171"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147" w:lineRule="exact"/>
        <w:rPr>
          <w:rFonts w:ascii="Arial" w:cs="Arial" w:eastAsia="Arial" w:hAnsi="Arial"/>
          <w:sz w:val="18"/>
          <w:szCs w:val="18"/>
          <w:color w:val="131E29"/>
        </w:rPr>
      </w:pPr>
    </w:p>
    <w:p>
      <w:pPr>
        <w:jc w:val="both"/>
        <w:ind w:left="340" w:hanging="332"/>
        <w:spacing w:after="0" w:line="254"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or we are forced to change our pricing and other marketing strategies.</w:t>
      </w:r>
    </w:p>
    <w:p>
      <w:pPr>
        <w:spacing w:after="0" w:line="149"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Our failure to manage our growth effectively could harm our business and operating results.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Our inability to identify, recruit and retain qualified individuals for our shops could slow our growth and adversely impact our ability to operate.</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Our shops are geographically concentrated in the Western United States, and we could be negatively affected by conditions specific to that region.</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Increases in the cost of high-quality arabica coffee beans, dairy or other commodities or decreases in the availability of high-quality arabica coffee beans, dairy or other commodities could have an adverse impact on our business and financial results.</w:t>
      </w:r>
    </w:p>
    <w:p>
      <w:pPr>
        <w:spacing w:after="0" w:line="143"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Pandemics or disease outbreaks such as the ongoing COVID-19 pandemic have had, and may continue to have, an effect on our business and results of operations.</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Our success depends substantially on the value of our brand and failure to preserve their value could have a negative impact on our financial results.</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47"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Changes in the availability of and the cost of labor could harm our business.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Our culture has contributed to our success, and if we cannot maintain this culture as we grow, we could lose the high employee engagement fostered by our culture,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hanging="332"/>
        <w:spacing w:after="0" w:line="261" w:lineRule="auto"/>
        <w:tabs>
          <w:tab w:leader="none" w:pos="335"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Our Co-Founder and Sponsor continue to have significant influence over us, which could limit your ability to influence the outcome of matters submitted to stockholders for a vote.</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47"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Our growth strategy depends in part on opening new shops in existing and new markets. We may be unsuccessful in opening new shops or establishing new markets, which could adversely affect our growth.</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47" w:lineRule="exact"/>
        <w:rPr>
          <w:rFonts w:ascii="Arial" w:cs="Arial" w:eastAsia="Arial" w:hAnsi="Arial"/>
          <w:sz w:val="18"/>
          <w:szCs w:val="18"/>
          <w:color w:val="131E29"/>
        </w:rPr>
      </w:pPr>
    </w:p>
    <w:p>
      <w:pPr>
        <w:jc w:val="both"/>
        <w:ind w:left="340" w:hanging="332"/>
        <w:spacing w:after="0" w:line="254" w:lineRule="auto"/>
        <w:tabs>
          <w:tab w:leader="none" w:pos="335"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 Factors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131E29"/>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condensed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Annual Report on Form 10-K, filed with the SEC on March 11, 2022, are set forth below and are unchanged substantively as of the date of this filing, except for those risks designated by an asterisk (*).</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*Evolving consumer preferences and tastes or changes in consumer spending may adversely affect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of consumption of various food and beverage products. While we offer alternatives, including reduced sugar and sugar-free items, an unfavorable report on the health effects of sugar, caffeine or other ingredients in our products or changes in public perception of these ingredients could significantly reduce the demand for our beverages. A decrease in customer traffic as a result of these health concerns or negative publicity could significantly reduce the demand for Dutch Bros’ hand-crafted beverages and could harm our business.</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*Our financial condition and results of operations are subject to, and may be adversely affected by, a number of factors, many of which are also largely outside our control.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150"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increases in real estate or labor costs in certain markets;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changes in consumer preferences;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disruptions in our supply chain;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the impact of shortages or inflation on our cost of goods or labor, which we have recently seen;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changes in governmental rules and approaches to taxation;</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severe weather or other natural or man-made disasters affecting a large market or several closely located markets that may temporarily but significantly affect our business in such markets, including the price or availability of goods;</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labor discord or disruption, geopolitical events, social unrest, war, including repercussions of the recent military conflict between Russia and Ukraine, terrorism, political instability, acts of public violence, boycotts, hostilities and social unrest and other health pandemics; and</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adverse outcomes of litigation.</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Our marketing programs may not be successful, and our new menu items and advertising campaigns may not generate increased sales or profits.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incur costs and expend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there could be an adverse effect on our sales and profits could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or we are forced to change our pricing and other marketing strategies.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Additionally, if our competitors begin to evolve their business strategies and adopt aspects of the Dutch Bros business model, such as our drive-thru convenience and digital ordering, our customers may be drawn to those competitors for their beverage needs and our business could be harmed.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strategic initiatives and growth strategy may be unsuccessful which could adversely affect our business and financial results.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June 30, 2022, Dutch Bros had 603 shops across 14 states, of which 336 were company-operated and 267 were franchised. One of the key means to achieving our growth strategy will be through opening new shops and operating those shops on a profitable basis. During the six months ended June 30, 2022, we opened 60 new company-operated shops. Our ability to open new shops is dependent upon a number of factors, many of which are beyond our control, including our and our franchise partners’ ability to:</w:t>
      </w:r>
    </w:p>
    <w:p>
      <w:pPr>
        <w:spacing w:after="0" w:line="150"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identify available and suitable sites, specifically for drive-thru locations;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compete for such sites;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reach acceptable agreements regarding the lease of locations;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obtain or have available the financing required to acquire and operate a shop, including construction and opening costs, which includes access to build-to-suit leases and ground lease construction arrangements;</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respond to unforeseen engineering or environmental problems with leased premises;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avoid the impact of inclement weather, natural disasters and other calamities;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hire, train and retain the skilled management and other employees necessary to meet staffing needs;</w:t>
      </w:r>
    </w:p>
    <w:p>
      <w:pPr>
        <w:spacing w:after="0" w:line="171"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obtain, in a timely manner and for an acceptable cost, required licenses, permits and regulatory approvals and respond effectively to any changes in local, state or federal law and regulations that adversely affect our and our franchise partners’ costs or ability to open new shops; and</w:t>
      </w:r>
    </w:p>
    <w:p>
      <w:pPr>
        <w:spacing w:after="0" w:line="147"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control construction and equipment cost increases for new shops and secure the services of qualified contractors and subcontractors in an increasingly competitive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As part of our longer term growth strategy, we expect to enter into geographic markets in which we have little or no prior operating experience. The challenges of entering new markets include: adapting to local regulations or restrictions that may limit our ability to open new shops, restrict the use of certain branding or increase the cost of development; difficulties in hiring experienced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Due to brand recognition and logistical synergies, as part of our growth strategy, we also intend to open new shops in areas where we have existing shops. The operating results and comparable shop sales could be adversely affected due to close proximity with our other shops and market saturation.</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plan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Some of Dutch Bros’ shops open with an initial start-up period of higher than 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our AUV and comparable sales may not increase at the rates achieved over the past several years. Our ability to operate new shops profitably and increase average shop revenue and comparable shop sales will depend on many factors, some of which are beyond our control, including:</w:t>
      </w:r>
    </w:p>
    <w:p>
      <w:pPr>
        <w:spacing w:after="0" w:line="15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consumer awareness and understanding of the Dutch Bros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hanging="332"/>
        <w:spacing w:after="0" w:line="261" w:lineRule="auto"/>
        <w:tabs>
          <w:tab w:leader="none" w:pos="335"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general economic conditions, such as inflation, which can affect shop traffic, local labor costs and prices we pay for the beverage and other supplies we use;</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consumption patterns and beverage preferences that differ from region to region;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changes in consumer preferences and discretionary spending;</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difficulties obtaining or maintaining adequate relationships with distributors or suppliers in new markets;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increases in prices for commodities, including coffee, milk and flavored syrups;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inefficiency in our labor costs as the staff gains experience;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competition, either from our competitors in the food service and restaurant industry or our own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temporary and permanent site characteristics of new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changes in government regulation;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our ability to hire, motivate and keep qualified employees who share our values;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other unanticipated increases in costs, any of which could give rise to delays or cost overruns.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If our new shops do not perform as planned or close, our business and future prospects could be harmed. In addition, an inability to achieve our expected average shop revenue could harm our business.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As a result, the opening of a new shop in or near markets in which we or our franchise partners already have shops could adversely impact sales at these existing shops while growing the overall AUV in a region.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could affect our sales growth, which could, in turn, harm our business.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failure to manage our growth effectively could harm our business and operating results.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including a decline in financial performance, could be harmed. If we experience a decline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financial performance, we may decrease the number of or discontinue new Dutch Bros shop openings, or we may decide to close shops that we are unable to operate in a profitable manner.</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*Damage to our brand or reputation or negative publicity could negatively impact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may, from time to time, be faced with negative publicity, regardless of its accuracy, relating to beverage quality; pricing; the safety, sanitation and welfare of our shops; customer complaints or litigation alleging illness or injury; health inspection scores; integrity of our or our suppliers’ food processing, employment practices and other policies, practices and procedures; or employee relationships and welfare or other matters. Negative publicity may adversely affect us, regardless of whether the allegations are substantiated or whether we are held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Ultimately, the risks associated with any such negative publicity or incorrect information cannot be completely eliminated or mitigated and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inability to identify, recruit and retain qualified individuals for our shops could slow our growth and adversely impact our ability to operate.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are subject to the risks associated with leasing space subject to long-term non-cancelable leases and, with respect to the real property that we own, owning real estate.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13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006098"/>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of June 30, 2022, approximately 44%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shops are geographically concentrated in the Western United States, and we could be negatively affected by conditions specific to that region.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of June 30, 2022, our company-operated and franchised shops in the Western United States represent approximately 90%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any future wildfires may have a similar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Any material interruption in our supply chain, such as material interruption of the supply of coffee, flavored syrups, dairy, coffee machines and other restaurant equipment or packaging, including any packaging for our for our proprietary products due to the casualty loss of any of our roasting plant,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our relationship with Portland Bottling Co. to manufacture and bottle these drinks. Sales of Dutch Bros. Blue Rebel accounted for approximately 28% of our systemwide net sales in the six months ended June 30, 2022. Failures by Portland Bottling Co. or any of our other suppliers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it will negatively affect or business and profitability. If we are unable to locate sufficient building or construction materials, we may not be able to achieve our stated growth objectives.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*Increases in the cost of high-quality arabica coffee beans, dairy or other commodities or decreases in the availability of high-quality arabica coffee beans, dairy or other commodities could have an adverse impact on our business and financial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has continued to increase significantly during the six months ended June 30, 2022.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also purchase significant amounts of dairy products, particularly milk, to support the needs of our shops. For example, the cost of dairy products has continued to increase significantly during the six months ended June 30, 2022, and we continue to see such increased costs. If these increased dairy costs are sustained or further increased,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Increases in the cost of other commodities, such as petroleum, may increase the cost of our packing materials, or lack of availability, whether due to supply shortages, delays or interruptions in processing, impact consumer spending or could otherwise harm our business. For example, we believe the recent increase in gas prices has negatively impacted consumer discretionary spending, particularly in the Western United States where such increases have been relatively higher and where our shops are geographically concentrated.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If we fail to offer high-quality customer experience, our business and reputation will suffer.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continuous growth and expansion has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006098"/>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rely on information technology networks and systems and data processing to market,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information, to manage a variety of business processes and activities, for financial reporting purposes, to operate our business, to process orders, for legal and marketing purposes and to comply with regulatory, legal and tax requirements (Business Functions). 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customer loyalty program and communication platform, and other functions. Our ability to monitor these third parties’ information security practices is limited, and these third parties may not have adequate information security measures in place.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These information technology networks and systems, and the Processing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risk of unauthorized circumvention of our security measures or those of our third parties on whom we rely has been heightened by advances in computer and software capabilities and the increasing sophistication of hackers who employ complex techniques, including, without limitation, “phishing” or social engineering incidents, ransomware, extortion, account takeover attacks, denial or degradation of service attacks, malicious code (such as viruses or worms), supply-chain attacks, software bugs, server malfunctions, software or hardware failures, loss of data or other information technology assets, adware, and malware. Further, security incidents experienced by other companies may also be leveraged against us. For example, credential stuffing attacks are becoming increasingly common and sophisticated actors can mask their attacks, making them increasingly difficult to identify and prevent. We have technology security initiatives and disaster recovery plans in place to mitigate our risk to these vulnerabilities, but these measures may not be adequately designed or implemented to ensure that our operations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disrupted or that data security breaches do not occur. If our information technology networks and systems or data processing suffers damage, security breaches, vulnerabilities, disruption or shutdown, and we do not effectively resolve the issues in a timely manner, they could cause a material adverse impact to, our Business Functions and our business, reputation and financial condition. Additionally, the COVID-19 pandemic and our remote workforce poses increased risks to our information technology network and systems and data, as more of our employees work from home, utilizing network connections outside our premises.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sensitive information.</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Hackers and data thieves are increasingly sophisticated and operate large-scale and complex automated attacks, which may remain undetected until after they occur. Despite our efforts to protect our information technology networks and systems, Processing and information, we may not be able to anticipate or to implement effective preventive and remedial measures against all data security and privacy threats. Our security measures may not be adequate to prevent or detect service interruption, system failure data loss or theft, or other material adverse consequences. No security solution, strategy or measures can address all possible security threats. Our applications, systems, networks, software and physical facilities could have material vulnerabilities, be breached or personal or confidential information could be otherwise compromised due to employee error or malfeasance, if, for example, third parties attempt to fraudulently induce our personnel or our customers to disclose information or usernames and/or passwords, or otherwise compromise the security of our networks, systems and/or physical facilities.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 mobile application is more widely adopted, and as we continue to expand the features and functionality of our mobile application.</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Applicable data privacy and security obligations may require us to notify relevant stakeholders of security incidents including affected individuals, customers, and regulators.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result in reputational harm, costly litigation (including class action litigation), material contract breaches, liability, settlement costs, loss of sales, regulatory scrutiny, actions or investigations, a loss of confidence in our business, systems and Processing, a diversion of management’s time and attention, and significant fines, penalties, assessments, fees and expenses.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 security incident or other interruption could disrupt our ability (or that of third parties upon whom we rely) to process payments. We may expend significant resources or modify our business activities to try to protect against such security incidents. Certain data privacy and security obligations may require us to implement and maintain specific security measures, industry-standard or reasonable security measures to protect our information technology networks and systems and sensitive information.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Additionally, the costs to respond to a security incident and/or to mitigate any security vulnerabilities that may be identified could be significant,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 Additionally, most jurisdictions have enacted laws requiring companies to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The Company’s data and information systems may also fail for reasons other than a cyber-attack (e.g., server malfunctions, software or hardware failures, loss of data/computer assets, telecommunications failures, etc.).</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may not have adequate insurance coverage for handling security incidents or breaches, including fines, judgments, settlements, penalties, costs, attorney fees and other impacts that arise out of incidents or breaches.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privacy risks are likely to increase as we continue to expand, grow our customer base, and process, store, and transmit increasingly large amounts of personal and/or sensitive data.</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*Pandemics or disease outbreaks such as the ongoing COVID-19 pandemic have had, and may continue to have, an effect on our business and results of operations.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Pandemics or disease outbreaks such as the ongoing COVID-19 pandemic have impacted and are likely to continue to impact customer traffic at our Dutch Bros shops and may make it more difficult to staff our shops and, in more severe cases, may cause a temporary inability to obtain supplies and increase commodity costs. The COVID-19 pandemic continues to evolve, and while we continue to monitor it closely, the extent of the impact of the COVID-19 pandemic on our business, operations and development timelines and plans remains uncertain and will depend on future developments that cannot be predicted at this time. Such developments include the continued spread of the Delta and Omicron variants in the U.S. and other countries and the potential emergence of other variants that may prove especially contagious or virulent, the effectiveness of actions taken globally to contain and treat the disease, including the rate at which vaccinations (including boosters to vaccinations) are made available, the percentage of the population that becomes vaccinated and the effectiveness of the vaccines against Omicron or other variants. The COVID-19 pandemic has impacted all global economies, and in the United States has resulted in varying levels of restrictions and shutdowns implemented by national, state, and local authorities.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Even though we have been deemed an “essential business” to date during this COVID-19 pandemic and have been allowed to remain in operation, even while some of our competitors were not, there is no guarantee that in the event of a future pandemic or resurgence of the COVID-19 pandemic that we will receive the same designation. Regardless of our status as an essential business during the COVID-19 pandemic, our operations have been and we expect will be disrupted when employees or employees of our franchise partners were suspected of having COVID-19 or other illnesses since this required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This has led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may continue to lead to, write-offs of amounts we have currently due from our franchise partners beyond amounts we have reserved, as well as decreased future collections from franchise partners. Additionally, in certain instances, we have offered grace periods for certain near-term payments due to us by our franchise partners who needed more access to capital and were in good standing with Dutch Bros. If we need to extend such grace periods again in the future, it will negatively impact our cash flows in the near-term and there is no guarantee that our franchise partners will ultimately pay amounts due. Additionally, our franchise partners may not be able to make payments to landlords, distributors and key suppliers, as well as payments to service any debt they may have outstanding. Franchise partners’ financial distress has also led to, and may continue to lead to, permanent shop closures and delayed or reduced new franchise partners development which would further harm our results and liquidity going forward. Further, in some cases, we are contingently liable for franchise partner lease or supplier obligations, and a failure by a franchise partner to perform its obligations under such lease could result in direct payment obligations for us.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do not yet know the full extent of potential delays or impacts on our business, operations or the global economy as a whole. While the spread of COVID-19 may eventually be contained or mitigated, we do not yet know how our business, our customers or our franchise partners will operate in a post COVID-19 environment. In addition, new strains and variants of the virus have caused a resurgence and an increase in reported infection rates, particularly in areas with lower vaccination rates, which may impact the general economic recovery. There is no guarantee that a future outbreak of this or any other widespread epidemics will not occur, or that the global economy will recover, either of which could seriously harm our business fully recover. The ultimate impact of the COVID-19 pandemic or a similar health epidemic on our business, operations or the global economy as a whole remains highly uncertain.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*Unstable market and economic conditions may have serious adverse consequences on our business, financial condition and stock price.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global credit and financial markets have experienced extreme volatility and disruptions (including as a result of the ongoing COVID-19 pandemic and actual or perceived changes in interest rates and economic inflation),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conflict between Russia and Ukraine,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Brand</w:t>
      </w:r>
    </w:p>
    <w:p>
      <w:pPr>
        <w:spacing w:after="0" w:line="1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Our success depends substantially on the value of our brand and failure to preserve its value could have a negative impact on our financial results.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 stewardship, including with respect to environmental sustainability matters, and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trademark, copyright, and trade secret laws, as well as license agreements, nondisclosure agreements, and confidentiality and other contractual provisions to protect our intellectual property. Nevertheless, our competitors may develop similar menu items and concepts, and adequate remedies may not be available in the event of an unauthorized use or disclosure of our trade secrets and other intellectual property.</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U.S. trademark applications will be approved in a timely manner or at all, or that such registrations will effectively protect our brand names and trademarks.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Additionally, the steps we have taken to protect our intellectual property in the United States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may also from time to time be required to institute litigation to enforce our trademarks, service marks and other intellectual property. Such litigation could result in substantial costs and diversion of resources and could negatively affect our sales, profitability and prospects regardless of whether we can successfully enforce our rights.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Third parties may oppose our trademark and service mark applications, or otherwise challenge our use of the trademarks and service marks. In the event that these or other intellectual property rights are successfully challenged, we could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 party 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If we or our franchise partners are unable to protect our customers’ credit and debit card data or confidential information in connection with process the same or confidential employee information, we could be exposed to data loss, litigation, liability and reputational damage.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currently accept payments using credit cards and debit cards and, as such, are subject to payment card association operating rules and certification requirements, including the Payment Card Industry Data Security Standard, which is a security standard applicable to companies like ours that collect, store or transmit certain data regarding credit and debit cards, holders and transactions. We are also subject to rules governing electronic funds transfers.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People and Culture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*Changes in the availability of and the cost of labor could harm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business could be harmed by increases in labor costs, including those increases triggered by inflation, regulatory actions regarding wages, scheduling and benefits, increased health care and workers’ compensation insurance costs, which, in a retail business such as ours, are some of our most significant costs. In particular, our broistas are paid wage rates at or based on the applicable federal or state minimum wage, and increases in the applicable minimum wage have in the past and will increase labor costs. From time to time, legislative proposals are made to increase the minimum wage at the federal or state level.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this is likely to result in lower revenue, and may also reduce margins.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success depends largely upon the continued services of our executive officers and other key employees, and the hiring and retention of additional executives and other key personnel. We rely on our leadership team in the areas of marketing, sales, customer experience, and selling, general and administrative. From time to time, we expect there will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Unionization activities may disrupt our operations and affect our profitability.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Regulation and Litigation</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Federal regulators and some state governments in states that we do business in have indicated that they will be imposing vaccination and testing mandates for employers. While the exact contours of these rules and regulations are not yet known, if vaccinations are mandated it will negatively impact our ability to recruit and retain sufficient employees to meet our growth goals and operate existing shops in some areas. In addition, if these mandates impose the cost of testing of wages for time spent testing on employers this will have a material impact on our business and profitability.</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Until the end of the COVID-19 pandemic, we may be made subject to additional burdensome employment and health and safety laws and regulations passed or adopted by legislatures and regulators in an effort to end the pandemic or mitigate its effects. Any future pandemics could have similar impacts.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15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changes in the valuation of our deferred tax assets and liabilities;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expected timing and amount of the release of any tax valuation allowance;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changes in tax laws, regulations or interpretations thereof; or</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future earnings being lower than anticipated in jurisdictions where we have lower statutory tax rates and higher than anticipated earnings in jurisdictions where we have higher statutory tax rates.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are subject to many federal, state and local laws with which compliance is both costly and complex.</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food service and restaurant industry is subject to extensive federal, state and local laws and regulations, including the recently enacted comprehensive health care reform legislation discussed above, those relating to building and zoning requirements and those relating to the preparation and sale of food and beverages or consumption. Such laws and regulations are subject to change from time to time. The failure to comply with these laws and regulations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licensing sales and our relationships with our 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*We (and our vendors) are subject to stringent and changing laws, regulations, industry standards, contractual obligations, policies and other obligations related to data privacy and security. The actual or perceived failure by us, our customers or vendors to comply with such laws, regulations, industry standards, may harm our business, financial condition and results of operations, and prospects.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Process personal information, confidential information and other information necessary to provide our products and service and ensure that they are delivered effectively, to operate our business, for legal and marketing purposes and for other business-related purposes. Our Processing activities may subject us to numerous data privacy and security obligations, such as various laws, regulations, guidance, industry standards, external and internal privacy and security policies, contracts, and other obligations that govern the Processing of personal information by us and on our behalf.</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Data privacy and regulation of privacy, information security and Processing has become a significant issue in the United States. The legal and regulatory framework for data privacy and security issues is rapidly evolving and is expected to increase our compliance costs and exposure to liability. There are numerous federal, state, local laws, orders, codes, regulations and regulatory guidance regarding privacy, information security and Processing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customers for Processing is obtained, could increase our costs and require us to modify our operations, possibly in a material manner, which we may be unable to complete and may limit our ability to store and process customer data and operate our business.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Data Protection Laws are, and are likely to remain, uncertain for the foreseeable future, and our actual or perceived failure to address or comply with these laws could: increase our compliance and operational costs; limit our ability to market our products or services and attract new and retain current customers; limit or eliminate our ability to Process personal information; expose us to regulatory scrutiny, actions, investigations, fines and penalties; result in reputational harm; lead to a loss of customers; reduce the use of our products or services; result in litigation and liability, including class action litigation; cause us to incur significant costs, expenses and fees (including attorney fees); cause a material adverse impact to business operations or financial results, and; otherwise result in other material harm to our business (Adverse Data Protection Impact).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or may also be subject to the terms of our external and internal privacy and security policies, codes, representations, certifications, industry standards, publications and frameworks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(Data Protection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strive to comply with applicable Data Protection Laws, Privacy Policies and Data Protection Obligations to the extent possible, but we may at times fail to do so, or may be perceived to have failed to do so. Moreover, despite our efforts, we may not be successful in achieving compliance if our employees, partners or vendors do not comply with applicable Data Protection Laws, Privacy Policies and Data Protection Obligations. For example, any failure by a third-party processor to comply with applicable Data Protection Laws, Privacy Policies and Data Protection Obligations could result in adverse effects, including inability to, or interruption in our ability to, operate our business and proceedings against us by governmental entities or others. We may be subject to, and suffer an Adverse Data Protection Impact if we fail (or are perceived to have failed) to comply with applicable Data Protection Laws, Privacy Policies and Data Protection Obligations, if our Privacy Policies are, in whole or part, found to be inaccurate, incomplete, deceptive, unfair or misrepresentative of our actual practices. In addition, any such failure or perceived failure could result in public statements against us by consumer advocacy groups, the media or others, which may cause us material reputational harm. Our actual or perceived failure to comply with Data Protection Laws, Privacy Policies and Data Protection Obligations could also subject us to litigation, claims, proceedings, actions or investigations by governmental entities, authorities or regulators, which could result in an Adverse Data Protection Impact, including required changes to our business practices, the diversion of resources and the attention of management from our business, regulatory oversights and audits, discontinuance of necessary Processing or other remedies that adversely affect our business.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In the United States, these include rules and regulations promulgated under the authority of the Federal Trade Commission, the Electronic Communications Privacy Act, the Computer Fraud and Abuse Act, the California Consumer Privacy Act (the CCPA) and other state and federal laws relating to data privacy and security. The CCPA provides individual privacy rights for California residents and places increased privacy and security obligations on covered businesses processing personal information. The CCPA requires covered businesses to provide new disclosures to California residents and provide such individuals with ways to opt-out of certain sales of personal information. The CCPA also provides a private right of action and statutory damages for violations (up to $7,500 per violation), including for data breaches. To the extent applicable to our business and operations, the CCPA may impact our business activities by increasing our compliance costs and potential liability with respect to personal information that we or third parties with whom we contract to provide services maintain about California residents. In addition, the CCPA will be expanded on January 1, 2023, when the California Privacy Rights Act of 2020 (the CPRA) becomes operative. The CPRA will, among other things, establish a new California Privacy Protection Agency to implement and enforce the law. These Data Protection Laws (such as the CCPA and CPRA) exemplify the vulnerability of our business to the evolving regulatory environment related to personal information.</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Moreover, across the United States, laws and regulations governing data privacy and security continue to develop and evolve. For example, Virginia passed the Consumer Data Protection Act (CDPA), Colorado passed the Colorado Privacy Act (CPA), Connecticut passed the Connecticut Data Privacy Act (CTDPA), and Utah passed the Utah Consumer Privacy Act (UCPA), all of which become effective in 2023. In addition, data privacy and security laws have been proposed at the federal, state, and local levels in recent years, which could further complicate compliance efforts. . Compliance with the CPRA, the CCPA, the CDPA, the CPA, the CTDPA, the UCPA and any newly enacted data privacy and security laws or regulations may be challenging and cost- and time-intensive, and may require us to modify our data processing practices and policies and to incur substantial costs and potential liability in an effort to comply with such legislation. The Data Protection Laws, Privacy Policies and Data Protection Obligations to which we are subject may significantly affect our business activities and many of these obligations may contain ambiguous provisions creating uncertainty. Compliance with the requirements imposed by such Data Protection Laws and Data Protection Obligations may require us to revise our business practices, allocate more resources to data privacy and security, and implement new technologies. Such efforts may result in significant costs to our business. Noncompliance could result in Adverse Data Protection Impact, including proceedings against us by governmental and regulatory entities, collaborators, individuals or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131E29"/>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such as the CCPA, require our customers to impose specific contractual restrictions on their service providers. Additionally,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(or perceived noncompliance). We rely on a variety of marketing techniques and practices, including email and social media marketing, online targeted advertising, and cookie-based Processing, to sell our products and services and to attract new customers, and we, and our vendors, may be subject to various current and future Data Protection Laws and Data Protection Obligations that govern marketing and advertising practices. For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Additionally,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Additionally, some providers of consumer devices, web browsers and application shops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Additionally, Google has announced that it intends to phase out third-party cookies in its Chrome browser, which could make it more difficult for us to target advertisements. Individuals may increasingly resist our collecting, using, and sharing of personal information to deliver targeted advertising. Individuals are becoming more aware of options related to consent, “do not track” mechanisms, and “ad-blocking” software, any of which could materially impact our ability to collect personal information and deliver relevant promotions or media. As a result, we may be required to change the way we market our products. Any of these developments could increase our costs of operations and limit our ability to acquire new customers on cost-effective terms, which, in turn, could have an adverse effect on our business, financial condition, results of operations and prospects.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Additionally,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thereby increasing the possibility of Dutch Bros being held liable for our franchise partners’ employment practices.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The outcome of litigation, particularly class action and regulatory actions, is difficult to assess or quantify. In recent years, beverage and restaurant companies have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Occasionally, we and our franchise partners are involved in disputes with neighbors, government officials and landlords over the lines of cars attempting to visit our shops. These disputes have led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regulations that impact the ingredients and nutritional content of our menu offerings, or laws and regulations requiring us to disclose the nutritional content of our food offerings.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Organizational Structure</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anticipate that Dutch Bros OpCo will continue to be treated as a partnership for U.S. federal income tax purposes and, as such, generally will not be subject to any entity-level U.S. federal income tax. Instead, taxable income will be allocated to holders of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Class A common units for shares of Class A common stock or cash.</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intend, through Dutch Bros Inc.’s role as managing member, to cause Dutch Bros OpCo to make cash distributions to the holders of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Class A common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No adjustments to the exchange ratio of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Class A common units or lends such cash to Dutch Bros OpCo, this may result in shares of Class A common stock increasing in value relative to the Class A common units. The holders of Class A common units may benefit from any value attributable to such cash balances if they receive shares of Class A common stock on redemption or exchange of their Class A common units or if Dutch Bros Inc. acquires additional Class A common units (whether from Dutch Bros OpCo or from holders of Class A common units) at a price based on the market price of our Class A common stock at the time.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connection with the IPO, Dutch Bros Inc. entered into two Tax Receivable Agreements. It entered into (i) the Exchange Tax Receivable Agreement with the Continuing Members and (ii) the Reorganization Tax Receivable Agreement with the Pre-IPO Blocker Holders.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Class A common units (including certain transactions in connection with the IPO) which tax basis is allocated to such redeemed or exchanged Class A common units acquired by Dutch Bros Inc., (ii) adjustments that will increase the tax basis of the tangible and intangible assets of the Dutch Bros OpCo and its subsidiaries as a result of Dutch Bros Inc.’s taxable acquisition of Class A common units from the Continuing Members in connection with the IPO and in connection with future redemptions or exchanges of Class A common units for shares of Class A common stock (or a corresponding amount of cash), (iii) disproportionate allocations (if any) of tax benefits to Dutch Bros Inc. under Section 704(c) of the Internal Revenue Code of 1986, as amended (the Code), as a result of Dutch Bros Inc.’s acquisition of other Class A common units from Dutch Bros OpCo and former members of Dutch Bros OpCo who are not Continuing Members in certain transactions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Class A common units or the Pre-IPO Blocker Holders.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Ownership of Our Class A Common Stock</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Additional stock issuances (including pursuant to the redemption of Class A common units from our Continuing Members) could result in significant dilution to our stockholders and cause the trading price of our Class A common stock to decline.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may issue our capital stock or securities convertible into our capital stock from time to time in connection with a financing, acquisition, investments or otherwise (including pursuant to the redemption of Class A common units from our Continuing Members). Additional issuances of our stock will result in dilution to existing holders of our stock. Any such issuances could result in substantial dilution to our existing stockholders and cause the trading price of our Class A common stock to decline.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particular, following the issuance of shares of Class A common stock in connection with the redemption of Class A common units from our Continuing Members and the related cancellation of shares of our Class B common stock or Class C common stock, such shares of Class A common stock will have the same economic rights as other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*An active trading market for our Class A common stock may not be sustained, and the trading price of our Class A common stock may be volatile, and you could lose all or part of your investment.</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only recently completed our IPO, so there is a limited history regarding the public market and trading of our Class A common stock. If an active public market is not sustained, it may be difficult for you to sell your shares of Class A common stock at a price at or above the price per share of the IPO or at a price that is attractive to you or at all. Further, an inactive market may also impair our ability to raise capital by selling shares of our Class A common stock and may impair our ability to enter into strategic collaborations or acquire companies or products by using our shares of Class A common stock as consideration. Likewise, the price of our Class A common stock is likely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51"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price and volume fluctuations in the overall stock market from time to time;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volatility in the trading prices and trading volumes of competitors’ stocks;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changes in operating performance and stock market valuations of other companies generally, or those in our industry in particular;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sales of shares of our Class A common stock by us or our stockholders, including the Continuing Members;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failure of securities analysts to maintain coverage of us, changes in financial estimates by securities analysts who follow our company, or our failure to meet these estimates or the expectations of investors;</w:t>
      </w:r>
    </w:p>
    <w:p>
      <w:pPr>
        <w:spacing w:after="0" w:line="143" w:lineRule="exact"/>
        <w:rPr>
          <w:rFonts w:ascii="Arial" w:cs="Arial" w:eastAsia="Arial" w:hAnsi="Arial"/>
          <w:sz w:val="18"/>
          <w:szCs w:val="18"/>
          <w:color w:val="131E29"/>
        </w:rPr>
      </w:pPr>
    </w:p>
    <w:p>
      <w:pPr>
        <w:jc w:val="both"/>
        <w:ind w:left="340" w:hanging="332"/>
        <w:spacing w:after="0" w:line="254" w:lineRule="auto"/>
        <w:tabs>
          <w:tab w:leader="none" w:pos="335"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49"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announcements by us or our competitors of new products or services;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the public’s reaction to our press releases, other public announcements, and filings with the SEC;</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rumors and market speculation involving us or other companies in our industry;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actual or anticipated changes in our results of operations or fluctuations in our results of operations;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actual or anticipated developments in our business, our competitors’ businesses or the competitive landscape generally;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actual or perceived privacy or data security incidents;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developments or disputes concerning our intellectual property or other proprietary rights;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announced or completed acquisitions of businesses, franchises or other assets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new laws or regulations or new interpretations of existing laws or regulations applicable to our business;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changes in accounting standards, policies, guidelines, interpretations or principles;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any significant change in our management;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general political and economic conditions and slow or negative growth of our markets.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*The multi-class structure of our common stock has the effect of concentrating voting control with Continuing Members, limiting your ability to influence corporate matters.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a newly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Co-Founder and Sponsor have significant influence over us, which could limit your ability to influence the outcome of matters submitted to stockholders for a vote.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Certain affiliates of our Co-Founder beneficially own approximately 74.8% of the combined voting power of our Class A common stock, Class B common stock, Class C common stock and Class D common stock, and our Sponsor, directly and through affiliated investment funds, beneficially owns approximately 20.6%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Co-Founder and Sponsor own approximately 67.2% of the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 accordance with their ownership of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tax or other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Certain affiliates of our Co-Founder beneficially own approximately 74.8%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51"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a board that is composed of a majority of “independent directors,” as defined under the New York Stock Exchange rules;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a compensation committee that is composed entirely of independent directors; and</w:t>
      </w:r>
    </w:p>
    <w:p>
      <w:pPr>
        <w:spacing w:after="0" w:line="171" w:lineRule="exact"/>
        <w:rPr>
          <w:rFonts w:ascii="Arial" w:cs="Arial" w:eastAsia="Arial" w:hAnsi="Arial"/>
          <w:sz w:val="18"/>
          <w:szCs w:val="18"/>
          <w:color w:val="131E29"/>
        </w:rPr>
      </w:pPr>
    </w:p>
    <w:p>
      <w:pPr>
        <w:ind w:left="340" w:right="20" w:hanging="332"/>
        <w:spacing w:after="0" w:line="261" w:lineRule="auto"/>
        <w:tabs>
          <w:tab w:leader="none" w:pos="335"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director nominations be made, or recommended to the full board of directors, by its independent directors, or by a nominations/governance committee that is composed entirely of independent directors.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131E29"/>
        </w:rPr>
        <w:t>We intend to continue to utilize these exemptions until we are no longer eligible for them. Accordingly, you will not have the same protections afforded to stockholders of companies that are subject to all the corporate governance requirements of the New York Stock Exchange.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Certain of our directors have relationships with our Sponsor, which may cause conflicts of interest with respect to our business.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Two of our directors are affiliated with our Sponsor. Our Sponsor-affiliated directors have fiduciary duties to us and, in addition, have duties to our Sponsor. As a result, these directors may face real or apparent conflicts of interest with respect to matters affecting both us and our Sponsor, whose interests may be adverse to ours in some circumstances.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*Future sales of shares of our Class A or Class D common stock cause the market price of our Class A common stock to decline.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Subject to the terms of the Third Dutch Bros OpCo Agreement, an aggregate of 110,084,772 Class A common units may be redeemed in exchange for shares of our Class A common stock and an aggregate of 14,061,817 shares of Class D common stock may be converted into shares of our Class A common stock. Any shares we issue upon redemption or exchange of Class A common units or upon the conversion of shares of Class D common stock, as applicable, will be “restricted securities”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Rule 144 and may not be sold in the absence of registration under the Securities Act unless an exemption from registration is available, including the exemptions contained in Rule 144.</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However, all such shares are now eligible for resale in the public market, subject, in the case of shares held by our affiliates, to volume, manner of sale, and other limitations under Rule 144.</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trading price and trading volume could decline if securities or industry analysts do not publish research about our business, or if they publish unfavorable research.</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As a newly public company, we incur increased costs and demands upon management as a result of complying with the laws and regulations affecting public companies in the United States, which may harm our business.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As a public company listed in the United States, we have incurred and will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selling,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These rules and regulations could also make it more difficult for us to attract and retain qualified persons to serve on our board of directors or our board committees or as executive officers. Our management and other personnel devote a substantial amount of time to these compliance initiatives and, as a result, management’s attention may be diverted from other business concerns, which could harm our business and operating results. As we hire more employees to aid us in compliance with these requirements, our costs and expenses may increase.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are implementing new internal controls and procedures and hiring accounting or internal audit staff, which will require us to incur additional expenses and harm our results of operations.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*We will no longer qualify as an “emerging growth company” as of December 31, 2022, and, as a result, we will no longer be able to avail ourselves of certain reduced reporting and disclosure requirements.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We are currently an “emerging growth company,” as defined in the Jumpstart Our Business Startups Act (the JOBS Act), and we have taken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It is possible that investors have found or will continue to find our Class A common stock less attractive in light of the fact that we have relied on certain of these exemptions.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Based on the market value of our Class A common stock held by non-affiliates as of June 30, 2022, we will cease to qualify as an “emerging growth company,” effective as of December 31, 2022. We will no longer be able to take advantage of any of the exemptions from various reporting requirements that are applicable to other public companies that are not “emerging growth companies” as described above, and we will no longer be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Class A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General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results may fluctuate significantly and may not meet our expectations or those of investors or securities analysts.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148"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changes in consumer tastes and nutritional and dietary trends;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successful identification and acquisition of appropriate sites and timely develop and expand our number of profitable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protection of our brand and reputation;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dependence on a small number of suppliers, including for roasting;</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expectations regarding our future operating and financial performance;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the size of our addressable markets, market share, and market trends;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6"/>
        </w:numPr>
        <w:rPr>
          <w:rFonts w:ascii="Arial" w:cs="Arial" w:eastAsia="Arial" w:hAnsi="Arial"/>
          <w:sz w:val="18"/>
          <w:szCs w:val="18"/>
          <w:color w:val="131E29"/>
        </w:rPr>
      </w:pPr>
      <w:r>
        <w:rPr>
          <w:rFonts w:ascii="Arial" w:cs="Arial" w:eastAsia="Arial" w:hAnsi="Arial"/>
          <w:sz w:val="18"/>
          <w:szCs w:val="18"/>
          <w:color w:val="131E29"/>
        </w:rPr>
        <w:t>effective management and continued growth of our workforce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our ability to attract, retain, and motivate skilled personnel, including key members of our senior management;</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generation of projected same shop sales growth;</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the sufficiency of our cash, cash equivalents, and investments to meet our liquidity needs;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dependence on long-term non-cancelable leases;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our employees and the status of our workers;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our inability to maintain good relationships with our franchising partners;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the timing and amount of deferred expenses related to the maintenance of company-operated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the effects of seasonal trends on our results of operations;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our vulnerability to global financial market conditions, including the continuing effects from the recent recession;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adverse weather conditions in local or regional areas where our shops are located; and</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7"/>
        </w:numPr>
        <w:rPr>
          <w:rFonts w:ascii="Arial" w:cs="Arial" w:eastAsia="Arial" w:hAnsi="Arial"/>
          <w:sz w:val="18"/>
          <w:szCs w:val="18"/>
          <w:color w:val="131E29"/>
        </w:rPr>
      </w:pPr>
      <w:r>
        <w:rPr>
          <w:rFonts w:ascii="Arial" w:cs="Arial" w:eastAsia="Arial" w:hAnsi="Arial"/>
          <w:sz w:val="18"/>
          <w:szCs w:val="18"/>
          <w:color w:val="131E29"/>
        </w:rPr>
        <w:t>our realization of any benefit from our organizational structure net of expenses associated with the same (including our obligations under the Tax Receivable Agreements).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12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As of June 30, 2022, we had $100.0 million and $47.7 million in term loan and revolving loans outstanding, respectively. In addition, subject to certain restrictions under the 2022 Credit Facility (as defined in NOTE 9 — Debt to the condensed consolidated financial statements located in Part I, Item 1 of this Form 10-Q), we may incur additional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Our debt could have important consequences to you, including the following:</w:t>
      </w:r>
    </w:p>
    <w:p>
      <w:pPr>
        <w:spacing w:after="0" w:line="171" w:lineRule="exact"/>
        <w:rPr>
          <w:sz w:val="20"/>
          <w:szCs w:val="20"/>
          <w:color w:val="auto"/>
        </w:rPr>
      </w:pPr>
    </w:p>
    <w:p>
      <w:pPr>
        <w:ind w:left="340" w:hanging="332"/>
        <w:spacing w:after="0" w:line="261" w:lineRule="auto"/>
        <w:tabs>
          <w:tab w:leader="none" w:pos="335"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it may be difficult for us to satisfy our obligations, including debt service requirements under our outstanding debt, resulting in possible defaults on and acceleration of such indebtedness;</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ability to obtain additional financing for working capital, capital expenditures, debt service requirements or other general corporate purposes may be impaired;</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47"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we are more vulnerable to economic downturns and adverse industry conditions and our flexibility to plan for, or react to, changes in our business or industry is more limited;</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ability to capitalize on business opportunities and to react to competitive pressures, as compared to our competitors, may be compromised due to our level of debt; and</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our ability to borrow additional funds or to refinance debt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Furthermore, all of our debt under our 2022 Credit Facility bears interest at variable rates.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131E29"/>
        </w:rPr>
        <w:t>The covenants under our 2022 Credit Facility restrict our ability, among other things, to:</w:t>
      </w:r>
    </w:p>
    <w:p>
      <w:pPr>
        <w:spacing w:after="0" w:line="17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incur additional debt;</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grant liens on assets;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sell or dispose of assets;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merge with or acquire other companies, or make other investments;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enter into sale and leaseback transactions and swap agreements;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liquidate or dissolve ourselves; engage in businesses that are not in a related line of business; or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pay dividends or make other distributions.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131E29"/>
        </w:rPr>
        <w:t>As a result of these restrictions, we may be:</w:t>
      </w:r>
    </w:p>
    <w:p>
      <w:pPr>
        <w:spacing w:after="0" w:line="171"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limited in how we conduct our business;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unable to raise additional debt or equity financing to operate during general economic or business downturns; or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unable to compete effectively or to take advantage of new business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These restrictions may affect our ability to grow in accordance with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131E29"/>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Prior to the IPO, we were a private company and had limited accounting and financial reporting personnel and other resources with which to address our internal controls and related procedures. In connection with the audit of our consolidated financial statements as of and for the years ended December 31, 2021, 2020, and 2019, our management and auditors determined that a material weakness existed in the internal control over financial reporting due to limited accounting department personnel capable of appropriately accounting for complex transactions we undertake. Additionally, there were insufficient controls over the review and approval of manual journal entries, including appropriate segregation of duties. Further, as a result of the limited accounting department personnel we were unable to maintain an effective risk assessment process necessary to identify all relevant risks of material misstatement and to evaluate the implications of relevant risks on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 While we continue to take remediation steps, including hiring additional personnel subsequent to December 31, 2020, initiating detailed accounting policies review, and commencing an entity-wide risk assessment process, we continue to have a limited number of personnel with the level of GAAP accounting knowledge, specifically related to complex accounting transactions, commensurate with our financial reporting requirements. As such, we continued to have material weaknesses in our control over financial reporting as of June 30, 2022.</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 over financial reporting is effective, or if our independent registered public accounting firm is unable to express an opinion as to the effectiveness of our internal control over financial reporting when we are no longer an “emerging growth company” (which will occur on December 31, 2022),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independent registered public accounting firm is not required to formally attest to the effectiveness of our internal control over financial reporting until after we are no longer an “emerging growth company” as defined in the JOBS Act, which will occur as of December 31, 2022.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131E29"/>
        </w:rPr>
        <w:t>business, results of operations, and financial condition and could cause a decline in the trading price of our common stock.</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We may engage in merger and acquisition activities or strategic partnerships, which would require significant management attention, disrupt our business, dilute stockholder value, and adversely affect our business, results of operations, and financial condition.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may need additional capital, and we cannot be sure that additional financing will be available.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Historically, we have financed our operations and capital expenditures primarily through sales of Dutch Bros OpCo Units that are convertible into our capital stock. In the future, we may raise additional capital through additional equity or debt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spacing w:after="0" w:line="148"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any derivative claim or cause of action brought on our behalf;</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any claim or cause of action for a breach of fiduciary duty owed by any of our current or former directors, officers or other employees to us or our stockholders;</w:t>
      </w:r>
    </w:p>
    <w:p>
      <w:pPr>
        <w:spacing w:after="0" w:line="143"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147" w:lineRule="exact"/>
        <w:rPr>
          <w:rFonts w:ascii="Arial" w:cs="Arial" w:eastAsia="Arial" w:hAnsi="Arial"/>
          <w:sz w:val="18"/>
          <w:szCs w:val="18"/>
          <w:color w:val="131E29"/>
        </w:rPr>
      </w:pPr>
    </w:p>
    <w:p>
      <w:pPr>
        <w:jc w:val="both"/>
        <w:ind w:left="340" w:hanging="332"/>
        <w:spacing w:after="0" w:line="256"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147"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any claim or cause of action as to which the Delaware General Corporation Law confers jurisdiction to the Court of Chancery of the State of Delaware; and</w:t>
      </w:r>
    </w:p>
    <w:p>
      <w:pPr>
        <w:spacing w:after="0" w:line="143"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1"/>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governed by the internal-affairs doctrine.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31E29"/>
        </w:rPr>
        <w:t>Our charter documents also contain other provisions that could have an anti-takeover effect, such as:</w:t>
      </w:r>
    </w:p>
    <w:p>
      <w:pPr>
        <w:spacing w:after="0" w:line="171"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permitting the board of directors to establish the number of directors and fill any vacancies and newly created directorships;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providing that directors may only be removed pursuant to the provisions of Section 141(k) of the Delaware General Corporation Law;</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prohibiting cumulative voting for directors;</w:t>
      </w:r>
    </w:p>
    <w:p>
      <w:pPr>
        <w:spacing w:after="0" w:line="171" w:lineRule="exact"/>
        <w:rPr>
          <w:rFonts w:ascii="Arial" w:cs="Arial" w:eastAsia="Arial" w:hAnsi="Arial"/>
          <w:sz w:val="18"/>
          <w:szCs w:val="18"/>
          <w:color w:val="131E29"/>
        </w:rPr>
      </w:pPr>
    </w:p>
    <w:p>
      <w:pPr>
        <w:ind w:left="340" w:hanging="332"/>
        <w:spacing w:after="0" w:line="261" w:lineRule="auto"/>
        <w:tabs>
          <w:tab w:leader="none" w:pos="335"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the ability of the holders of our Class C common stock, voting as a separate class, to elect up to two directors, subject to the limitations set forth in our amended and restated certificate;</w:t>
      </w:r>
    </w:p>
    <w:p>
      <w:pPr>
        <w:spacing w:after="0" w:line="143"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requiring super-majority voting to amend some provisions in our amended and restated bylaws;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authorizing the issuance of “blank check” preferred stock that our board of directors could use to implement a stockholder rights plan;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eliminating the ability of stockholders to call special meetings of stockholders;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52"/>
        </w:numPr>
        <w:rPr>
          <w:rFonts w:ascii="Arial" w:cs="Arial" w:eastAsia="Arial" w:hAnsi="Arial"/>
          <w:sz w:val="18"/>
          <w:szCs w:val="18"/>
          <w:color w:val="131E29"/>
        </w:rPr>
      </w:pPr>
      <w:r>
        <w:rPr>
          <w:rFonts w:ascii="Arial" w:cs="Arial" w:eastAsia="Arial" w:hAnsi="Arial"/>
          <w:sz w:val="18"/>
          <w:szCs w:val="18"/>
          <w:color w:val="131E29"/>
        </w:rPr>
        <w:t>our multi-class common stock structure as described above.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do not intend to pay dividends for the foreseeable future.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Class A common stock and our Class D common stock is currently limited by the covenants of our Senior Secured Credit Facility and may be further restricted by the terms of any future debt or preferred securities. Holders of our Class B common stock and Class C common stock do not have any right to receive dividends, or to receive a distribution upon a liquidation, dissolution or winding up of Dutch Bros Inc., with respect to their Class B common stock or Class C common stock. Accordingly, stockholders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*Catastrophic events may disrupt our business.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131E29"/>
        </w:rPr>
        <w:t>Labor discord or disruption, geopolitical events, social unrest, war, including repercussions of the recent military conflict between Russia and Ukraine,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the COVID-19 pandemic, including the reactions of governments, markets, and the general public, may result in a number of adverse consequences for our business, operations, and results of operations, many of which are beyond our control. 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6098"/>
        </w:rPr>
        <w:t>*Economic and business factors that are largely beyond our control may adversely affect consumer behavior and the results of our operations.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Our business is dependent upon consumer discretionary spending, which may be affected by general economic conditions that are beyond our control. For example, increasing inflation, international, domestic and regional economic conditions, consumer income levels, financial market volatility, a slow or stagnant pace of economic growth, rising energy costs, rising interest rates, social unrest, and governmental, political and budget concerns or divisions may have a negative effect on consumer confidence and discretionary spending. For example, the recent rapid rise in inflation may prompt consumers to decrease discretionary spending. A significant decrease in our customer traffic or average value per transaction without a corresponding decrease in costs would put downward pressure on margins and would negatively impact our financial results.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the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2. UNREGISTERED SALES OF EQUITY SECURITIES AND USE OF PROCEEDS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DEFAULTS UPON SENIOR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MINE SAFETY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31E29"/>
        </w:rPr>
        <w:t>Not applicable.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5. OTHER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31E29"/>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exhibits are included herein or incorporated herein by reference: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20" w:type="dxa"/>
            <w:vAlign w:val="bottom"/>
            <w:gridSpan w:val="5"/>
          </w:tcPr>
          <w:p>
            <w:pPr>
              <w:ind w:left="520"/>
              <w:spacing w:after="0"/>
              <w:rPr>
                <w:sz w:val="20"/>
                <w:szCs w:val="20"/>
                <w:color w:val="auto"/>
              </w:rPr>
            </w:pPr>
            <w:r>
              <w:rPr>
                <w:rFonts w:ascii="Arial" w:cs="Arial" w:eastAsia="Arial" w:hAnsi="Arial"/>
                <w:sz w:val="14"/>
                <w:szCs w:val="14"/>
                <w:b w:val="1"/>
                <w:bCs w:val="1"/>
                <w:color w:val="131E29"/>
              </w:rPr>
              <w:t>Incorporated by Reference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131E29"/>
              </w:rPr>
              <w:t>Exhibit</w:t>
            </w: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131E29"/>
                <w:w w:val="97"/>
              </w:rPr>
              <w:t>Filed</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Number</w:t>
            </w:r>
          </w:p>
        </w:tc>
        <w:tc>
          <w:tcPr>
            <w:tcW w:w="20" w:type="dxa"/>
            <w:vAlign w:val="bottom"/>
          </w:tcPr>
          <w:p>
            <w:pPr>
              <w:spacing w:after="0"/>
              <w:rPr>
                <w:sz w:val="16"/>
                <w:szCs w:val="16"/>
                <w:color w:val="auto"/>
              </w:rPr>
            </w:pPr>
          </w:p>
        </w:tc>
        <w:tc>
          <w:tcPr>
            <w:tcW w:w="4520" w:type="dxa"/>
            <w:vAlign w:val="bottom"/>
            <w:gridSpan w:val="15"/>
          </w:tcPr>
          <w:p>
            <w:pPr>
              <w:spacing w:after="0"/>
              <w:rPr>
                <w:sz w:val="20"/>
                <w:szCs w:val="20"/>
                <w:color w:val="auto"/>
              </w:rPr>
            </w:pPr>
            <w:r>
              <w:rPr>
                <w:rFonts w:ascii="Arial" w:cs="Arial" w:eastAsia="Arial" w:hAnsi="Arial"/>
                <w:sz w:val="14"/>
                <w:szCs w:val="14"/>
                <w:b w:val="1"/>
                <w:bCs w:val="1"/>
                <w:color w:val="131E29"/>
              </w:rPr>
              <w:t>Description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131E29"/>
              </w:rPr>
              <w:t>Form</w:t>
            </w:r>
          </w:p>
        </w:tc>
        <w:tc>
          <w:tcPr>
            <w:tcW w:w="1240" w:type="dxa"/>
            <w:vAlign w:val="bottom"/>
          </w:tcPr>
          <w:p>
            <w:pPr>
              <w:ind w:left="360"/>
              <w:spacing w:after="0"/>
              <w:rPr>
                <w:sz w:val="20"/>
                <w:szCs w:val="20"/>
                <w:color w:val="auto"/>
              </w:rPr>
            </w:pPr>
            <w:r>
              <w:rPr>
                <w:rFonts w:ascii="Arial" w:cs="Arial" w:eastAsia="Arial" w:hAnsi="Arial"/>
                <w:sz w:val="14"/>
                <w:szCs w:val="14"/>
                <w:b w:val="1"/>
                <w:bCs w:val="1"/>
                <w:color w:val="131E29"/>
              </w:rPr>
              <w:t>File No.</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31E29"/>
              </w:rPr>
              <w:t>Exhibit</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Filing Date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131E29"/>
              </w:rPr>
              <w:t>Herewith</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tcBorders>
              <w:bottom w:val="single" w:sz="8" w:color="D2DCE5"/>
            </w:tcBorders>
            <w:shd w:val="clear" w:color="auto" w:fill="D2DCE5"/>
          </w:tcPr>
          <w:p>
            <w:pPr>
              <w:spacing w:after="0"/>
              <w:rPr>
                <w:sz w:val="15"/>
                <w:szCs w:val="15"/>
                <w:color w:val="auto"/>
              </w:rPr>
            </w:pPr>
          </w:p>
        </w:tc>
        <w:tc>
          <w:tcPr>
            <w:tcW w:w="80" w:type="dxa"/>
            <w:vAlign w:val="bottom"/>
            <w:tcBorders>
              <w:bottom w:val="single" w:sz="8" w:color="D2DCE5"/>
            </w:tcBorders>
            <w:shd w:val="clear" w:color="auto" w:fill="D2DCE5"/>
          </w:tcPr>
          <w:p>
            <w:pPr>
              <w:spacing w:after="0"/>
              <w:rPr>
                <w:sz w:val="15"/>
                <w:szCs w:val="15"/>
                <w:color w:val="auto"/>
              </w:rPr>
            </w:pPr>
          </w:p>
        </w:tc>
        <w:tc>
          <w:tcPr>
            <w:tcW w:w="20" w:type="dxa"/>
            <w:vAlign w:val="bottom"/>
            <w:tcBorders>
              <w:bottom w:val="single" w:sz="8" w:color="D2DCE5"/>
            </w:tcBorders>
            <w:shd w:val="clear" w:color="auto" w:fill="D2DCE5"/>
          </w:tcPr>
          <w:p>
            <w:pPr>
              <w:spacing w:after="0"/>
              <w:rPr>
                <w:sz w:val="15"/>
                <w:szCs w:val="15"/>
                <w:color w:val="auto"/>
              </w:rPr>
            </w:pPr>
          </w:p>
        </w:tc>
        <w:tc>
          <w:tcPr>
            <w:tcW w:w="3840" w:type="dxa"/>
            <w:vAlign w:val="bottom"/>
            <w:tcBorders>
              <w:bottom w:val="single" w:sz="8" w:color="0000FF"/>
            </w:tcBorders>
            <w:gridSpan w:val="6"/>
            <w:shd w:val="clear" w:color="auto" w:fill="D2DCE5"/>
          </w:tcPr>
          <w:p>
            <w:pPr>
              <w:spacing w:after="0" w:line="183" w:lineRule="exact"/>
              <w:rPr>
                <w:rFonts w:ascii="Arial" w:cs="Arial" w:eastAsia="Arial" w:hAnsi="Arial"/>
                <w:sz w:val="16"/>
                <w:szCs w:val="16"/>
                <w:color w:val="0000FF"/>
              </w:rPr>
            </w:pPr>
            <w:hyperlink r:id="rId248">
              <w:r>
                <w:rPr>
                  <w:rFonts w:ascii="Arial" w:cs="Arial" w:eastAsia="Arial" w:hAnsi="Arial"/>
                  <w:sz w:val="16"/>
                  <w:szCs w:val="16"/>
                  <w:color w:val="0000FF"/>
                </w:rPr>
                <w:t>Amended and Restated Certificate of Incorporation of</w:t>
              </w:r>
            </w:hyperlink>
          </w:p>
        </w:tc>
        <w:tc>
          <w:tcPr>
            <w:tcW w:w="680" w:type="dxa"/>
            <w:vAlign w:val="bottom"/>
            <w:tcBorders>
              <w:bottom w:val="single" w:sz="8" w:color="D2DCE5"/>
            </w:tcBorders>
            <w:gridSpan w:val="9"/>
            <w:shd w:val="clear" w:color="auto" w:fill="D2DCE5"/>
          </w:tcPr>
          <w:p>
            <w:pPr>
              <w:spacing w:after="0"/>
              <w:rPr>
                <w:sz w:val="15"/>
                <w:szCs w:val="15"/>
                <w:color w:val="auto"/>
              </w:rPr>
            </w:pPr>
          </w:p>
        </w:tc>
        <w:tc>
          <w:tcPr>
            <w:tcW w:w="760" w:type="dxa"/>
            <w:vAlign w:val="bottom"/>
            <w:tcBorders>
              <w:bottom w:val="single" w:sz="8" w:color="D2DCE5"/>
            </w:tcBorders>
            <w:shd w:val="clear" w:color="auto" w:fill="D2DCE5"/>
          </w:tcPr>
          <w:p>
            <w:pPr>
              <w:spacing w:after="0"/>
              <w:rPr>
                <w:sz w:val="15"/>
                <w:szCs w:val="15"/>
                <w:color w:val="auto"/>
              </w:rPr>
            </w:pPr>
          </w:p>
        </w:tc>
        <w:tc>
          <w:tcPr>
            <w:tcW w:w="1240" w:type="dxa"/>
            <w:vAlign w:val="bottom"/>
            <w:tcBorders>
              <w:bottom w:val="single" w:sz="8" w:color="D2DCE5"/>
            </w:tcBorders>
            <w:shd w:val="clear" w:color="auto" w:fill="D2DCE5"/>
          </w:tcPr>
          <w:p>
            <w:pPr>
              <w:spacing w:after="0"/>
              <w:rPr>
                <w:sz w:val="15"/>
                <w:szCs w:val="15"/>
                <w:color w:val="auto"/>
              </w:rPr>
            </w:pPr>
          </w:p>
        </w:tc>
        <w:tc>
          <w:tcPr>
            <w:tcW w:w="82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156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960" w:type="dxa"/>
            <w:vAlign w:val="bottom"/>
            <w:tcBorders>
              <w:bottom w:val="single" w:sz="8" w:color="D2DCE5"/>
            </w:tcBorders>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3.1</w:t>
            </w: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5"/>
            <w:shd w:val="clear" w:color="auto" w:fill="D2DCE5"/>
          </w:tcPr>
          <w:p>
            <w:pPr>
              <w:spacing w:after="0" w:line="183" w:lineRule="exact"/>
              <w:rPr>
                <w:rFonts w:ascii="Arial" w:cs="Arial" w:eastAsia="Arial" w:hAnsi="Arial"/>
                <w:sz w:val="16"/>
                <w:szCs w:val="16"/>
                <w:color w:val="0000FF"/>
              </w:rPr>
            </w:pPr>
            <w:hyperlink r:id="rId248">
              <w:r>
                <w:rPr>
                  <w:rFonts w:ascii="Arial" w:cs="Arial" w:eastAsia="Arial" w:hAnsi="Arial"/>
                  <w:sz w:val="16"/>
                  <w:szCs w:val="16"/>
                  <w:color w:val="0000FF"/>
                </w:rPr>
                <w:t>Registrant</w:t>
              </w:r>
            </w:hyperlink>
          </w:p>
        </w:tc>
        <w:tc>
          <w:tcPr>
            <w:tcW w:w="7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8-K</w:t>
            </w:r>
          </w:p>
        </w:tc>
        <w:tc>
          <w:tcPr>
            <w:tcW w:w="124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001-40798</w:t>
            </w:r>
          </w:p>
        </w:tc>
        <w:tc>
          <w:tcPr>
            <w:tcW w:w="82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3.1</w:t>
            </w:r>
          </w:p>
        </w:tc>
        <w:tc>
          <w:tcPr>
            <w:tcW w:w="100" w:type="dxa"/>
            <w:vAlign w:val="bottom"/>
            <w:shd w:val="clear" w:color="auto" w:fill="D2DCE5"/>
          </w:tcPr>
          <w:p>
            <w:pPr>
              <w:spacing w:after="0"/>
              <w:rPr>
                <w:sz w:val="15"/>
                <w:szCs w:val="15"/>
                <w:color w:val="auto"/>
              </w:rPr>
            </w:pPr>
          </w:p>
        </w:tc>
        <w:tc>
          <w:tcPr>
            <w:tcW w:w="1660" w:type="dxa"/>
            <w:vAlign w:val="bottom"/>
            <w:gridSpan w:val="2"/>
            <w:vMerge w:val="restart"/>
            <w:shd w:val="clear" w:color="auto" w:fill="D2DCE5"/>
          </w:tcPr>
          <w:p>
            <w:pPr>
              <w:jc w:val="center"/>
              <w:ind w:right="80"/>
              <w:spacing w:after="0"/>
              <w:rPr>
                <w:sz w:val="20"/>
                <w:szCs w:val="20"/>
                <w:color w:val="auto"/>
              </w:rPr>
            </w:pPr>
            <w:r>
              <w:rPr>
                <w:rFonts w:ascii="Arial" w:cs="Arial" w:eastAsia="Arial" w:hAnsi="Arial"/>
                <w:sz w:val="16"/>
                <w:szCs w:val="16"/>
                <w:color w:val="131E29"/>
              </w:rPr>
              <w:t>September 17, 2021</w:t>
            </w: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460" w:type="dxa"/>
            <w:vAlign w:val="bottom"/>
            <w:tcBorders>
              <w:top w:val="single" w:sz="8" w:color="D2DCE5"/>
            </w:tcBorders>
            <w:shd w:val="clear" w:color="auto" w:fill="D2DCE5"/>
          </w:tcPr>
          <w:p>
            <w:pPr>
              <w:spacing w:after="0"/>
              <w:rPr>
                <w:sz w:val="17"/>
                <w:szCs w:val="17"/>
                <w:color w:val="auto"/>
              </w:rPr>
            </w:pPr>
          </w:p>
        </w:tc>
        <w:tc>
          <w:tcPr>
            <w:tcW w:w="122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160" w:type="dxa"/>
            <w:vAlign w:val="bottom"/>
            <w:tcBorders>
              <w:top w:val="single" w:sz="8" w:color="D2DCE5"/>
            </w:tcBorders>
            <w:shd w:val="clear" w:color="auto" w:fill="D2DCE5"/>
          </w:tcPr>
          <w:p>
            <w:pPr>
              <w:spacing w:after="0"/>
              <w:rPr>
                <w:sz w:val="17"/>
                <w:szCs w:val="17"/>
                <w:color w:val="auto"/>
              </w:rPr>
            </w:pPr>
          </w:p>
        </w:tc>
        <w:tc>
          <w:tcPr>
            <w:tcW w:w="200" w:type="dxa"/>
            <w:vAlign w:val="bottom"/>
            <w:tcBorders>
              <w:top w:val="single" w:sz="8" w:color="D2DCE5"/>
              <w:left w:val="single" w:sz="8" w:color="D2DCE5"/>
            </w:tcBorders>
            <w:shd w:val="clear" w:color="auto" w:fill="D2DCE5"/>
          </w:tcPr>
          <w:p>
            <w:pPr>
              <w:spacing w:after="0"/>
              <w:rPr>
                <w:sz w:val="17"/>
                <w:szCs w:val="17"/>
                <w:color w:val="auto"/>
              </w:rPr>
            </w:pPr>
          </w:p>
        </w:tc>
        <w:tc>
          <w:tcPr>
            <w:tcW w:w="4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4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vMerge w:val="continue"/>
            <w:shd w:val="clear" w:color="auto" w:fill="D2DCE5"/>
          </w:tcPr>
          <w:p>
            <w:pPr>
              <w:spacing w:after="0"/>
              <w:rPr>
                <w:sz w:val="17"/>
                <w:szCs w:val="17"/>
                <w:color w:val="auto"/>
              </w:rPr>
            </w:pPr>
          </w:p>
        </w:tc>
        <w:tc>
          <w:tcPr>
            <w:tcW w:w="1240" w:type="dxa"/>
            <w:vAlign w:val="bottom"/>
            <w:tcBorders>
              <w:top w:val="single" w:sz="8" w:color="D2DCE5"/>
            </w:tcBorders>
            <w:vMerge w:val="continue"/>
            <w:shd w:val="clear" w:color="auto" w:fill="D2DCE5"/>
          </w:tcPr>
          <w:p>
            <w:pPr>
              <w:spacing w:after="0"/>
              <w:rPr>
                <w:sz w:val="17"/>
                <w:szCs w:val="17"/>
                <w:color w:val="auto"/>
              </w:rPr>
            </w:pPr>
          </w:p>
        </w:tc>
        <w:tc>
          <w:tcPr>
            <w:tcW w:w="82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660" w:type="dxa"/>
            <w:vAlign w:val="bottom"/>
            <w:tcBorders>
              <w:top w:val="single" w:sz="8" w:color="D2DCE5"/>
            </w:tcBorders>
            <w:gridSpan w:val="2"/>
            <w:vMerge w:val="continue"/>
            <w:shd w:val="clear" w:color="auto" w:fill="D2DCE5"/>
          </w:tcPr>
          <w:p>
            <w:pPr>
              <w:spacing w:after="0"/>
              <w:rPr>
                <w:sz w:val="17"/>
                <w:szCs w:val="17"/>
                <w:color w:val="auto"/>
              </w:rPr>
            </w:pPr>
          </w:p>
        </w:tc>
        <w:tc>
          <w:tcPr>
            <w:tcW w:w="960" w:type="dxa"/>
            <w:vAlign w:val="bottom"/>
            <w:tcBorders>
              <w:top w:val="single" w:sz="8" w:color="D2DCE5"/>
            </w:tcBorders>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5"/>
          </w:tcPr>
          <w:p>
            <w:pPr>
              <w:spacing w:after="0"/>
              <w:rPr>
                <w:rFonts w:ascii="Arial" w:cs="Arial" w:eastAsia="Arial" w:hAnsi="Arial"/>
                <w:sz w:val="16"/>
                <w:szCs w:val="16"/>
                <w:color w:val="0000FF"/>
              </w:rPr>
            </w:pPr>
            <w:hyperlink r:id="rId249">
              <w:r>
                <w:rPr>
                  <w:rFonts w:ascii="Arial" w:cs="Arial" w:eastAsia="Arial" w:hAnsi="Arial"/>
                  <w:sz w:val="16"/>
                  <w:szCs w:val="16"/>
                  <w:color w:val="0000FF"/>
                </w:rPr>
                <w:t>Amended and Restated Bylaws of Registrant</w:t>
              </w:r>
            </w:hyperlink>
          </w:p>
        </w:tc>
        <w:tc>
          <w:tcPr>
            <w:tcW w:w="760" w:type="dxa"/>
            <w:vAlign w:val="bottom"/>
            <w:vMerge w:val="restart"/>
          </w:tcPr>
          <w:p>
            <w:pPr>
              <w:jc w:val="center"/>
              <w:spacing w:after="0"/>
              <w:rPr>
                <w:sz w:val="20"/>
                <w:szCs w:val="20"/>
                <w:color w:val="auto"/>
              </w:rPr>
            </w:pPr>
            <w:r>
              <w:rPr>
                <w:rFonts w:ascii="Arial" w:cs="Arial" w:eastAsia="Arial" w:hAnsi="Arial"/>
                <w:sz w:val="16"/>
                <w:szCs w:val="16"/>
                <w:color w:val="131E29"/>
              </w:rPr>
              <w:t>S-1</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w w:val="98"/>
              </w:rPr>
              <w:t>3.4</w:t>
            </w:r>
          </w:p>
        </w:tc>
        <w:tc>
          <w:tcPr>
            <w:tcW w:w="100" w:type="dxa"/>
            <w:vAlign w:val="bottom"/>
          </w:tcPr>
          <w:p>
            <w:pPr>
              <w:spacing w:after="0"/>
              <w:rPr>
                <w:sz w:val="16"/>
                <w:szCs w:val="16"/>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131E29"/>
              </w:rPr>
              <w:t>August 20, 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2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4.1</w:t>
            </w:r>
          </w:p>
        </w:tc>
        <w:tc>
          <w:tcPr>
            <w:tcW w:w="80" w:type="dxa"/>
            <w:vAlign w:val="bottom"/>
            <w:shd w:val="clear" w:color="auto" w:fill="D2DCE5"/>
          </w:tcPr>
          <w:p>
            <w:pPr>
              <w:spacing w:after="0"/>
              <w:rPr>
                <w:sz w:val="17"/>
                <w:szCs w:val="17"/>
                <w:color w:val="auto"/>
              </w:rPr>
            </w:pPr>
          </w:p>
        </w:tc>
        <w:tc>
          <w:tcPr>
            <w:tcW w:w="20" w:type="dxa"/>
            <w:vAlign w:val="bottom"/>
            <w:shd w:val="clear" w:color="auto" w:fill="D2DCE5"/>
          </w:tcPr>
          <w:p>
            <w:pPr>
              <w:spacing w:after="0"/>
              <w:rPr>
                <w:sz w:val="17"/>
                <w:szCs w:val="17"/>
                <w:color w:val="auto"/>
              </w:rPr>
            </w:pPr>
          </w:p>
        </w:tc>
        <w:tc>
          <w:tcPr>
            <w:tcW w:w="4520" w:type="dxa"/>
            <w:vAlign w:val="bottom"/>
            <w:gridSpan w:val="15"/>
            <w:shd w:val="clear" w:color="auto" w:fill="D2DCE5"/>
          </w:tcPr>
          <w:p>
            <w:pPr>
              <w:spacing w:after="0"/>
              <w:rPr>
                <w:rFonts w:ascii="Arial" w:cs="Arial" w:eastAsia="Arial" w:hAnsi="Arial"/>
                <w:sz w:val="16"/>
                <w:szCs w:val="16"/>
                <w:color w:val="0000FF"/>
              </w:rPr>
            </w:pPr>
            <w:hyperlink r:id="rId250">
              <w:r>
                <w:rPr>
                  <w:rFonts w:ascii="Arial" w:cs="Arial" w:eastAsia="Arial" w:hAnsi="Arial"/>
                  <w:sz w:val="16"/>
                  <w:szCs w:val="16"/>
                  <w:color w:val="0000FF"/>
                </w:rPr>
                <w:t>Form of Common Stock Certificate</w:t>
              </w:r>
            </w:hyperlink>
          </w:p>
        </w:tc>
        <w:tc>
          <w:tcPr>
            <w:tcW w:w="7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S-1/A</w:t>
            </w:r>
          </w:p>
        </w:tc>
        <w:tc>
          <w:tcPr>
            <w:tcW w:w="124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w w:val="98"/>
              </w:rPr>
              <w:t>4.1</w:t>
            </w:r>
          </w:p>
        </w:tc>
        <w:tc>
          <w:tcPr>
            <w:tcW w:w="100" w:type="dxa"/>
            <w:vAlign w:val="bottom"/>
            <w:shd w:val="clear" w:color="auto" w:fill="D2DCE5"/>
          </w:tcPr>
          <w:p>
            <w:pPr>
              <w:spacing w:after="0"/>
              <w:rPr>
                <w:sz w:val="17"/>
                <w:szCs w:val="17"/>
                <w:color w:val="auto"/>
              </w:rPr>
            </w:pPr>
          </w:p>
        </w:tc>
        <w:tc>
          <w:tcPr>
            <w:tcW w:w="1660" w:type="dxa"/>
            <w:vAlign w:val="bottom"/>
            <w:gridSpan w:val="2"/>
            <w:vMerge w:val="restart"/>
            <w:shd w:val="clear" w:color="auto" w:fill="D2DCE5"/>
          </w:tcPr>
          <w:p>
            <w:pPr>
              <w:jc w:val="center"/>
              <w:ind w:right="80"/>
              <w:spacing w:after="0"/>
              <w:rPr>
                <w:sz w:val="20"/>
                <w:szCs w:val="20"/>
                <w:color w:val="auto"/>
              </w:rPr>
            </w:pPr>
            <w:r>
              <w:rPr>
                <w:rFonts w:ascii="Arial" w:cs="Arial" w:eastAsia="Arial" w:hAnsi="Arial"/>
                <w:sz w:val="16"/>
                <w:szCs w:val="16"/>
                <w:color w:val="131E29"/>
              </w:rPr>
              <w:t>September 13, 2021</w:t>
            </w:r>
          </w:p>
        </w:tc>
        <w:tc>
          <w:tcPr>
            <w:tcW w:w="96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0000FF"/>
            </w:tcBorders>
            <w:shd w:val="clear" w:color="auto" w:fill="D2DCE5"/>
          </w:tcPr>
          <w:p>
            <w:pPr>
              <w:spacing w:after="0"/>
              <w:rPr>
                <w:sz w:val="17"/>
                <w:szCs w:val="17"/>
                <w:color w:val="auto"/>
              </w:rPr>
            </w:pPr>
          </w:p>
        </w:tc>
        <w:tc>
          <w:tcPr>
            <w:tcW w:w="460" w:type="dxa"/>
            <w:vAlign w:val="bottom"/>
            <w:tcBorders>
              <w:top w:val="single" w:sz="8" w:color="0000FF"/>
            </w:tcBorders>
            <w:shd w:val="clear" w:color="auto" w:fill="D2DCE5"/>
          </w:tcPr>
          <w:p>
            <w:pPr>
              <w:spacing w:after="0"/>
              <w:rPr>
                <w:sz w:val="17"/>
                <w:szCs w:val="17"/>
                <w:color w:val="auto"/>
              </w:rPr>
            </w:pPr>
          </w:p>
        </w:tc>
        <w:tc>
          <w:tcPr>
            <w:tcW w:w="1220" w:type="dxa"/>
            <w:vAlign w:val="bottom"/>
            <w:tcBorders>
              <w:top w:val="single" w:sz="8" w:color="0000FF"/>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160" w:type="dxa"/>
            <w:vAlign w:val="bottom"/>
            <w:tcBorders>
              <w:top w:val="single" w:sz="8" w:color="D2DCE5"/>
            </w:tcBorders>
            <w:shd w:val="clear" w:color="auto" w:fill="D2DCE5"/>
          </w:tcPr>
          <w:p>
            <w:pPr>
              <w:spacing w:after="0"/>
              <w:rPr>
                <w:sz w:val="17"/>
                <w:szCs w:val="17"/>
                <w:color w:val="auto"/>
              </w:rPr>
            </w:pPr>
          </w:p>
        </w:tc>
        <w:tc>
          <w:tcPr>
            <w:tcW w:w="200" w:type="dxa"/>
            <w:vAlign w:val="bottom"/>
            <w:tcBorders>
              <w:top w:val="single" w:sz="8" w:color="D2DCE5"/>
              <w:left w:val="single" w:sz="8" w:color="D2DCE5"/>
            </w:tcBorders>
            <w:shd w:val="clear" w:color="auto" w:fill="D2DCE5"/>
          </w:tcPr>
          <w:p>
            <w:pPr>
              <w:spacing w:after="0"/>
              <w:rPr>
                <w:sz w:val="17"/>
                <w:szCs w:val="17"/>
                <w:color w:val="auto"/>
              </w:rPr>
            </w:pPr>
          </w:p>
        </w:tc>
        <w:tc>
          <w:tcPr>
            <w:tcW w:w="4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4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vMerge w:val="continue"/>
            <w:shd w:val="clear" w:color="auto" w:fill="D2DCE5"/>
          </w:tcPr>
          <w:p>
            <w:pPr>
              <w:spacing w:after="0"/>
              <w:rPr>
                <w:sz w:val="17"/>
                <w:szCs w:val="17"/>
                <w:color w:val="auto"/>
              </w:rPr>
            </w:pPr>
          </w:p>
        </w:tc>
        <w:tc>
          <w:tcPr>
            <w:tcW w:w="1240" w:type="dxa"/>
            <w:vAlign w:val="bottom"/>
            <w:tcBorders>
              <w:top w:val="single" w:sz="8" w:color="D2DCE5"/>
            </w:tcBorders>
            <w:vMerge w:val="continue"/>
            <w:shd w:val="clear" w:color="auto" w:fill="D2DCE5"/>
          </w:tcPr>
          <w:p>
            <w:pPr>
              <w:spacing w:after="0"/>
              <w:rPr>
                <w:sz w:val="17"/>
                <w:szCs w:val="17"/>
                <w:color w:val="auto"/>
              </w:rPr>
            </w:pPr>
          </w:p>
        </w:tc>
        <w:tc>
          <w:tcPr>
            <w:tcW w:w="820" w:type="dxa"/>
            <w:vAlign w:val="bottom"/>
            <w:tcBorders>
              <w:top w:val="single" w:sz="8" w:color="D2DCE5"/>
            </w:tcBorders>
            <w:vMerge w:val="continue"/>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660" w:type="dxa"/>
            <w:vAlign w:val="bottom"/>
            <w:tcBorders>
              <w:top w:val="single" w:sz="8" w:color="D2DCE5"/>
            </w:tcBorders>
            <w:gridSpan w:val="2"/>
            <w:vMerge w:val="continue"/>
            <w:shd w:val="clear" w:color="auto" w:fill="D2DCE5"/>
          </w:tcPr>
          <w:p>
            <w:pPr>
              <w:spacing w:after="0"/>
              <w:rPr>
                <w:sz w:val="17"/>
                <w:szCs w:val="17"/>
                <w:color w:val="auto"/>
              </w:rPr>
            </w:pPr>
          </w:p>
        </w:tc>
        <w:tc>
          <w:tcPr>
            <w:tcW w:w="960" w:type="dxa"/>
            <w:vAlign w:val="bottom"/>
            <w:tcBorders>
              <w:top w:val="single" w:sz="8" w:color="D2DCE5"/>
            </w:tcBorders>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5"/>
          </w:tcPr>
          <w:p>
            <w:pPr>
              <w:spacing w:after="0"/>
              <w:rPr>
                <w:sz w:val="20"/>
                <w:szCs w:val="20"/>
                <w:color w:val="auto"/>
              </w:rPr>
            </w:pPr>
            <w:r>
              <w:rPr>
                <w:rFonts w:ascii="Arial" w:cs="Arial" w:eastAsia="Arial" w:hAnsi="Arial"/>
                <w:sz w:val="16"/>
                <w:szCs w:val="16"/>
                <w:color w:val="0000FF"/>
              </w:rPr>
              <w:t>Certification of Chief Executive Officer Pursuant to Rules</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5"/>
          </w:tcPr>
          <w:p>
            <w:pPr>
              <w:spacing w:after="0" w:line="183" w:lineRule="exact"/>
              <w:rPr>
                <w:sz w:val="20"/>
                <w:szCs w:val="20"/>
                <w:color w:val="auto"/>
              </w:rPr>
            </w:pPr>
            <w:r>
              <w:rPr>
                <w:rFonts w:ascii="Arial" w:cs="Arial" w:eastAsia="Arial" w:hAnsi="Arial"/>
                <w:sz w:val="16"/>
                <w:szCs w:val="16"/>
                <w:color w:val="0000FF"/>
              </w:rPr>
              <w:t>13a-14(a) and 15d-14(a) of the Securities Exchange Act of</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1934, as Adopted Pursuant to Section 302 of the Sarbanes-</w:t>
            </w: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5"/>
          </w:tcPr>
          <w:p>
            <w:pPr>
              <w:spacing w:after="0" w:line="183" w:lineRule="exact"/>
              <w:rPr>
                <w:sz w:val="20"/>
                <w:szCs w:val="20"/>
                <w:color w:val="auto"/>
              </w:rPr>
            </w:pPr>
            <w:r>
              <w:rPr>
                <w:rFonts w:ascii="Arial" w:cs="Arial" w:eastAsia="Arial" w:hAnsi="Arial"/>
                <w:sz w:val="16"/>
                <w:szCs w:val="16"/>
                <w:color w:val="0000FF"/>
              </w:rPr>
              <w:t>Oxley Act of 2002</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tcBorders>
              <w:bottom w:val="single" w:sz="8" w:color="D2DCE5"/>
            </w:tcBorders>
            <w:shd w:val="clear" w:color="auto" w:fill="D2DCE5"/>
          </w:tcPr>
          <w:p>
            <w:pPr>
              <w:spacing w:after="0"/>
              <w:rPr>
                <w:sz w:val="17"/>
                <w:szCs w:val="17"/>
                <w:color w:val="auto"/>
              </w:rPr>
            </w:pPr>
          </w:p>
        </w:tc>
        <w:tc>
          <w:tcPr>
            <w:tcW w:w="80" w:type="dxa"/>
            <w:vAlign w:val="bottom"/>
            <w:tcBorders>
              <w:bottom w:val="single" w:sz="8" w:color="D2DCE5"/>
            </w:tcBorders>
            <w:shd w:val="clear" w:color="auto" w:fill="D2DCE5"/>
          </w:tcPr>
          <w:p>
            <w:pPr>
              <w:spacing w:after="0"/>
              <w:rPr>
                <w:sz w:val="17"/>
                <w:szCs w:val="17"/>
                <w:color w:val="auto"/>
              </w:rPr>
            </w:pPr>
          </w:p>
        </w:tc>
        <w:tc>
          <w:tcPr>
            <w:tcW w:w="20" w:type="dxa"/>
            <w:vAlign w:val="bottom"/>
            <w:tcBorders>
              <w:bottom w:val="single" w:sz="8" w:color="D2DCE5"/>
            </w:tcBorders>
            <w:shd w:val="clear" w:color="auto" w:fill="D2DCE5"/>
          </w:tcPr>
          <w:p>
            <w:pPr>
              <w:spacing w:after="0"/>
              <w:rPr>
                <w:sz w:val="17"/>
                <w:szCs w:val="17"/>
                <w:color w:val="auto"/>
              </w:rPr>
            </w:pPr>
          </w:p>
        </w:tc>
        <w:tc>
          <w:tcPr>
            <w:tcW w:w="4380" w:type="dxa"/>
            <w:vAlign w:val="bottom"/>
            <w:tcBorders>
              <w:bottom w:val="single" w:sz="8" w:color="0000FF"/>
            </w:tcBorders>
            <w:gridSpan w:val="13"/>
            <w:shd w:val="clear" w:color="auto" w:fill="D2DCE5"/>
          </w:tcPr>
          <w:p>
            <w:pPr>
              <w:spacing w:after="0"/>
              <w:rPr>
                <w:sz w:val="20"/>
                <w:szCs w:val="20"/>
                <w:color w:val="auto"/>
              </w:rPr>
            </w:pPr>
            <w:r>
              <w:rPr>
                <w:rFonts w:ascii="Arial" w:cs="Arial" w:eastAsia="Arial" w:hAnsi="Arial"/>
                <w:sz w:val="16"/>
                <w:szCs w:val="16"/>
                <w:color w:val="0000FF"/>
              </w:rPr>
              <w:t>Certification of Chief Financial Officer Pursuant to Rules 13a-</w:t>
            </w:r>
          </w:p>
        </w:tc>
        <w:tc>
          <w:tcPr>
            <w:tcW w:w="140" w:type="dxa"/>
            <w:vAlign w:val="bottom"/>
            <w:tcBorders>
              <w:bottom w:val="single" w:sz="8" w:color="D2DCE5"/>
            </w:tcBorders>
            <w:gridSpan w:val="2"/>
            <w:shd w:val="clear" w:color="auto" w:fill="D2DCE5"/>
          </w:tcPr>
          <w:p>
            <w:pPr>
              <w:spacing w:after="0"/>
              <w:rPr>
                <w:sz w:val="17"/>
                <w:szCs w:val="17"/>
                <w:color w:val="auto"/>
              </w:rPr>
            </w:pPr>
          </w:p>
        </w:tc>
        <w:tc>
          <w:tcPr>
            <w:tcW w:w="760" w:type="dxa"/>
            <w:vAlign w:val="bottom"/>
            <w:tcBorders>
              <w:bottom w:val="single" w:sz="8" w:color="D2DCE5"/>
            </w:tcBorders>
            <w:shd w:val="clear" w:color="auto" w:fill="D2DCE5"/>
          </w:tcPr>
          <w:p>
            <w:pPr>
              <w:spacing w:after="0"/>
              <w:rPr>
                <w:sz w:val="17"/>
                <w:szCs w:val="17"/>
                <w:color w:val="auto"/>
              </w:rPr>
            </w:pPr>
          </w:p>
        </w:tc>
        <w:tc>
          <w:tcPr>
            <w:tcW w:w="1240" w:type="dxa"/>
            <w:vAlign w:val="bottom"/>
            <w:tcBorders>
              <w:bottom w:val="single" w:sz="8" w:color="D2DCE5"/>
            </w:tcBorders>
            <w:shd w:val="clear" w:color="auto" w:fill="D2DCE5"/>
          </w:tcPr>
          <w:p>
            <w:pPr>
              <w:spacing w:after="0"/>
              <w:rPr>
                <w:sz w:val="17"/>
                <w:szCs w:val="17"/>
                <w:color w:val="auto"/>
              </w:rPr>
            </w:pPr>
          </w:p>
        </w:tc>
        <w:tc>
          <w:tcPr>
            <w:tcW w:w="82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1560" w:type="dxa"/>
            <w:vAlign w:val="bottom"/>
            <w:tcBorders>
              <w:bottom w:val="single" w:sz="8" w:color="D2DCE5"/>
            </w:tcBorders>
            <w:shd w:val="clear" w:color="auto" w:fill="D2DCE5"/>
          </w:tcPr>
          <w:p>
            <w:pPr>
              <w:spacing w:after="0"/>
              <w:rPr>
                <w:sz w:val="17"/>
                <w:szCs w:val="17"/>
                <w:color w:val="auto"/>
              </w:rPr>
            </w:pPr>
          </w:p>
        </w:tc>
        <w:tc>
          <w:tcPr>
            <w:tcW w:w="100" w:type="dxa"/>
            <w:vAlign w:val="bottom"/>
            <w:tcBorders>
              <w:bottom w:val="single" w:sz="8" w:color="D2DCE5"/>
            </w:tcBorders>
            <w:shd w:val="clear" w:color="auto" w:fill="D2DCE5"/>
          </w:tcPr>
          <w:p>
            <w:pPr>
              <w:spacing w:after="0"/>
              <w:rPr>
                <w:sz w:val="17"/>
                <w:szCs w:val="17"/>
                <w:color w:val="auto"/>
              </w:rPr>
            </w:pPr>
          </w:p>
        </w:tc>
        <w:tc>
          <w:tcPr>
            <w:tcW w:w="960" w:type="dxa"/>
            <w:vAlign w:val="bottom"/>
            <w:tcBorders>
              <w:bottom w:val="single" w:sz="8" w:color="D2DCE5"/>
            </w:tcBorders>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5"/>
            <w:shd w:val="clear" w:color="auto" w:fill="D2DCE5"/>
          </w:tcPr>
          <w:p>
            <w:pPr>
              <w:spacing w:after="0" w:line="183" w:lineRule="exact"/>
              <w:rPr>
                <w:sz w:val="20"/>
                <w:szCs w:val="20"/>
                <w:color w:val="auto"/>
              </w:rPr>
            </w:pPr>
            <w:r>
              <w:rPr>
                <w:rFonts w:ascii="Arial" w:cs="Arial" w:eastAsia="Arial" w:hAnsi="Arial"/>
                <w:sz w:val="16"/>
                <w:szCs w:val="16"/>
                <w:color w:val="0000FF"/>
              </w:rPr>
              <w:t>14(a) and 15d-14(a) of the Securities Exchange Act of 1934,</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D2DCE5"/>
              <w:bottom w:val="single" w:sz="8" w:color="D2DCE5"/>
            </w:tcBorders>
            <w:shd w:val="clear" w:color="auto" w:fill="D2DCE5"/>
          </w:tcPr>
          <w:p>
            <w:pPr>
              <w:spacing w:after="0"/>
              <w:rPr>
                <w:sz w:val="14"/>
                <w:szCs w:val="14"/>
                <w:color w:val="auto"/>
              </w:rPr>
            </w:pPr>
          </w:p>
        </w:tc>
        <w:tc>
          <w:tcPr>
            <w:tcW w:w="80" w:type="dxa"/>
            <w:vAlign w:val="bottom"/>
            <w:tcBorders>
              <w:top w:val="single" w:sz="8" w:color="D2DCE5"/>
              <w:bottom w:val="single" w:sz="8" w:color="D2DCE5"/>
            </w:tcBorders>
            <w:shd w:val="clear" w:color="auto" w:fill="D2DCE5"/>
          </w:tcPr>
          <w:p>
            <w:pPr>
              <w:spacing w:after="0"/>
              <w:rPr>
                <w:sz w:val="14"/>
                <w:szCs w:val="14"/>
                <w:color w:val="auto"/>
              </w:rPr>
            </w:pPr>
          </w:p>
        </w:tc>
        <w:tc>
          <w:tcPr>
            <w:tcW w:w="20" w:type="dxa"/>
            <w:vAlign w:val="bottom"/>
            <w:tcBorders>
              <w:top w:val="single" w:sz="8" w:color="D2DCE5"/>
              <w:bottom w:val="single" w:sz="8" w:color="D2DCE5"/>
            </w:tcBorders>
            <w:shd w:val="clear" w:color="auto" w:fill="D2DCE5"/>
          </w:tcPr>
          <w:p>
            <w:pPr>
              <w:spacing w:after="0"/>
              <w:rPr>
                <w:sz w:val="14"/>
                <w:szCs w:val="14"/>
                <w:color w:val="auto"/>
              </w:rPr>
            </w:pPr>
          </w:p>
        </w:tc>
        <w:tc>
          <w:tcPr>
            <w:tcW w:w="4260" w:type="dxa"/>
            <w:vAlign w:val="bottom"/>
            <w:tcBorders>
              <w:top w:val="single" w:sz="8" w:color="0000FF"/>
              <w:bottom w:val="single" w:sz="8" w:color="0000FF"/>
            </w:tcBorders>
            <w:gridSpan w:val="10"/>
            <w:shd w:val="clear" w:color="auto" w:fill="D2DCE5"/>
          </w:tcPr>
          <w:p>
            <w:pPr>
              <w:spacing w:after="0" w:line="169" w:lineRule="exact"/>
              <w:rPr>
                <w:sz w:val="20"/>
                <w:szCs w:val="20"/>
                <w:color w:val="auto"/>
              </w:rPr>
            </w:pPr>
            <w:r>
              <w:rPr>
                <w:rFonts w:ascii="Arial" w:cs="Arial" w:eastAsia="Arial" w:hAnsi="Arial"/>
                <w:sz w:val="16"/>
                <w:szCs w:val="16"/>
                <w:color w:val="0000FF"/>
              </w:rPr>
              <w:t>as Adopted Pursuant to Section 302 of the Sarbanes-Oxley</w:t>
            </w:r>
          </w:p>
        </w:tc>
        <w:tc>
          <w:tcPr>
            <w:tcW w:w="60" w:type="dxa"/>
            <w:vAlign w:val="bottom"/>
            <w:tcBorders>
              <w:top w:val="single" w:sz="8" w:color="0000FF"/>
              <w:bottom w:val="single" w:sz="8" w:color="D2DCE5"/>
            </w:tcBorders>
            <w:gridSpan w:val="2"/>
            <w:shd w:val="clear" w:color="auto" w:fill="D2DCE5"/>
          </w:tcPr>
          <w:p>
            <w:pPr>
              <w:spacing w:after="0"/>
              <w:rPr>
                <w:sz w:val="14"/>
                <w:szCs w:val="14"/>
                <w:color w:val="auto"/>
              </w:rPr>
            </w:pPr>
          </w:p>
        </w:tc>
        <w:tc>
          <w:tcPr>
            <w:tcW w:w="200" w:type="dxa"/>
            <w:vAlign w:val="bottom"/>
            <w:tcBorders>
              <w:top w:val="single" w:sz="8" w:color="D2DCE5"/>
              <w:bottom w:val="single" w:sz="8" w:color="D2DCE5"/>
            </w:tcBorders>
            <w:gridSpan w:val="3"/>
            <w:shd w:val="clear" w:color="auto" w:fill="D2DCE5"/>
          </w:tcPr>
          <w:p>
            <w:pPr>
              <w:spacing w:after="0"/>
              <w:rPr>
                <w:sz w:val="14"/>
                <w:szCs w:val="14"/>
                <w:color w:val="auto"/>
              </w:rPr>
            </w:pPr>
          </w:p>
        </w:tc>
        <w:tc>
          <w:tcPr>
            <w:tcW w:w="760" w:type="dxa"/>
            <w:vAlign w:val="bottom"/>
            <w:tcBorders>
              <w:top w:val="single" w:sz="8" w:color="D2DCE5"/>
              <w:bottom w:val="single" w:sz="8" w:color="D2DCE5"/>
            </w:tcBorders>
            <w:shd w:val="clear" w:color="auto" w:fill="D2DCE5"/>
          </w:tcPr>
          <w:p>
            <w:pPr>
              <w:spacing w:after="0"/>
              <w:rPr>
                <w:sz w:val="14"/>
                <w:szCs w:val="14"/>
                <w:color w:val="auto"/>
              </w:rPr>
            </w:pPr>
          </w:p>
        </w:tc>
        <w:tc>
          <w:tcPr>
            <w:tcW w:w="1240" w:type="dxa"/>
            <w:vAlign w:val="bottom"/>
            <w:tcBorders>
              <w:top w:val="single" w:sz="8" w:color="D2DCE5"/>
              <w:bottom w:val="single" w:sz="8" w:color="D2DCE5"/>
            </w:tcBorders>
            <w:shd w:val="clear" w:color="auto" w:fill="D2DCE5"/>
          </w:tcPr>
          <w:p>
            <w:pPr>
              <w:spacing w:after="0"/>
              <w:rPr>
                <w:sz w:val="14"/>
                <w:szCs w:val="14"/>
                <w:color w:val="auto"/>
              </w:rPr>
            </w:pPr>
          </w:p>
        </w:tc>
        <w:tc>
          <w:tcPr>
            <w:tcW w:w="82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156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960" w:type="dxa"/>
            <w:vAlign w:val="bottom"/>
            <w:tcBorders>
              <w:top w:val="single" w:sz="8" w:color="D2DCE5"/>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31.2</w:t>
            </w: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5"/>
            <w:shd w:val="clear" w:color="auto" w:fill="D2DCE5"/>
          </w:tcPr>
          <w:p>
            <w:pPr>
              <w:spacing w:after="0" w:line="183" w:lineRule="exact"/>
              <w:rPr>
                <w:sz w:val="20"/>
                <w:szCs w:val="20"/>
                <w:color w:val="auto"/>
              </w:rPr>
            </w:pPr>
            <w:r>
              <w:rPr>
                <w:rFonts w:ascii="Arial" w:cs="Arial" w:eastAsia="Arial" w:hAnsi="Arial"/>
                <w:sz w:val="16"/>
                <w:szCs w:val="16"/>
                <w:color w:val="0000FF"/>
              </w:rPr>
              <w:t>Act of 2002</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vMerge w:val="restart"/>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96"/>
        </w:trPr>
        <w:tc>
          <w:tcPr>
            <w:tcW w:w="1080" w:type="dxa"/>
            <w:vAlign w:val="bottom"/>
            <w:tcBorders>
              <w:top w:val="single" w:sz="8" w:color="D2DCE5"/>
            </w:tcBorders>
            <w:vMerge w:val="continue"/>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0000FF"/>
            </w:tcBorders>
            <w:shd w:val="clear" w:color="auto" w:fill="D2DCE5"/>
          </w:tcPr>
          <w:p>
            <w:pPr>
              <w:spacing w:after="0"/>
              <w:rPr>
                <w:sz w:val="17"/>
                <w:szCs w:val="17"/>
                <w:color w:val="auto"/>
              </w:rPr>
            </w:pPr>
          </w:p>
        </w:tc>
        <w:tc>
          <w:tcPr>
            <w:tcW w:w="80" w:type="dxa"/>
            <w:vAlign w:val="bottom"/>
            <w:tcBorders>
              <w:top w:val="single" w:sz="8" w:color="0000FF"/>
            </w:tcBorders>
            <w:shd w:val="clear" w:color="auto" w:fill="D2DCE5"/>
          </w:tcPr>
          <w:p>
            <w:pPr>
              <w:spacing w:after="0"/>
              <w:rPr>
                <w:sz w:val="17"/>
                <w:szCs w:val="17"/>
                <w:color w:val="auto"/>
              </w:rPr>
            </w:pPr>
          </w:p>
        </w:tc>
        <w:tc>
          <w:tcPr>
            <w:tcW w:w="460" w:type="dxa"/>
            <w:vAlign w:val="bottom"/>
            <w:tcBorders>
              <w:top w:val="single" w:sz="8" w:color="D2DCE5"/>
            </w:tcBorders>
            <w:shd w:val="clear" w:color="auto" w:fill="D2DCE5"/>
          </w:tcPr>
          <w:p>
            <w:pPr>
              <w:spacing w:after="0"/>
              <w:rPr>
                <w:sz w:val="17"/>
                <w:szCs w:val="17"/>
                <w:color w:val="auto"/>
              </w:rPr>
            </w:pPr>
          </w:p>
        </w:tc>
        <w:tc>
          <w:tcPr>
            <w:tcW w:w="1220" w:type="dxa"/>
            <w:vAlign w:val="bottom"/>
            <w:tcBorders>
              <w:top w:val="single" w:sz="8" w:color="D2DCE5"/>
            </w:tcBorders>
            <w:shd w:val="clear" w:color="auto" w:fill="D2DCE5"/>
          </w:tcPr>
          <w:p>
            <w:pPr>
              <w:spacing w:after="0"/>
              <w:rPr>
                <w:sz w:val="17"/>
                <w:szCs w:val="17"/>
                <w:color w:val="auto"/>
              </w:rPr>
            </w:pPr>
          </w:p>
        </w:tc>
        <w:tc>
          <w:tcPr>
            <w:tcW w:w="740" w:type="dxa"/>
            <w:vAlign w:val="bottom"/>
            <w:tcBorders>
              <w:top w:val="single" w:sz="8" w:color="D2DCE5"/>
            </w:tcBorders>
            <w:shd w:val="clear" w:color="auto" w:fill="D2DCE5"/>
          </w:tcPr>
          <w:p>
            <w:pPr>
              <w:spacing w:after="0"/>
              <w:rPr>
                <w:sz w:val="17"/>
                <w:szCs w:val="17"/>
                <w:color w:val="auto"/>
              </w:rPr>
            </w:pPr>
          </w:p>
        </w:tc>
        <w:tc>
          <w:tcPr>
            <w:tcW w:w="600" w:type="dxa"/>
            <w:vAlign w:val="bottom"/>
            <w:tcBorders>
              <w:top w:val="single" w:sz="8" w:color="D2DCE5"/>
            </w:tcBorders>
            <w:shd w:val="clear" w:color="auto" w:fill="D2DCE5"/>
          </w:tcPr>
          <w:p>
            <w:pPr>
              <w:spacing w:after="0"/>
              <w:rPr>
                <w:sz w:val="17"/>
                <w:szCs w:val="17"/>
                <w:color w:val="auto"/>
              </w:rPr>
            </w:pPr>
          </w:p>
        </w:tc>
        <w:tc>
          <w:tcPr>
            <w:tcW w:w="160" w:type="dxa"/>
            <w:vAlign w:val="bottom"/>
            <w:tcBorders>
              <w:top w:val="single" w:sz="8" w:color="D2DCE5"/>
            </w:tcBorders>
            <w:shd w:val="clear" w:color="auto" w:fill="D2DCE5"/>
          </w:tcPr>
          <w:p>
            <w:pPr>
              <w:spacing w:after="0"/>
              <w:rPr>
                <w:sz w:val="17"/>
                <w:szCs w:val="17"/>
                <w:color w:val="auto"/>
              </w:rPr>
            </w:pPr>
          </w:p>
        </w:tc>
        <w:tc>
          <w:tcPr>
            <w:tcW w:w="200" w:type="dxa"/>
            <w:vAlign w:val="bottom"/>
            <w:tcBorders>
              <w:top w:val="single" w:sz="8" w:color="D2DCE5"/>
              <w:left w:val="single" w:sz="8" w:color="D2DCE5"/>
            </w:tcBorders>
            <w:shd w:val="clear" w:color="auto" w:fill="D2DCE5"/>
          </w:tcPr>
          <w:p>
            <w:pPr>
              <w:spacing w:after="0"/>
              <w:rPr>
                <w:sz w:val="17"/>
                <w:szCs w:val="17"/>
                <w:color w:val="auto"/>
              </w:rPr>
            </w:pPr>
          </w:p>
        </w:tc>
        <w:tc>
          <w:tcPr>
            <w:tcW w:w="4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40" w:type="dxa"/>
            <w:vAlign w:val="bottom"/>
            <w:tcBorders>
              <w:top w:val="single" w:sz="8" w:color="D2DCE5"/>
            </w:tcBorders>
            <w:shd w:val="clear" w:color="auto" w:fill="D2DCE5"/>
          </w:tcPr>
          <w:p>
            <w:pPr>
              <w:spacing w:after="0"/>
              <w:rPr>
                <w:sz w:val="17"/>
                <w:szCs w:val="17"/>
                <w:color w:val="auto"/>
              </w:rPr>
            </w:pPr>
          </w:p>
        </w:tc>
        <w:tc>
          <w:tcPr>
            <w:tcW w:w="2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60" w:type="dxa"/>
            <w:vAlign w:val="bottom"/>
            <w:tcBorders>
              <w:top w:val="single" w:sz="8" w:color="D2DCE5"/>
            </w:tcBorders>
            <w:shd w:val="clear" w:color="auto" w:fill="D2DCE5"/>
          </w:tcPr>
          <w:p>
            <w:pPr>
              <w:spacing w:after="0"/>
              <w:rPr>
                <w:sz w:val="17"/>
                <w:szCs w:val="17"/>
                <w:color w:val="auto"/>
              </w:rPr>
            </w:pPr>
          </w:p>
        </w:tc>
        <w:tc>
          <w:tcPr>
            <w:tcW w:w="80" w:type="dxa"/>
            <w:vAlign w:val="bottom"/>
            <w:tcBorders>
              <w:top w:val="single" w:sz="8" w:color="D2DCE5"/>
            </w:tcBorders>
            <w:shd w:val="clear" w:color="auto" w:fill="D2DCE5"/>
          </w:tcPr>
          <w:p>
            <w:pPr>
              <w:spacing w:after="0"/>
              <w:rPr>
                <w:sz w:val="17"/>
                <w:szCs w:val="17"/>
                <w:color w:val="auto"/>
              </w:rPr>
            </w:pPr>
          </w:p>
        </w:tc>
        <w:tc>
          <w:tcPr>
            <w:tcW w:w="760" w:type="dxa"/>
            <w:vAlign w:val="bottom"/>
            <w:tcBorders>
              <w:top w:val="single" w:sz="8" w:color="D2DCE5"/>
            </w:tcBorders>
            <w:shd w:val="clear" w:color="auto" w:fill="D2DCE5"/>
          </w:tcPr>
          <w:p>
            <w:pPr>
              <w:spacing w:after="0"/>
              <w:rPr>
                <w:sz w:val="17"/>
                <w:szCs w:val="17"/>
                <w:color w:val="auto"/>
              </w:rPr>
            </w:pPr>
          </w:p>
        </w:tc>
        <w:tc>
          <w:tcPr>
            <w:tcW w:w="1240" w:type="dxa"/>
            <w:vAlign w:val="bottom"/>
            <w:tcBorders>
              <w:top w:val="single" w:sz="8" w:color="D2DCE5"/>
            </w:tcBorders>
            <w:shd w:val="clear" w:color="auto" w:fill="D2DCE5"/>
          </w:tcPr>
          <w:p>
            <w:pPr>
              <w:spacing w:after="0"/>
              <w:rPr>
                <w:sz w:val="17"/>
                <w:szCs w:val="17"/>
                <w:color w:val="auto"/>
              </w:rPr>
            </w:pPr>
          </w:p>
        </w:tc>
        <w:tc>
          <w:tcPr>
            <w:tcW w:w="82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1560" w:type="dxa"/>
            <w:vAlign w:val="bottom"/>
            <w:tcBorders>
              <w:top w:val="single" w:sz="8" w:color="D2DCE5"/>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960" w:type="dxa"/>
            <w:vAlign w:val="bottom"/>
            <w:tcBorders>
              <w:top w:val="single" w:sz="8" w:color="D2DCE5"/>
            </w:tcBorders>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5"/>
          </w:tcPr>
          <w:p>
            <w:pPr>
              <w:spacing w:after="0"/>
              <w:rPr>
                <w:sz w:val="20"/>
                <w:szCs w:val="20"/>
                <w:color w:val="auto"/>
              </w:rPr>
            </w:pPr>
            <w:r>
              <w:rPr>
                <w:rFonts w:ascii="Arial" w:cs="Arial" w:eastAsia="Arial" w:hAnsi="Arial"/>
                <w:sz w:val="16"/>
                <w:szCs w:val="16"/>
                <w:color w:val="0000FF"/>
              </w:rPr>
              <w:t>Certifications of Chief Executive Officer and Chief Financial</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9"/>
          </w:tcPr>
          <w:p>
            <w:pPr>
              <w:spacing w:after="0" w:line="183" w:lineRule="exact"/>
              <w:rPr>
                <w:sz w:val="20"/>
                <w:szCs w:val="20"/>
                <w:color w:val="auto"/>
              </w:rPr>
            </w:pPr>
            <w:r>
              <w:rPr>
                <w:rFonts w:ascii="Arial" w:cs="Arial" w:eastAsia="Arial" w:hAnsi="Arial"/>
                <w:sz w:val="16"/>
                <w:szCs w:val="16"/>
                <w:color w:val="0000FF"/>
              </w:rPr>
              <w:t>Officer Pursuant to 18 U.S.C. Section 1350, as Adopted</w:t>
            </w:r>
          </w:p>
        </w:tc>
        <w:tc>
          <w:tcPr>
            <w:tcW w:w="28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7"/>
            <w:shd w:val="clear" w:color="auto" w:fill="0000FF"/>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15"/>
          </w:tcPr>
          <w:p>
            <w:pPr>
              <w:spacing w:after="0" w:line="169" w:lineRule="exact"/>
              <w:rPr>
                <w:sz w:val="20"/>
                <w:szCs w:val="20"/>
                <w:color w:val="auto"/>
              </w:rPr>
            </w:pPr>
            <w:r>
              <w:rPr>
                <w:rFonts w:ascii="Arial" w:cs="Arial" w:eastAsia="Arial" w:hAnsi="Arial"/>
                <w:sz w:val="16"/>
                <w:szCs w:val="16"/>
                <w:color w:val="0000FF"/>
              </w:rPr>
              <w:t>Pursuant to Section 906 of the Sarbanes-Oxley Act of 2002</w:t>
            </w: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86"/>
        </w:trPr>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2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6"/>
                <w:szCs w:val="16"/>
                <w:color w:val="131E29"/>
              </w:rPr>
              <w:t>101.INS</w:t>
            </w:r>
          </w:p>
        </w:tc>
        <w:tc>
          <w:tcPr>
            <w:tcW w:w="20" w:type="dxa"/>
            <w:vAlign w:val="bottom"/>
            <w:shd w:val="clear" w:color="auto" w:fill="D2DCE5"/>
          </w:tcPr>
          <w:p>
            <w:pPr>
              <w:spacing w:after="0"/>
              <w:rPr>
                <w:sz w:val="21"/>
                <w:szCs w:val="21"/>
                <w:color w:val="auto"/>
              </w:rPr>
            </w:pPr>
          </w:p>
        </w:tc>
        <w:tc>
          <w:tcPr>
            <w:tcW w:w="4520" w:type="dxa"/>
            <w:vAlign w:val="bottom"/>
            <w:gridSpan w:val="15"/>
            <w:shd w:val="clear" w:color="auto" w:fill="D2DCE5"/>
          </w:tcPr>
          <w:p>
            <w:pPr>
              <w:spacing w:after="0"/>
              <w:rPr>
                <w:sz w:val="20"/>
                <w:szCs w:val="20"/>
                <w:color w:val="auto"/>
              </w:rPr>
            </w:pPr>
            <w:r>
              <w:rPr>
                <w:rFonts w:ascii="Arial" w:cs="Arial" w:eastAsia="Arial" w:hAnsi="Arial"/>
                <w:sz w:val="16"/>
                <w:szCs w:val="16"/>
                <w:color w:val="131E29"/>
              </w:rPr>
              <w:t>XBRL Instance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w w:val="98"/>
              </w:rPr>
              <w:t>101.SCH</w:t>
            </w:r>
          </w:p>
        </w:tc>
        <w:tc>
          <w:tcPr>
            <w:tcW w:w="20" w:type="dxa"/>
            <w:vAlign w:val="bottom"/>
          </w:tcPr>
          <w:p>
            <w:pPr>
              <w:spacing w:after="0"/>
              <w:rPr>
                <w:sz w:val="20"/>
                <w:szCs w:val="20"/>
                <w:color w:val="auto"/>
              </w:rPr>
            </w:pPr>
          </w:p>
        </w:tc>
        <w:tc>
          <w:tcPr>
            <w:tcW w:w="4520" w:type="dxa"/>
            <w:vAlign w:val="bottom"/>
            <w:gridSpan w:val="15"/>
          </w:tcPr>
          <w:p>
            <w:pPr>
              <w:spacing w:after="0"/>
              <w:rPr>
                <w:sz w:val="20"/>
                <w:szCs w:val="20"/>
                <w:color w:val="auto"/>
              </w:rPr>
            </w:pPr>
            <w:r>
              <w:rPr>
                <w:rFonts w:ascii="Arial" w:cs="Arial" w:eastAsia="Arial" w:hAnsi="Arial"/>
                <w:sz w:val="16"/>
                <w:szCs w:val="16"/>
                <w:color w:val="131E29"/>
              </w:rPr>
              <w:t>XBRL Taxonomy Extension Schema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3"/>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6"/>
                <w:szCs w:val="16"/>
                <w:color w:val="131E29"/>
              </w:rPr>
              <w:t>101.CAL</w:t>
            </w:r>
          </w:p>
        </w:tc>
        <w:tc>
          <w:tcPr>
            <w:tcW w:w="20" w:type="dxa"/>
            <w:vAlign w:val="bottom"/>
            <w:shd w:val="clear" w:color="auto" w:fill="D2DCE5"/>
          </w:tcPr>
          <w:p>
            <w:pPr>
              <w:spacing w:after="0"/>
              <w:rPr>
                <w:sz w:val="21"/>
                <w:szCs w:val="21"/>
                <w:color w:val="auto"/>
              </w:rPr>
            </w:pPr>
          </w:p>
        </w:tc>
        <w:tc>
          <w:tcPr>
            <w:tcW w:w="4520" w:type="dxa"/>
            <w:vAlign w:val="bottom"/>
            <w:gridSpan w:val="15"/>
            <w:shd w:val="clear" w:color="auto" w:fill="D2DCE5"/>
          </w:tcPr>
          <w:p>
            <w:pPr>
              <w:spacing w:after="0"/>
              <w:rPr>
                <w:sz w:val="20"/>
                <w:szCs w:val="20"/>
                <w:color w:val="auto"/>
              </w:rPr>
            </w:pPr>
            <w:r>
              <w:rPr>
                <w:rFonts w:ascii="Arial" w:cs="Arial" w:eastAsia="Arial" w:hAnsi="Arial"/>
                <w:sz w:val="16"/>
                <w:szCs w:val="16"/>
                <w:color w:val="131E29"/>
              </w:rPr>
              <w:t>XBRL Taxonomy Extension Calculation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rPr>
              <w:t>101.DEF</w:t>
            </w:r>
          </w:p>
        </w:tc>
        <w:tc>
          <w:tcPr>
            <w:tcW w:w="20" w:type="dxa"/>
            <w:vAlign w:val="bottom"/>
          </w:tcPr>
          <w:p>
            <w:pPr>
              <w:spacing w:after="0"/>
              <w:rPr>
                <w:sz w:val="20"/>
                <w:szCs w:val="20"/>
                <w:color w:val="auto"/>
              </w:rPr>
            </w:pPr>
          </w:p>
        </w:tc>
        <w:tc>
          <w:tcPr>
            <w:tcW w:w="4520" w:type="dxa"/>
            <w:vAlign w:val="bottom"/>
            <w:gridSpan w:val="15"/>
          </w:tcPr>
          <w:p>
            <w:pPr>
              <w:spacing w:after="0"/>
              <w:rPr>
                <w:sz w:val="20"/>
                <w:szCs w:val="20"/>
                <w:color w:val="auto"/>
              </w:rPr>
            </w:pPr>
            <w:r>
              <w:rPr>
                <w:rFonts w:ascii="Arial" w:cs="Arial" w:eastAsia="Arial" w:hAnsi="Arial"/>
                <w:sz w:val="16"/>
                <w:szCs w:val="16"/>
                <w:color w:val="131E29"/>
              </w:rPr>
              <w:t>XBRL Taxonomy Extension Definition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3"/>
        </w:trPr>
        <w:tc>
          <w:tcPr>
            <w:tcW w:w="1160" w:type="dxa"/>
            <w:vAlign w:val="bottom"/>
            <w:gridSpan w:val="2"/>
            <w:shd w:val="clear" w:color="auto" w:fill="D2DCE5"/>
          </w:tcPr>
          <w:p>
            <w:pPr>
              <w:jc w:val="center"/>
              <w:ind w:right="60"/>
              <w:spacing w:after="0"/>
              <w:rPr>
                <w:sz w:val="20"/>
                <w:szCs w:val="20"/>
                <w:color w:val="auto"/>
              </w:rPr>
            </w:pPr>
            <w:r>
              <w:rPr>
                <w:rFonts w:ascii="Arial" w:cs="Arial" w:eastAsia="Arial" w:hAnsi="Arial"/>
                <w:sz w:val="16"/>
                <w:szCs w:val="16"/>
                <w:color w:val="131E29"/>
              </w:rPr>
              <w:t>101.LAB</w:t>
            </w:r>
          </w:p>
        </w:tc>
        <w:tc>
          <w:tcPr>
            <w:tcW w:w="20" w:type="dxa"/>
            <w:vAlign w:val="bottom"/>
            <w:shd w:val="clear" w:color="auto" w:fill="D2DCE5"/>
          </w:tcPr>
          <w:p>
            <w:pPr>
              <w:spacing w:after="0"/>
              <w:rPr>
                <w:sz w:val="21"/>
                <w:szCs w:val="21"/>
                <w:color w:val="auto"/>
              </w:rPr>
            </w:pPr>
          </w:p>
        </w:tc>
        <w:tc>
          <w:tcPr>
            <w:tcW w:w="4520" w:type="dxa"/>
            <w:vAlign w:val="bottom"/>
            <w:gridSpan w:val="15"/>
            <w:shd w:val="clear" w:color="auto" w:fill="D2DCE5"/>
          </w:tcPr>
          <w:p>
            <w:pPr>
              <w:spacing w:after="0"/>
              <w:rPr>
                <w:sz w:val="20"/>
                <w:szCs w:val="20"/>
                <w:color w:val="auto"/>
              </w:rPr>
            </w:pPr>
            <w:r>
              <w:rPr>
                <w:rFonts w:ascii="Arial" w:cs="Arial" w:eastAsia="Arial" w:hAnsi="Arial"/>
                <w:sz w:val="16"/>
                <w:szCs w:val="16"/>
                <w:color w:val="131E29"/>
              </w:rPr>
              <w:t>XBRL Taxonomy Extension Label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15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w w:val="99"/>
              </w:rPr>
              <w:t>101.PRE</w:t>
            </w:r>
          </w:p>
        </w:tc>
        <w:tc>
          <w:tcPr>
            <w:tcW w:w="20" w:type="dxa"/>
            <w:vAlign w:val="bottom"/>
          </w:tcPr>
          <w:p>
            <w:pPr>
              <w:spacing w:after="0"/>
              <w:rPr>
                <w:sz w:val="20"/>
                <w:szCs w:val="20"/>
                <w:color w:val="auto"/>
              </w:rPr>
            </w:pPr>
          </w:p>
        </w:tc>
        <w:tc>
          <w:tcPr>
            <w:tcW w:w="4520" w:type="dxa"/>
            <w:vAlign w:val="bottom"/>
            <w:gridSpan w:val="15"/>
          </w:tcPr>
          <w:p>
            <w:pPr>
              <w:spacing w:after="0"/>
              <w:rPr>
                <w:sz w:val="20"/>
                <w:szCs w:val="20"/>
                <w:color w:val="auto"/>
              </w:rPr>
            </w:pPr>
            <w:r>
              <w:rPr>
                <w:rFonts w:ascii="Arial" w:cs="Arial" w:eastAsia="Arial" w:hAnsi="Arial"/>
                <w:sz w:val="16"/>
                <w:szCs w:val="16"/>
                <w:color w:val="131E29"/>
              </w:rPr>
              <w:t>XBRL Taxonomy Extension Presentation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14"/>
        </w:trPr>
        <w:tc>
          <w:tcPr>
            <w:tcW w:w="10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520" w:type="dxa"/>
            <w:vAlign w:val="bottom"/>
            <w:gridSpan w:val="15"/>
            <w:shd w:val="clear" w:color="auto" w:fill="D2DCE5"/>
          </w:tcPr>
          <w:p>
            <w:pPr>
              <w:spacing w:after="0"/>
              <w:rPr>
                <w:sz w:val="20"/>
                <w:szCs w:val="20"/>
                <w:color w:val="auto"/>
              </w:rPr>
            </w:pPr>
            <w:r>
              <w:rPr>
                <w:rFonts w:ascii="Arial" w:cs="Arial" w:eastAsia="Arial" w:hAnsi="Arial"/>
                <w:sz w:val="16"/>
                <w:szCs w:val="16"/>
                <w:color w:val="131E29"/>
              </w:rPr>
              <w:t>Cover Page with Interactive Data File (formatted as Inline</w:t>
            </w:r>
          </w:p>
        </w:tc>
        <w:tc>
          <w:tcPr>
            <w:tcW w:w="7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5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0" w:type="dxa"/>
            <w:vAlign w:val="bottom"/>
            <w:shd w:val="clear" w:color="auto" w:fill="D2DCE5"/>
          </w:tcPr>
          <w:p>
            <w:pPr>
              <w:spacing w:after="0"/>
              <w:rPr>
                <w:sz w:val="15"/>
                <w:szCs w:val="15"/>
                <w:color w:val="auto"/>
              </w:rPr>
            </w:pPr>
          </w:p>
        </w:tc>
        <w:tc>
          <w:tcPr>
            <w:tcW w:w="4520" w:type="dxa"/>
            <w:vAlign w:val="bottom"/>
            <w:gridSpan w:val="15"/>
            <w:shd w:val="clear" w:color="auto" w:fill="D2DCE5"/>
          </w:tcPr>
          <w:p>
            <w:pPr>
              <w:spacing w:after="0" w:line="175" w:lineRule="exact"/>
              <w:rPr>
                <w:sz w:val="20"/>
                <w:szCs w:val="20"/>
                <w:color w:val="auto"/>
              </w:rPr>
            </w:pPr>
            <w:r>
              <w:rPr>
                <w:rFonts w:ascii="Arial" w:cs="Arial" w:eastAsia="Arial" w:hAnsi="Arial"/>
                <w:sz w:val="16"/>
                <w:szCs w:val="16"/>
                <w:color w:val="131E29"/>
              </w:rPr>
              <w:t>XBRL with applicable taxonomy extension information</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8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104</w:t>
            </w:r>
          </w:p>
        </w:tc>
        <w:tc>
          <w:tcPr>
            <w:tcW w:w="8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4520" w:type="dxa"/>
            <w:vAlign w:val="bottom"/>
            <w:gridSpan w:val="15"/>
            <w:shd w:val="clear" w:color="auto" w:fill="D2DCE5"/>
          </w:tcPr>
          <w:p>
            <w:pPr>
              <w:spacing w:after="0"/>
              <w:rPr>
                <w:sz w:val="20"/>
                <w:szCs w:val="20"/>
                <w:color w:val="auto"/>
              </w:rPr>
            </w:pPr>
            <w:r>
              <w:rPr>
                <w:rFonts w:ascii="Arial" w:cs="Arial" w:eastAsia="Arial" w:hAnsi="Arial"/>
                <w:sz w:val="16"/>
                <w:szCs w:val="16"/>
                <w:color w:val="131E29"/>
              </w:rPr>
              <w:t>contained in Exhibits 101)</w:t>
            </w:r>
          </w:p>
        </w:tc>
        <w:tc>
          <w:tcPr>
            <w:tcW w:w="7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5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177" w:lineRule="exact"/>
        <w:rPr>
          <w:sz w:val="20"/>
          <w:szCs w:val="20"/>
          <w:color w:val="auto"/>
        </w:rPr>
      </w:pPr>
    </w:p>
    <w:p>
      <w:pPr>
        <w:ind w:left="180" w:hanging="172"/>
        <w:spacing w:after="0" w:line="278" w:lineRule="auto"/>
        <w:tabs>
          <w:tab w:leader="none" w:pos="2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8"/>
          <w:szCs w:val="18"/>
          <w:color w:val="131E29"/>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520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p>
        </w:tc>
        <w:tc>
          <w:tcPr>
            <w:tcW w:w="4620" w:type="dxa"/>
            <w:vAlign w:val="bottom"/>
            <w:gridSpan w:val="2"/>
          </w:tcPr>
          <w:p>
            <w:pPr>
              <w:ind w:left="1760"/>
              <w:spacing w:after="0"/>
              <w:rPr>
                <w:sz w:val="20"/>
                <w:szCs w:val="20"/>
                <w:color w:val="auto"/>
              </w:rPr>
            </w:pPr>
            <w:r>
              <w:rPr>
                <w:rFonts w:ascii="Arial" w:cs="Arial" w:eastAsia="Arial" w:hAnsi="Arial"/>
                <w:sz w:val="18"/>
                <w:szCs w:val="18"/>
                <w:b w:val="1"/>
                <w:bCs w:val="1"/>
                <w:color w:val="131E29"/>
              </w:rPr>
              <w:t>DUTCH BROS INC.</w:t>
            </w:r>
          </w:p>
        </w:tc>
      </w:tr>
      <w:tr>
        <w:trPr>
          <w:trHeight w:val="270"/>
        </w:trPr>
        <w:tc>
          <w:tcPr>
            <w:tcW w:w="1420" w:type="dxa"/>
            <w:vAlign w:val="bottom"/>
          </w:tcPr>
          <w:p>
            <w:pPr>
              <w:spacing w:after="0"/>
              <w:rPr>
                <w:sz w:val="23"/>
                <w:szCs w:val="23"/>
                <w:color w:val="auto"/>
              </w:rPr>
            </w:pPr>
          </w:p>
        </w:tc>
        <w:tc>
          <w:tcPr>
            <w:tcW w:w="4620" w:type="dxa"/>
            <w:vAlign w:val="bottom"/>
            <w:gridSpan w:val="2"/>
          </w:tcPr>
          <w:p>
            <w:pPr>
              <w:ind w:left="1760"/>
              <w:spacing w:after="0"/>
              <w:rPr>
                <w:sz w:val="20"/>
                <w:szCs w:val="20"/>
                <w:color w:val="auto"/>
              </w:rPr>
            </w:pPr>
            <w:r>
              <w:rPr>
                <w:rFonts w:ascii="Arial" w:cs="Arial" w:eastAsia="Arial" w:hAnsi="Arial"/>
                <w:sz w:val="18"/>
                <w:szCs w:val="18"/>
                <w:color w:val="131E29"/>
              </w:rPr>
              <w:t>(Registrant)</w:t>
            </w:r>
          </w:p>
        </w:tc>
      </w:tr>
      <w:tr>
        <w:trPr>
          <w:trHeight w:val="580"/>
        </w:trPr>
        <w:tc>
          <w:tcPr>
            <w:tcW w:w="1420" w:type="dxa"/>
            <w:vAlign w:val="bottom"/>
          </w:tcPr>
          <w:p>
            <w:pPr>
              <w:ind w:left="20"/>
              <w:spacing w:after="0"/>
              <w:rPr>
                <w:sz w:val="20"/>
                <w:szCs w:val="20"/>
                <w:color w:val="auto"/>
              </w:rPr>
            </w:pPr>
            <w:r>
              <w:rPr>
                <w:rFonts w:ascii="Arial" w:cs="Arial" w:eastAsia="Arial" w:hAnsi="Arial"/>
                <w:sz w:val="18"/>
                <w:szCs w:val="18"/>
                <w:color w:val="131E29"/>
              </w:rPr>
              <w:t>August 11, 2022</w:t>
            </w:r>
          </w:p>
        </w:tc>
        <w:tc>
          <w:tcPr>
            <w:tcW w:w="2060" w:type="dxa"/>
            <w:vAlign w:val="bottom"/>
          </w:tcPr>
          <w:p>
            <w:pPr>
              <w:ind w:left="1760"/>
              <w:spacing w:after="0"/>
              <w:rPr>
                <w:sz w:val="20"/>
                <w:szCs w:val="20"/>
                <w:color w:val="auto"/>
              </w:rPr>
            </w:pPr>
            <w:r>
              <w:rPr>
                <w:rFonts w:ascii="Arial" w:cs="Arial" w:eastAsia="Arial" w:hAnsi="Arial"/>
                <w:sz w:val="18"/>
                <w:szCs w:val="18"/>
                <w:color w:val="131E29"/>
              </w:rPr>
              <w:t>By:</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131E29"/>
                <w:w w:val="99"/>
              </w:rPr>
              <w:t>/s/ Jonathan Ricci</w:t>
            </w:r>
          </w:p>
        </w:tc>
      </w:tr>
      <w:tr>
        <w:trPr>
          <w:trHeight w:val="27"/>
        </w:trPr>
        <w:tc>
          <w:tcPr>
            <w:tcW w:w="14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131E29"/>
              </w:rPr>
              <w:t>Date</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Jonathan Ricci</w:t>
            </w:r>
          </w:p>
        </w:tc>
      </w:tr>
      <w:tr>
        <w:trPr>
          <w:trHeight w:val="269"/>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Chief Executive Officer and</w:t>
            </w:r>
          </w:p>
        </w:tc>
      </w:tr>
      <w:tr>
        <w:trPr>
          <w:trHeight w:val="217"/>
        </w:trPr>
        <w:tc>
          <w:tcPr>
            <w:tcW w:w="1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President</w:t>
            </w:r>
          </w:p>
        </w:tc>
      </w:tr>
      <w:tr>
        <w:trPr>
          <w:trHeight w:val="270"/>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i w:val="1"/>
                <w:iCs w:val="1"/>
                <w:color w:val="131E29"/>
                <w:w w:val="99"/>
              </w:rPr>
              <w:t>(Principal Executive Officer)</w:t>
            </w:r>
          </w:p>
        </w:tc>
      </w:tr>
      <w:tr>
        <w:trPr>
          <w:trHeight w:val="783"/>
        </w:trPr>
        <w:tc>
          <w:tcPr>
            <w:tcW w:w="1420" w:type="dxa"/>
            <w:vAlign w:val="bottom"/>
          </w:tcPr>
          <w:p>
            <w:pPr>
              <w:ind w:left="20"/>
              <w:spacing w:after="0"/>
              <w:rPr>
                <w:sz w:val="20"/>
                <w:szCs w:val="20"/>
                <w:color w:val="auto"/>
              </w:rPr>
            </w:pPr>
            <w:r>
              <w:rPr>
                <w:rFonts w:ascii="Arial" w:cs="Arial" w:eastAsia="Arial" w:hAnsi="Arial"/>
                <w:sz w:val="18"/>
                <w:szCs w:val="18"/>
                <w:color w:val="131E29"/>
              </w:rPr>
              <w:t>August 11, 2022</w:t>
            </w:r>
          </w:p>
        </w:tc>
        <w:tc>
          <w:tcPr>
            <w:tcW w:w="2060" w:type="dxa"/>
            <w:vAlign w:val="bottom"/>
          </w:tcPr>
          <w:p>
            <w:pPr>
              <w:ind w:left="1760"/>
              <w:spacing w:after="0"/>
              <w:rPr>
                <w:sz w:val="20"/>
                <w:szCs w:val="20"/>
                <w:color w:val="auto"/>
              </w:rPr>
            </w:pPr>
            <w:r>
              <w:rPr>
                <w:rFonts w:ascii="Arial" w:cs="Arial" w:eastAsia="Arial" w:hAnsi="Arial"/>
                <w:sz w:val="18"/>
                <w:szCs w:val="18"/>
                <w:color w:val="131E29"/>
              </w:rPr>
              <w:t>By:</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131E29"/>
                <w:w w:val="99"/>
              </w:rPr>
              <w:t>/s/ Charles L. Jemley</w:t>
            </w:r>
          </w:p>
        </w:tc>
      </w:tr>
      <w:tr>
        <w:trPr>
          <w:trHeight w:val="27"/>
        </w:trPr>
        <w:tc>
          <w:tcPr>
            <w:tcW w:w="14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ind w:left="20"/>
              <w:spacing w:after="0"/>
              <w:rPr>
                <w:sz w:val="20"/>
                <w:szCs w:val="20"/>
                <w:color w:val="auto"/>
              </w:rPr>
            </w:pPr>
            <w:r>
              <w:rPr>
                <w:rFonts w:ascii="Arial" w:cs="Arial" w:eastAsia="Arial" w:hAnsi="Arial"/>
                <w:sz w:val="18"/>
                <w:szCs w:val="18"/>
                <w:color w:val="131E29"/>
              </w:rPr>
              <w:t>Date</w:t>
            </w:r>
          </w:p>
        </w:tc>
        <w:tc>
          <w:tcPr>
            <w:tcW w:w="20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Charles L. Jemley</w:t>
            </w:r>
          </w:p>
        </w:tc>
      </w:tr>
      <w:tr>
        <w:trPr>
          <w:trHeight w:val="270"/>
        </w:trPr>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131E29"/>
                <w:w w:val="99"/>
              </w:rPr>
              <w:t>Chief Financial Officer</w:t>
            </w:r>
          </w:p>
        </w:tc>
      </w:tr>
    </w:tbl>
    <w:p>
      <w:pPr>
        <w:spacing w:after="0" w:line="35" w:lineRule="exact"/>
        <w:rPr>
          <w:sz w:val="20"/>
          <w:szCs w:val="20"/>
          <w:color w:val="auto"/>
        </w:rPr>
      </w:pPr>
    </w:p>
    <w:p>
      <w:pPr>
        <w:jc w:val="center"/>
        <w:ind w:left="8660"/>
        <w:spacing w:after="0"/>
        <w:rPr>
          <w:sz w:val="20"/>
          <w:szCs w:val="20"/>
          <w:color w:val="auto"/>
        </w:rPr>
      </w:pPr>
      <w:r>
        <w:rPr>
          <w:rFonts w:ascii="Arial" w:cs="Arial" w:eastAsia="Arial" w:hAnsi="Arial"/>
          <w:sz w:val="18"/>
          <w:szCs w:val="18"/>
          <w:i w:val="1"/>
          <w:iCs w:val="1"/>
          <w:color w:val="131E29"/>
        </w:rPr>
        <w:t>(Principal Financial and</w:t>
      </w:r>
    </w:p>
    <w:p>
      <w:pPr>
        <w:spacing w:after="0" w:line="27" w:lineRule="exact"/>
        <w:rPr>
          <w:sz w:val="20"/>
          <w:szCs w:val="20"/>
          <w:color w:val="auto"/>
        </w:rPr>
      </w:pPr>
    </w:p>
    <w:p>
      <w:pPr>
        <w:jc w:val="center"/>
        <w:ind w:left="8660"/>
        <w:spacing w:after="0"/>
        <w:rPr>
          <w:sz w:val="20"/>
          <w:szCs w:val="20"/>
          <w:color w:val="auto"/>
        </w:rPr>
      </w:pPr>
      <w:r>
        <w:rPr>
          <w:rFonts w:ascii="Arial" w:cs="Arial" w:eastAsia="Arial" w:hAnsi="Arial"/>
          <w:sz w:val="18"/>
          <w:szCs w:val="18"/>
          <w:i w:val="1"/>
          <w:iCs w:val="1"/>
          <w:color w:val="131E29"/>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105</w:t>
      </w:r>
    </w:p>
    <w:p>
      <w:pPr>
        <w:sectPr>
          <w:pgSz w:w="11900" w:h="16838" w:orient="portrait"/>
          <w:cols w:equalWidth="0" w:num="1">
            <w:col w:w="11240"/>
          </w:cols>
          <w:pgMar w:left="320" w:top="14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131E29"/>
        </w:rPr>
        <w:t>Exhibit 31.1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31E29"/>
        </w:rPr>
        <w:t>I, Jonathan Ricci, certify that:</w:t>
      </w:r>
    </w:p>
    <w:p>
      <w:pPr>
        <w:spacing w:after="0" w:line="171"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June 30, 2022 of Dutch Bros Inc.;</w:t>
      </w:r>
    </w:p>
    <w:p>
      <w:pPr>
        <w:spacing w:after="0" w:line="171"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54"/>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54"/>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131E29"/>
        </w:rPr>
      </w:pPr>
    </w:p>
    <w:p>
      <w:pPr>
        <w:ind w:left="660" w:hanging="328"/>
        <w:spacing w:after="0" w:line="261" w:lineRule="auto"/>
        <w:tabs>
          <w:tab w:leader="none" w:pos="648" w:val="left"/>
        </w:tabs>
        <w:numPr>
          <w:ilvl w:val="0"/>
          <w:numId w:val="54"/>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131E29"/>
        </w:rPr>
      </w:pPr>
    </w:p>
    <w:p>
      <w:pPr>
        <w:jc w:val="both"/>
        <w:ind w:left="660" w:hanging="4"/>
        <w:spacing w:after="0" w:line="256" w:lineRule="auto"/>
        <w:tabs>
          <w:tab w:leader="none" w:pos="934" w:val="left"/>
        </w:tabs>
        <w:numPr>
          <w:ilvl w:val="1"/>
          <w:numId w:val="54"/>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47" w:val="left"/>
        </w:tabs>
        <w:numPr>
          <w:ilvl w:val="1"/>
          <w:numId w:val="54"/>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26" w:val="left"/>
        </w:tabs>
        <w:numPr>
          <w:ilvl w:val="1"/>
          <w:numId w:val="54"/>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54"/>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131E29"/>
        </w:rPr>
      </w:pPr>
    </w:p>
    <w:p>
      <w:pPr>
        <w:ind w:left="660" w:hanging="4"/>
        <w:spacing w:after="0" w:line="261" w:lineRule="auto"/>
        <w:tabs>
          <w:tab w:leader="none" w:pos="946" w:val="left"/>
        </w:tabs>
        <w:numPr>
          <w:ilvl w:val="1"/>
          <w:numId w:val="54"/>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131E29"/>
        </w:rPr>
      </w:pPr>
    </w:p>
    <w:p>
      <w:pPr>
        <w:ind w:left="660" w:hanging="4"/>
        <w:spacing w:after="0" w:line="261" w:lineRule="auto"/>
        <w:tabs>
          <w:tab w:leader="none" w:pos="941" w:val="left"/>
        </w:tabs>
        <w:numPr>
          <w:ilvl w:val="1"/>
          <w:numId w:val="54"/>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11, 2022</w:t>
            </w:r>
          </w:p>
        </w:tc>
        <w:tc>
          <w:tcPr>
            <w:tcW w:w="3460" w:type="dxa"/>
            <w:vAlign w:val="bottom"/>
          </w:tcPr>
          <w:p>
            <w:pPr>
              <w:spacing w:after="0"/>
              <w:rPr>
                <w:sz w:val="20"/>
                <w:szCs w:val="20"/>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Jonathan Ricci</w:t>
            </w:r>
          </w:p>
        </w:tc>
      </w:tr>
      <w:tr>
        <w:trPr>
          <w:trHeight w:val="22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4900" w:type="dxa"/>
            <w:vAlign w:val="bottom"/>
          </w:tcPr>
          <w:p>
            <w:pPr>
              <w:jc w:val="center"/>
              <w:spacing w:after="0"/>
              <w:rPr>
                <w:sz w:val="20"/>
                <w:szCs w:val="20"/>
                <w:color w:val="auto"/>
              </w:rPr>
            </w:pPr>
            <w:r>
              <w:rPr>
                <w:rFonts w:ascii="Arial" w:cs="Arial" w:eastAsia="Arial" w:hAnsi="Arial"/>
                <w:sz w:val="18"/>
                <w:szCs w:val="18"/>
                <w:color w:val="auto"/>
                <w:w w:val="99"/>
              </w:rPr>
              <w:t>Jonathan Ricci</w:t>
            </w:r>
          </w:p>
        </w:tc>
      </w:tr>
      <w:tr>
        <w:trPr>
          <w:trHeight w:val="224"/>
        </w:trPr>
        <w:tc>
          <w:tcPr>
            <w:tcW w:w="2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5"/>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700"/>
        <w:spacing w:after="0"/>
        <w:rPr>
          <w:sz w:val="20"/>
          <w:szCs w:val="20"/>
          <w:color w:val="auto"/>
        </w:rPr>
      </w:pPr>
      <w:r>
        <w:rPr>
          <w:sz w:val="1"/>
          <w:szCs w:val="1"/>
          <w:color w:val="auto"/>
        </w:rPr>
        <w:drawing>
          <wp:inline distT="0" distB="0" distL="0" distR="0">
            <wp:extent cx="171450" cy="24003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7"/>
          <w:szCs w:val="17"/>
          <w:color w:val="131E29"/>
        </w:rPr>
        <w:t>Dutch Bros Inc.</w:t>
      </w:r>
      <w:r>
        <w:rPr>
          <w:rFonts w:ascii="Arial" w:cs="Arial" w:eastAsia="Arial" w:hAnsi="Arial"/>
          <w:sz w:val="17"/>
          <w:szCs w:val="17"/>
          <w:b w:val="1"/>
          <w:bCs w:val="1"/>
          <w:color w:val="006098"/>
        </w:rPr>
        <w:t>|</w:t>
      </w:r>
      <w:r>
        <w:rPr>
          <w:rFonts w:ascii="Arial" w:cs="Arial" w:eastAsia="Arial" w:hAnsi="Arial"/>
          <w:sz w:val="17"/>
          <w:szCs w:val="17"/>
          <w:color w:val="131E29"/>
        </w:rPr>
        <w:t xml:space="preserve"> Exhibit 31.1</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131E29"/>
        </w:rPr>
        <w:t>Exhibit 31.2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31E29"/>
        </w:rPr>
        <w:t>I, Charles L. Jemley, certify that:</w:t>
      </w:r>
    </w:p>
    <w:p>
      <w:pPr>
        <w:spacing w:after="0" w:line="252"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June 30, 2022 of Dutch Bros Inc.;</w:t>
      </w:r>
    </w:p>
    <w:p>
      <w:pPr>
        <w:spacing w:after="0" w:line="171"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131E29"/>
        </w:rPr>
      </w:pPr>
    </w:p>
    <w:p>
      <w:pPr>
        <w:ind w:left="660" w:hanging="328"/>
        <w:spacing w:after="0" w:line="261" w:lineRule="auto"/>
        <w:tabs>
          <w:tab w:leader="none" w:pos="648"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131E29"/>
        </w:rPr>
      </w:pPr>
    </w:p>
    <w:p>
      <w:pPr>
        <w:jc w:val="both"/>
        <w:ind w:left="660" w:hanging="4"/>
        <w:spacing w:after="0" w:line="256" w:lineRule="auto"/>
        <w:tabs>
          <w:tab w:leader="none" w:pos="934"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47"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131E29"/>
        </w:rPr>
      </w:pPr>
    </w:p>
    <w:p>
      <w:pPr>
        <w:jc w:val="both"/>
        <w:ind w:left="660" w:hanging="4"/>
        <w:spacing w:after="0" w:line="256" w:lineRule="auto"/>
        <w:tabs>
          <w:tab w:leader="none" w:pos="926"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131E29"/>
        </w:rPr>
      </w:pPr>
    </w:p>
    <w:p>
      <w:pPr>
        <w:jc w:val="both"/>
        <w:ind w:left="660" w:hanging="328"/>
        <w:spacing w:after="0" w:line="256" w:lineRule="auto"/>
        <w:tabs>
          <w:tab w:leader="none" w:pos="648" w:val="left"/>
        </w:tabs>
        <w:numPr>
          <w:ilvl w:val="0"/>
          <w:numId w:val="55"/>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131E29"/>
        </w:rPr>
      </w:pPr>
    </w:p>
    <w:p>
      <w:pPr>
        <w:ind w:left="660" w:hanging="4"/>
        <w:spacing w:after="0" w:line="261" w:lineRule="auto"/>
        <w:tabs>
          <w:tab w:leader="none" w:pos="946"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131E29"/>
        </w:rPr>
      </w:pPr>
    </w:p>
    <w:p>
      <w:pPr>
        <w:ind w:left="660" w:hanging="4"/>
        <w:spacing w:after="0" w:line="261" w:lineRule="auto"/>
        <w:tabs>
          <w:tab w:leader="none" w:pos="941" w:val="left"/>
        </w:tabs>
        <w:numPr>
          <w:ilvl w:val="1"/>
          <w:numId w:val="55"/>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11, 2022</w:t>
            </w:r>
          </w:p>
        </w:tc>
        <w:tc>
          <w:tcPr>
            <w:tcW w:w="2740" w:type="dxa"/>
            <w:vAlign w:val="bottom"/>
          </w:tcPr>
          <w:p>
            <w:pPr>
              <w:spacing w:after="0"/>
              <w:rPr>
                <w:sz w:val="20"/>
                <w:szCs w:val="20"/>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Charles L. Jemley</w:t>
            </w: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Charles L. Jemley</w:t>
            </w:r>
          </w:p>
        </w:tc>
      </w:tr>
      <w:tr>
        <w:trPr>
          <w:trHeight w:val="224"/>
        </w:trPr>
        <w:tc>
          <w:tcPr>
            <w:tcW w:w="2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66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235"/>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66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700"/>
        <w:spacing w:after="0"/>
        <w:rPr>
          <w:sz w:val="20"/>
          <w:szCs w:val="20"/>
          <w:color w:val="auto"/>
        </w:rPr>
      </w:pPr>
      <w:r>
        <w:rPr>
          <w:sz w:val="1"/>
          <w:szCs w:val="1"/>
          <w:color w:val="auto"/>
        </w:rPr>
        <w:drawing>
          <wp:inline distT="0" distB="0" distL="0" distR="0">
            <wp:extent cx="171450" cy="24003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7"/>
          <w:szCs w:val="17"/>
          <w:color w:val="131E29"/>
        </w:rPr>
        <w:t>Dutch Bros Inc.</w:t>
      </w:r>
      <w:r>
        <w:rPr>
          <w:rFonts w:ascii="Arial" w:cs="Arial" w:eastAsia="Arial" w:hAnsi="Arial"/>
          <w:sz w:val="17"/>
          <w:szCs w:val="17"/>
          <w:b w:val="1"/>
          <w:bCs w:val="1"/>
          <w:color w:val="006098"/>
        </w:rPr>
        <w:t>|</w:t>
      </w:r>
      <w:r>
        <w:rPr>
          <w:rFonts w:ascii="Arial" w:cs="Arial" w:eastAsia="Arial" w:hAnsi="Arial"/>
          <w:sz w:val="17"/>
          <w:szCs w:val="17"/>
          <w:color w:val="131E29"/>
        </w:rPr>
        <w:t xml:space="preserve"> Exhibit 31.2</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connection with the Quarterly Report of Dutch Bros Inc. (the Company) on Form 10-Q for the period ended June 30, 2022, as filed with the Securities and Exchange Commission on the date of the signatures below (the Report), Jonathan Ricci, Chief Executive Officer and President of the Company, and Charles L. Jemley, Chief Financial Officer of the Company, each hereby certifies, pursuant to 18 U.S.C. Section 1350, as adopted pursuant to Section 906 of the Sarbanes-Oxley Act of 2002, that, to the best of their respective knowledge:</w:t>
      </w:r>
    </w:p>
    <w:p>
      <w:pPr>
        <w:spacing w:after="0" w:line="23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the Report fully complies with the requirements of Section 13(a) or Section 15(d) of the Securities Exchange Act of 1934; and</w:t>
      </w:r>
    </w:p>
    <w:p>
      <w:pPr>
        <w:spacing w:after="0" w:line="9" w:lineRule="exact"/>
        <w:rPr>
          <w:rFonts w:ascii="Arial" w:cs="Arial" w:eastAsia="Arial" w:hAnsi="Arial"/>
          <w:sz w:val="18"/>
          <w:szCs w:val="18"/>
          <w:color w:val="131E29"/>
        </w:rPr>
      </w:pPr>
    </w:p>
    <w:p>
      <w:pPr>
        <w:ind w:left="660" w:hanging="328"/>
        <w:spacing w:after="0" w:line="261" w:lineRule="auto"/>
        <w:tabs>
          <w:tab w:leader="none" w:pos="648" w:val="left"/>
        </w:tabs>
        <w:numPr>
          <w:ilvl w:val="0"/>
          <w:numId w:val="56"/>
        </w:numPr>
        <w:rPr>
          <w:rFonts w:ascii="Arial" w:cs="Arial" w:eastAsia="Arial" w:hAnsi="Arial"/>
          <w:sz w:val="18"/>
          <w:szCs w:val="18"/>
          <w:color w:val="131E29"/>
        </w:rPr>
      </w:pPr>
      <w:r>
        <w:rPr>
          <w:rFonts w:ascii="Arial" w:cs="Arial" w:eastAsia="Arial" w:hAnsi="Arial"/>
          <w:sz w:val="18"/>
          <w:szCs w:val="18"/>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11, 2022</w:t>
            </w:r>
          </w:p>
        </w:tc>
        <w:tc>
          <w:tcPr>
            <w:tcW w:w="2700" w:type="dxa"/>
            <w:vAlign w:val="bottom"/>
          </w:tcPr>
          <w:p>
            <w:pPr>
              <w:spacing w:after="0"/>
              <w:rPr>
                <w:sz w:val="20"/>
                <w:szCs w:val="20"/>
                <w:color w:val="auto"/>
              </w:rPr>
            </w:pP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Jonathan Ricci</w:t>
            </w: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Jonathan Ricci</w:t>
            </w:r>
          </w:p>
        </w:tc>
      </w:tr>
      <w:tr>
        <w:trPr>
          <w:trHeight w:val="224"/>
        </w:trPr>
        <w:tc>
          <w:tcPr>
            <w:tcW w:w="2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5"/>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11, 2022</w:t>
            </w:r>
          </w:p>
        </w:tc>
        <w:tc>
          <w:tcPr>
            <w:tcW w:w="2700" w:type="dxa"/>
            <w:vAlign w:val="bottom"/>
          </w:tcPr>
          <w:p>
            <w:pPr>
              <w:spacing w:after="0"/>
              <w:rPr>
                <w:sz w:val="20"/>
                <w:szCs w:val="20"/>
                <w:color w:val="auto"/>
              </w:rPr>
            </w:pP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Charles L. Jemley</w:t>
            </w: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Charles L. Jemley</w:t>
            </w:r>
          </w:p>
        </w:tc>
      </w:tr>
      <w:tr>
        <w:trPr>
          <w:trHeight w:val="224"/>
        </w:trPr>
        <w:tc>
          <w:tcPr>
            <w:tcW w:w="2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235"/>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700"/>
        <w:spacing w:after="0"/>
        <w:rPr>
          <w:sz w:val="20"/>
          <w:szCs w:val="20"/>
          <w:color w:val="auto"/>
        </w:rPr>
      </w:pPr>
      <w:r>
        <w:rPr>
          <w:sz w:val="1"/>
          <w:szCs w:val="1"/>
          <w:color w:val="auto"/>
        </w:rPr>
        <w:drawing>
          <wp:inline distT="0" distB="0" distL="0" distR="0">
            <wp:extent cx="171450" cy="24003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7"/>
          <w:szCs w:val="17"/>
          <w:color w:val="131E29"/>
        </w:rPr>
        <w:t>Dutch Bros Inc.</w:t>
      </w:r>
      <w:r>
        <w:rPr>
          <w:rFonts w:ascii="Arial" w:cs="Arial" w:eastAsia="Arial" w:hAnsi="Arial"/>
          <w:sz w:val="17"/>
          <w:szCs w:val="17"/>
          <w:b w:val="1"/>
          <w:bCs w:val="1"/>
          <w:color w:val="006098"/>
        </w:rPr>
        <w:t>|</w:t>
      </w:r>
      <w:r>
        <w:rPr>
          <w:rFonts w:ascii="Arial" w:cs="Arial" w:eastAsia="Arial" w:hAnsi="Arial"/>
          <w:sz w:val="17"/>
          <w:szCs w:val="17"/>
          <w:color w:val="131E29"/>
        </w:rPr>
        <w:t xml:space="preserve"> Exhibit 32.1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bullet"/>
      <w:start w:val="1"/>
    </w:lvl>
  </w:abstractNum>
  <w:abstractNum w:abstractNumId="8">
    <w:nsid w:val="22221A70"/>
    <w:multiLevelType w:val="hybridMultilevel"/>
    <w:lvl w:ilvl="0">
      <w:lvlJc w:val="left"/>
      <w:lvlText w:val="2"/>
      <w:numFmt w:val="bullet"/>
      <w:start w:val="1"/>
    </w:lvl>
  </w:abstractNum>
  <w:abstractNum w:abstractNumId="9">
    <w:nsid w:val="4516DDE9"/>
    <w:multiLevelType w:val="hybridMultilevel"/>
    <w:lvl w:ilvl="0">
      <w:lvlJc w:val="left"/>
      <w:lvlText w:val="1"/>
      <w:numFmt w:val="bullet"/>
      <w:start w:val="1"/>
    </w:lvl>
  </w:abstractNum>
  <w:abstractNum w:abstractNumId="10">
    <w:nsid w:val="3006C83E"/>
    <w:multiLevelType w:val="hybridMultilevel"/>
    <w:lvl w:ilvl="0">
      <w:lvlJc w:val="left"/>
      <w:lvlText w:val="1"/>
      <w:numFmt w:val="bullet"/>
      <w:start w:val="1"/>
    </w:lvl>
  </w:abstractNum>
  <w:abstractNum w:abstractNumId="11">
    <w:nsid w:val="614FD4A1"/>
    <w:multiLevelType w:val="hybridMultilevel"/>
    <w:lvl w:ilvl="0">
      <w:lvlJc w:val="left"/>
      <w:lvlText w:val="1"/>
      <w:numFmt w:val="bullet"/>
      <w:start w:val="1"/>
    </w:lvl>
  </w:abstractNum>
  <w:abstractNum w:abstractNumId="12">
    <w:nsid w:val="419AC241"/>
    <w:multiLevelType w:val="hybridMultilevel"/>
    <w:lvl w:ilvl="0">
      <w:lvlJc w:val="left"/>
      <w:lvlText w:val="1"/>
      <w:numFmt w:val="bullet"/>
      <w:start w:val="1"/>
    </w:lvl>
    <w:lvl w:ilvl="1">
      <w:lvlJc w:val="left"/>
      <w:lvlText w:val="•"/>
      <w:numFmt w:val="bullet"/>
      <w:start w:val="1"/>
    </w:lvl>
  </w:abstractNum>
  <w:abstractNum w:abstractNumId="13">
    <w:nsid w:val="5577F8E1"/>
    <w:multiLevelType w:val="hybridMultilevel"/>
    <w:lvl w:ilvl="0">
      <w:lvlJc w:val="left"/>
      <w:lvlText w:val="1"/>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bullet"/>
      <w:start w:val="1"/>
    </w:lvl>
  </w:abstractNum>
  <w:abstractNum w:abstractNumId="16">
    <w:nsid w:val="3804823E"/>
    <w:multiLevelType w:val="hybridMultilevel"/>
    <w:lvl w:ilvl="0">
      <w:lvlJc w:val="left"/>
      <w:lvlText w:val="2"/>
      <w:numFmt w:val="bullet"/>
      <w:start w:val="1"/>
    </w:lvl>
  </w:abstractNum>
  <w:abstractNum w:abstractNumId="17">
    <w:nsid w:val="77465F01"/>
    <w:multiLevelType w:val="hybridMultilevel"/>
    <w:lvl w:ilvl="0">
      <w:lvlJc w:val="left"/>
      <w:lvlText w:val="3"/>
      <w:numFmt w:val="bullet"/>
      <w:start w:val="1"/>
    </w:lvl>
  </w:abstractNum>
  <w:abstractNum w:abstractNumId="18">
    <w:nsid w:val="7724C67E"/>
    <w:multiLevelType w:val="hybridMultilevel"/>
    <w:lvl w:ilvl="0">
      <w:lvlJc w:val="left"/>
      <w:lvlText w:val="4"/>
      <w:numFmt w:val="bullet"/>
      <w:start w:val="1"/>
    </w:lvl>
  </w:abstractNum>
  <w:abstractNum w:abstractNumId="19">
    <w:nsid w:val="5C482A97"/>
    <w:multiLevelType w:val="hybridMultilevel"/>
    <w:lvl w:ilvl="0">
      <w:lvlJc w:val="left"/>
      <w:lvlText w:val="5"/>
      <w:numFmt w:val="bullet"/>
      <w:start w:val="1"/>
    </w:lvl>
  </w:abstractNum>
  <w:abstractNum w:abstractNumId="20">
    <w:nsid w:val="2463B9EA"/>
    <w:multiLevelType w:val="hybridMultilevel"/>
    <w:lvl w:ilvl="0">
      <w:lvlJc w:val="left"/>
      <w:lvlText w:val="1"/>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bullet"/>
      <w:start w:val="1"/>
    </w:lvl>
    <w:lvl w:ilvl="1">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51" Type="http://schemas.openxmlformats.org/officeDocument/2006/relationships/image" Target="media/image241.jpe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jpeg"/><Relationship Id="rId255" Type="http://schemas.openxmlformats.org/officeDocument/2006/relationships/image" Target="media/image245.jpeg"/><Relationship Id="rId256" Type="http://schemas.openxmlformats.org/officeDocument/2006/relationships/image" Target="media/image246.jpeg"/><Relationship Id="rId257" Type="http://schemas.openxmlformats.org/officeDocument/2006/relationships/image" Target="media/image247.jpeg"/><Relationship Id="rId248" Type="http://schemas.openxmlformats.org/officeDocument/2006/relationships/hyperlink" Target="https://www.sec.gov/Archives/edgar/data/0001866581/000162828021018861/exhibit31-8xk.htm" TargetMode="External"/><Relationship Id="rId249" Type="http://schemas.openxmlformats.org/officeDocument/2006/relationships/hyperlink" Target="https://www.sec.gov/Archives/edgar/data/1866581/000162828021017441/exhibit34-sx1.htm" TargetMode="External"/><Relationship Id="rId250" Type="http://schemas.openxmlformats.org/officeDocument/2006/relationships/hyperlink" Target="http://www.sec.gov/Archives/edgar/data/0001866581/000162828021018116/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2022-08-11T15:55:49Z</dcterms:created>
  <dcterms:modified xsi:type="dcterms:W3CDTF">2022-08-11T15:55:49Z</dcterms:modified>
</cp:coreProperties>
</file>