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(Mark One)</w:t>
      </w:r>
    </w:p>
    <w:p>
      <w:pPr>
        <w:spacing w:after="0" w:line="45"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131E29"/>
        </w:rPr>
      </w:pPr>
      <w:r>
        <w:rPr>
          <w:rFonts w:ascii="Arial" w:cs="Arial" w:eastAsia="Arial" w:hAnsi="Arial"/>
          <w:sz w:val="18"/>
          <w:szCs w:val="18"/>
          <w:b w:val="1"/>
          <w:bCs w:val="1"/>
          <w:color w:val="131E29"/>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For the Quarterly Period ended June 30, 2025</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OR</w:t>
      </w:r>
    </w:p>
    <w:p>
      <w:pPr>
        <w:spacing w:after="0" w:line="2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131E29"/>
        </w:rPr>
      </w:pPr>
      <w:r>
        <w:rPr>
          <w:rFonts w:ascii="Arial" w:cs="Arial" w:eastAsia="Arial" w:hAnsi="Arial"/>
          <w:sz w:val="18"/>
          <w:szCs w:val="18"/>
          <w:b w:val="1"/>
          <w:bCs w:val="1"/>
          <w:color w:val="131E29"/>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131E29"/>
        </w:rPr>
        <w:t>For the transition period from ________ to 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Commission file number 001-40798</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131E29"/>
        </w:rPr>
        <w:t>DUTCH BROS INC.</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7" w:lineRule="exact"/>
        <w:rPr>
          <w:sz w:val="24"/>
          <w:szCs w:val="24"/>
          <w:color w:val="auto"/>
        </w:rPr>
      </w:pPr>
    </w:p>
    <w:tbl>
      <w:tblPr>
        <w:tblLayout w:type="fixed"/>
        <w:tblInd w:w="2460" w:type="dxa"/>
        <w:tblCellMar>
          <w:top w:w="0" w:type="dxa"/>
          <w:left w:w="0" w:type="dxa"/>
          <w:bottom w:w="0" w:type="dxa"/>
          <w:right w:w="0" w:type="dxa"/>
        </w:tblCellMar>
      </w:tblPr>
      <w:tr>
        <w:trPr>
          <w:trHeight w:val="247"/>
        </w:trPr>
        <w:tc>
          <w:tcPr>
            <w:tcW w:w="3520" w:type="dxa"/>
            <w:vAlign w:val="bottom"/>
          </w:tcPr>
          <w:p>
            <w:pPr>
              <w:jc w:val="center"/>
              <w:ind w:right="939"/>
              <w:spacing w:after="0"/>
              <w:rPr>
                <w:sz w:val="20"/>
                <w:szCs w:val="20"/>
                <w:color w:val="auto"/>
              </w:rPr>
            </w:pPr>
            <w:r>
              <w:rPr>
                <w:rFonts w:ascii="Arial" w:cs="Arial" w:eastAsia="Arial" w:hAnsi="Arial"/>
                <w:sz w:val="18"/>
                <w:szCs w:val="18"/>
                <w:b w:val="1"/>
                <w:bCs w:val="1"/>
                <w:color w:val="131E29"/>
                <w:w w:val="98"/>
              </w:rPr>
              <w:t>Delaware</w:t>
            </w:r>
          </w:p>
        </w:tc>
        <w:tc>
          <w:tcPr>
            <w:tcW w:w="3220" w:type="dxa"/>
            <w:vAlign w:val="bottom"/>
            <w:vMerge w:val="restart"/>
          </w:tcPr>
          <w:p>
            <w:pPr>
              <w:jc w:val="right"/>
              <w:ind w:right="539"/>
              <w:spacing w:after="0"/>
              <w:rPr>
                <w:sz w:val="20"/>
                <w:szCs w:val="20"/>
                <w:color w:val="auto"/>
              </w:rPr>
            </w:pPr>
            <w:r>
              <w:rPr>
                <w:rFonts w:ascii="Arial" w:cs="Arial" w:eastAsia="Arial" w:hAnsi="Arial"/>
                <w:sz w:val="18"/>
                <w:szCs w:val="18"/>
                <w:b w:val="1"/>
                <w:bCs w:val="1"/>
                <w:color w:val="131E29"/>
              </w:rPr>
              <w:t>87-1041305</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20" w:type="dxa"/>
            <w:vAlign w:val="bottom"/>
          </w:tcPr>
          <w:p>
            <w:pPr>
              <w:jc w:val="center"/>
              <w:ind w:right="919"/>
              <w:spacing w:after="0"/>
              <w:rPr>
                <w:sz w:val="20"/>
                <w:szCs w:val="20"/>
                <w:color w:val="auto"/>
              </w:rPr>
            </w:pPr>
            <w:r>
              <w:rPr>
                <w:rFonts w:ascii="Arial" w:cs="Arial" w:eastAsia="Arial" w:hAnsi="Arial"/>
                <w:sz w:val="14"/>
                <w:szCs w:val="14"/>
                <w:color w:val="131E29"/>
              </w:rPr>
              <w:t>(State or other jurisdiction of</w:t>
            </w:r>
          </w:p>
        </w:tc>
        <w:tc>
          <w:tcPr>
            <w:tcW w:w="3220" w:type="dxa"/>
            <w:vAlign w:val="bottom"/>
          </w:tcPr>
          <w:p>
            <w:pPr>
              <w:jc w:val="center"/>
              <w:ind w:left="919"/>
              <w:spacing w:after="0"/>
              <w:rPr>
                <w:sz w:val="20"/>
                <w:szCs w:val="20"/>
                <w:color w:val="auto"/>
              </w:rPr>
            </w:pPr>
            <w:r>
              <w:rPr>
                <w:rFonts w:ascii="Arial" w:cs="Arial" w:eastAsia="Arial" w:hAnsi="Arial"/>
                <w:sz w:val="14"/>
                <w:szCs w:val="14"/>
                <w:color w:val="131E29"/>
              </w:rPr>
              <w:t>(I.R.S. Employer Identification No.)</w:t>
            </w:r>
          </w:p>
        </w:tc>
        <w:tc>
          <w:tcPr>
            <w:tcW w:w="0" w:type="dxa"/>
            <w:vAlign w:val="bottom"/>
          </w:tcPr>
          <w:p>
            <w:pPr>
              <w:spacing w:after="0"/>
              <w:rPr>
                <w:sz w:val="1"/>
                <w:szCs w:val="1"/>
                <w:color w:val="auto"/>
              </w:rPr>
            </w:pPr>
          </w:p>
        </w:tc>
      </w:tr>
      <w:tr>
        <w:trPr>
          <w:trHeight w:val="190"/>
        </w:trPr>
        <w:tc>
          <w:tcPr>
            <w:tcW w:w="3520" w:type="dxa"/>
            <w:vAlign w:val="bottom"/>
          </w:tcPr>
          <w:p>
            <w:pPr>
              <w:jc w:val="center"/>
              <w:ind w:right="939"/>
              <w:spacing w:after="0"/>
              <w:rPr>
                <w:sz w:val="20"/>
                <w:szCs w:val="20"/>
                <w:color w:val="auto"/>
              </w:rPr>
            </w:pPr>
            <w:r>
              <w:rPr>
                <w:rFonts w:ascii="Arial" w:cs="Arial" w:eastAsia="Arial" w:hAnsi="Arial"/>
                <w:sz w:val="14"/>
                <w:szCs w:val="14"/>
                <w:color w:val="131E29"/>
              </w:rPr>
              <w:t>incorporation or organization)</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3520" w:type="dxa"/>
            <w:vAlign w:val="bottom"/>
          </w:tcPr>
          <w:p>
            <w:pPr>
              <w:jc w:val="center"/>
              <w:ind w:right="939"/>
              <w:spacing w:after="0"/>
              <w:rPr>
                <w:sz w:val="20"/>
                <w:szCs w:val="20"/>
                <w:color w:val="auto"/>
              </w:rPr>
            </w:pPr>
            <w:r>
              <w:rPr>
                <w:rFonts w:ascii="Arial" w:cs="Arial" w:eastAsia="Arial" w:hAnsi="Arial"/>
                <w:sz w:val="18"/>
                <w:szCs w:val="18"/>
                <w:b w:val="1"/>
                <w:bCs w:val="1"/>
                <w:color w:val="131E29"/>
                <w:w w:val="99"/>
              </w:rPr>
              <w:t>1930 W. Rio Salado Pkwy</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740"/>
              <w:spacing w:after="0"/>
              <w:rPr>
                <w:sz w:val="20"/>
                <w:szCs w:val="20"/>
                <w:color w:val="auto"/>
              </w:rPr>
            </w:pPr>
            <w:r>
              <w:rPr>
                <w:rFonts w:ascii="Arial" w:cs="Arial" w:eastAsia="Arial" w:hAnsi="Arial"/>
                <w:sz w:val="18"/>
                <w:szCs w:val="18"/>
                <w:b w:val="1"/>
                <w:bCs w:val="1"/>
                <w:color w:val="131E29"/>
              </w:rPr>
              <w:t>Tempe, Arizona</w:t>
            </w:r>
          </w:p>
        </w:tc>
        <w:tc>
          <w:tcPr>
            <w:tcW w:w="3220" w:type="dxa"/>
            <w:vAlign w:val="bottom"/>
            <w:vMerge w:val="restart"/>
          </w:tcPr>
          <w:p>
            <w:pPr>
              <w:jc w:val="right"/>
              <w:ind w:right="779"/>
              <w:spacing w:after="0"/>
              <w:rPr>
                <w:sz w:val="20"/>
                <w:szCs w:val="20"/>
                <w:color w:val="auto"/>
              </w:rPr>
            </w:pPr>
            <w:r>
              <w:rPr>
                <w:rFonts w:ascii="Arial" w:cs="Arial" w:eastAsia="Arial" w:hAnsi="Arial"/>
                <w:sz w:val="18"/>
                <w:szCs w:val="18"/>
                <w:b w:val="1"/>
                <w:bCs w:val="1"/>
                <w:color w:val="131E29"/>
              </w:rPr>
              <w:t>85281</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20" w:type="dxa"/>
            <w:vAlign w:val="bottom"/>
          </w:tcPr>
          <w:p>
            <w:pPr>
              <w:jc w:val="center"/>
              <w:ind w:right="919"/>
              <w:spacing w:after="0"/>
              <w:rPr>
                <w:sz w:val="20"/>
                <w:szCs w:val="20"/>
                <w:color w:val="auto"/>
              </w:rPr>
            </w:pPr>
            <w:r>
              <w:rPr>
                <w:rFonts w:ascii="Arial" w:cs="Arial" w:eastAsia="Arial" w:hAnsi="Arial"/>
                <w:sz w:val="14"/>
                <w:szCs w:val="14"/>
                <w:color w:val="131E29"/>
              </w:rPr>
              <w:t>(Address of Principal Executive Offices)</w:t>
            </w:r>
          </w:p>
        </w:tc>
        <w:tc>
          <w:tcPr>
            <w:tcW w:w="3220" w:type="dxa"/>
            <w:vAlign w:val="bottom"/>
          </w:tcPr>
          <w:p>
            <w:pPr>
              <w:jc w:val="center"/>
              <w:ind w:left="939"/>
              <w:spacing w:after="0"/>
              <w:rPr>
                <w:sz w:val="20"/>
                <w:szCs w:val="20"/>
                <w:color w:val="auto"/>
              </w:rPr>
            </w:pPr>
            <w:r>
              <w:rPr>
                <w:rFonts w:ascii="Arial" w:cs="Arial" w:eastAsia="Arial" w:hAnsi="Arial"/>
                <w:sz w:val="14"/>
                <w:szCs w:val="14"/>
                <w:color w:val="131E29"/>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(877) 899-2767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131E29"/>
        </w:rPr>
        <w:t>(Registrant's telephone number, including area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300 N Valley Dr, Grants Pass, Oregon 97526</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131E29"/>
        </w:rPr>
        <w:t>(Former name or former address, if changed since last report)</w:t>
      </w:r>
    </w:p>
    <w:p>
      <w:pPr>
        <w:spacing w:after="0" w:line="13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Securities registered pursuant to Section 12(b) of the Act:</w:t>
      </w:r>
    </w:p>
    <w:p>
      <w:pPr>
        <w:spacing w:after="0" w:line="197"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Trading Symbol</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Name of Exchange on which Registered</w:t>
            </w:r>
          </w:p>
        </w:tc>
      </w:tr>
      <w:tr>
        <w:trPr>
          <w:trHeight w:val="224"/>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w:t>
            </w:r>
          </w:p>
        </w:tc>
        <w:tc>
          <w:tcPr>
            <w:tcW w:w="37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r>
      <w:tr>
        <w:trPr>
          <w:trHeight w:val="239"/>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BROS</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31E29"/>
                <w:w w:val="98"/>
              </w:rPr>
              <w:t>The New York Stock Exchange</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pacing w:after="0" w:line="117" w:lineRule="exact"/>
        <w:rPr>
          <w:sz w:val="24"/>
          <w:szCs w:val="24"/>
          <w:color w:val="auto"/>
        </w:rPr>
      </w:pPr>
    </w:p>
    <w:p>
      <w:pPr>
        <w:jc w:val="both"/>
        <w:ind w:right="20"/>
        <w:spacing w:after="0" w:line="287" w:lineRule="auto"/>
        <w:rPr>
          <w:sz w:val="20"/>
          <w:szCs w:val="20"/>
          <w:color w:val="auto"/>
        </w:rPr>
      </w:pPr>
      <w:r>
        <w:rPr>
          <w:rFonts w:ascii="Arial" w:cs="Arial" w:eastAsia="Arial" w:hAnsi="Arial"/>
          <w:sz w:val="18"/>
          <w:szCs w:val="18"/>
          <w:color w:val="131E29"/>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ectPr>
          <w:pgSz w:w="11900" w:h="16838" w:orient="portrait"/>
          <w:cols w:equalWidth="0" w:num="1">
            <w:col w:w="11260"/>
          </w:cols>
          <w:pgMar w:left="320" w:top="1440" w:right="319" w:bottom="0" w:gutter="0" w:footer="0" w:header="0"/>
        </w:sectPr>
      </w:pPr>
    </w:p>
    <w:bookmarkStart w:id="1" w:name="page2"/>
    <w:bookmarkEnd w:id="1"/>
    <w:p>
      <w:pPr>
        <w:spacing w:after="0"/>
        <w:tabs>
          <w:tab w:leader="none" w:pos="2580" w:val="left"/>
        </w:tabs>
        <w:rPr>
          <w:sz w:val="20"/>
          <w:szCs w:val="20"/>
          <w:color w:val="auto"/>
        </w:rPr>
      </w:pPr>
      <w:r>
        <w:rPr>
          <w:rFonts w:ascii="Arial" w:cs="Arial" w:eastAsia="Arial" w:hAnsi="Arial"/>
          <w:sz w:val="18"/>
          <w:szCs w:val="18"/>
          <w:color w:val="131E29"/>
        </w:rPr>
        <w:t>required to submit such files).</w:t>
        <w:tab/>
        <w:t xml:space="preserve">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980" w:type="dxa"/>
            <w:vAlign w:val="bottom"/>
            <w:vMerge w:val="restart"/>
          </w:tcPr>
          <w:p>
            <w:pPr>
              <w:spacing w:after="0"/>
              <w:rPr>
                <w:sz w:val="20"/>
                <w:szCs w:val="20"/>
                <w:color w:val="auto"/>
              </w:rPr>
            </w:pPr>
            <w:r>
              <w:rPr>
                <w:rFonts w:ascii="Arial" w:cs="Arial" w:eastAsia="Arial" w:hAnsi="Arial"/>
                <w:sz w:val="18"/>
                <w:szCs w:val="18"/>
                <w:color w:val="131E29"/>
              </w:rPr>
              <w:t>Large 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x</w:t>
            </w:r>
          </w:p>
        </w:tc>
        <w:tc>
          <w:tcPr>
            <w:tcW w:w="4260" w:type="dxa"/>
            <w:vAlign w:val="bottom"/>
          </w:tcPr>
          <w:p>
            <w:pPr>
              <w:ind w:left="1080"/>
              <w:spacing w:after="0"/>
              <w:rPr>
                <w:sz w:val="20"/>
                <w:szCs w:val="20"/>
                <w:color w:val="auto"/>
              </w:rPr>
            </w:pPr>
            <w:r>
              <w:rPr>
                <w:rFonts w:ascii="Arial" w:cs="Arial" w:eastAsia="Arial" w:hAnsi="Arial"/>
                <w:sz w:val="18"/>
                <w:szCs w:val="18"/>
                <w:color w:val="131E29"/>
              </w:rPr>
              <w:t>Accelerated filer</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131E29"/>
              </w:rPr>
              <w:t>Non-accelerated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o</w:t>
            </w:r>
          </w:p>
        </w:tc>
        <w:tc>
          <w:tcPr>
            <w:tcW w:w="4260" w:type="dxa"/>
            <w:vAlign w:val="bottom"/>
          </w:tcPr>
          <w:p>
            <w:pPr>
              <w:ind w:left="1080"/>
              <w:spacing w:after="0"/>
              <w:rPr>
                <w:sz w:val="20"/>
                <w:szCs w:val="20"/>
                <w:color w:val="auto"/>
              </w:rPr>
            </w:pPr>
            <w:r>
              <w:rPr>
                <w:rFonts w:ascii="Arial" w:cs="Arial" w:eastAsia="Arial" w:hAnsi="Arial"/>
                <w:sz w:val="18"/>
                <w:szCs w:val="18"/>
                <w:color w:val="131E29"/>
              </w:rPr>
              <w:t>Smaller reporting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131E29"/>
              </w:rPr>
              <w:t>Emerging growth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131E29"/>
        </w:rPr>
        <w: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 xml:space="preserve">Indicate by check mark whether the registrant is a shell company (as defined in Rule 12b-2 of the Act). Yes </w:t>
      </w:r>
      <w:r>
        <w:rPr>
          <w:rFonts w:ascii="Wingdings" w:cs="Wingdings" w:eastAsia="Wingdings" w:hAnsi="Wingdings"/>
          <w:sz w:val="18"/>
          <w:szCs w:val="18"/>
          <w:b w:val="1"/>
          <w:bCs w:val="1"/>
          <w:color w:val="131E29"/>
        </w:rPr>
        <w:t>o</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As of July 31, 2025, the registrant’s outstanding shares of common stock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20" w:type="dxa"/>
            <w:vAlign w:val="bottom"/>
          </w:tcPr>
          <w:p>
            <w:pPr>
              <w:spacing w:after="0"/>
              <w:rPr>
                <w:sz w:val="23"/>
                <w:szCs w:val="23"/>
                <w:color w:val="auto"/>
              </w:rPr>
            </w:pPr>
          </w:p>
        </w:tc>
        <w:tc>
          <w:tcPr>
            <w:tcW w:w="3680" w:type="dxa"/>
            <w:vAlign w:val="bottom"/>
            <w:shd w:val="clear" w:color="auto" w:fill="D2DCE5"/>
          </w:tcPr>
          <w:p>
            <w:pPr>
              <w:ind w:left="580"/>
              <w:spacing w:after="0"/>
              <w:rPr>
                <w:sz w:val="20"/>
                <w:szCs w:val="20"/>
                <w:color w:val="auto"/>
              </w:rPr>
            </w:pPr>
            <w:r>
              <w:rPr>
                <w:rFonts w:ascii="Arial" w:cs="Arial" w:eastAsia="Arial" w:hAnsi="Arial"/>
                <w:sz w:val="18"/>
                <w:szCs w:val="18"/>
                <w:color w:val="auto"/>
              </w:rPr>
              <w:t>Class A common stock</w:t>
            </w:r>
          </w:p>
        </w:tc>
        <w:tc>
          <w:tcPr>
            <w:tcW w:w="2340" w:type="dxa"/>
            <w:vAlign w:val="bottom"/>
            <w:shd w:val="clear" w:color="auto" w:fill="D2DCE5"/>
          </w:tcPr>
          <w:p>
            <w:pPr>
              <w:jc w:val="right"/>
              <w:spacing w:after="0"/>
              <w:rPr>
                <w:sz w:val="20"/>
                <w:szCs w:val="20"/>
                <w:color w:val="auto"/>
              </w:rPr>
            </w:pPr>
            <w:r>
              <w:rPr>
                <w:rFonts w:ascii="Arial" w:cs="Arial" w:eastAsia="Arial" w:hAnsi="Arial"/>
                <w:sz w:val="18"/>
                <w:szCs w:val="18"/>
                <w:color w:val="auto"/>
              </w:rPr>
              <w:t>126,960,284</w:t>
            </w:r>
          </w:p>
        </w:tc>
        <w:tc>
          <w:tcPr>
            <w:tcW w:w="2600" w:type="dxa"/>
            <w:vAlign w:val="bottom"/>
          </w:tcPr>
          <w:p>
            <w:pPr>
              <w:spacing w:after="0"/>
              <w:rPr>
                <w:sz w:val="23"/>
                <w:szCs w:val="23"/>
                <w:color w:val="auto"/>
              </w:rPr>
            </w:pPr>
          </w:p>
        </w:tc>
      </w:tr>
      <w:tr>
        <w:trPr>
          <w:trHeight w:val="247"/>
        </w:trPr>
        <w:tc>
          <w:tcPr>
            <w:tcW w:w="2620" w:type="dxa"/>
            <w:vAlign w:val="bottom"/>
          </w:tcPr>
          <w:p>
            <w:pPr>
              <w:spacing w:after="0"/>
              <w:rPr>
                <w:sz w:val="21"/>
                <w:szCs w:val="21"/>
                <w:color w:val="auto"/>
              </w:rPr>
            </w:pPr>
          </w:p>
        </w:tc>
        <w:tc>
          <w:tcPr>
            <w:tcW w:w="3680" w:type="dxa"/>
            <w:vAlign w:val="bottom"/>
          </w:tcPr>
          <w:p>
            <w:pPr>
              <w:ind w:left="580"/>
              <w:spacing w:after="0"/>
              <w:rPr>
                <w:sz w:val="20"/>
                <w:szCs w:val="20"/>
                <w:color w:val="auto"/>
              </w:rPr>
            </w:pPr>
            <w:r>
              <w:rPr>
                <w:rFonts w:ascii="Arial" w:cs="Arial" w:eastAsia="Arial" w:hAnsi="Arial"/>
                <w:sz w:val="18"/>
                <w:szCs w:val="18"/>
                <w:color w:val="auto"/>
              </w:rPr>
              <w:t>Class B common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35,210,946</w:t>
            </w:r>
          </w:p>
        </w:tc>
        <w:tc>
          <w:tcPr>
            <w:tcW w:w="2600" w:type="dxa"/>
            <w:vAlign w:val="bottom"/>
          </w:tcPr>
          <w:p>
            <w:pPr>
              <w:spacing w:after="0"/>
              <w:rPr>
                <w:sz w:val="21"/>
                <w:szCs w:val="21"/>
                <w:color w:val="auto"/>
              </w:rPr>
            </w:pPr>
          </w:p>
        </w:tc>
      </w:tr>
      <w:tr>
        <w:trPr>
          <w:trHeight w:val="23"/>
        </w:trPr>
        <w:tc>
          <w:tcPr>
            <w:tcW w:w="2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620" w:type="dxa"/>
            <w:vAlign w:val="bottom"/>
          </w:tcPr>
          <w:p>
            <w:pPr>
              <w:spacing w:after="0"/>
              <w:rPr>
                <w:sz w:val="21"/>
                <w:szCs w:val="21"/>
                <w:color w:val="auto"/>
              </w:rPr>
            </w:pPr>
          </w:p>
        </w:tc>
        <w:tc>
          <w:tcPr>
            <w:tcW w:w="368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C common stock</w:t>
            </w:r>
          </w:p>
        </w:tc>
        <w:tc>
          <w:tcPr>
            <w:tcW w:w="23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auto"/>
              </w:rPr>
              <w:t>2,347,346</w:t>
            </w:r>
          </w:p>
        </w:tc>
        <w:tc>
          <w:tcPr>
            <w:tcW w:w="2600" w:type="dxa"/>
            <w:vAlign w:val="bottom"/>
          </w:tcPr>
          <w:p>
            <w:pPr>
              <w:spacing w:after="0"/>
              <w:rPr>
                <w:sz w:val="21"/>
                <w:szCs w:val="21"/>
                <w:color w:val="auto"/>
              </w:rPr>
            </w:pPr>
          </w:p>
        </w:tc>
      </w:tr>
      <w:tr>
        <w:trPr>
          <w:trHeight w:val="270"/>
        </w:trPr>
        <w:tc>
          <w:tcPr>
            <w:tcW w:w="262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661"/>
        </w:trPr>
        <w:tc>
          <w:tcPr>
            <w:tcW w:w="26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320" w:type="dxa"/>
            <w:vAlign w:val="bottom"/>
          </w:tcPr>
          <w:p>
            <w:pPr>
              <w:spacing w:after="0"/>
              <w:rPr>
                <w:sz w:val="24"/>
                <w:szCs w:val="24"/>
                <w:color w:val="auto"/>
              </w:rPr>
            </w:pPr>
          </w:p>
        </w:tc>
        <w:tc>
          <w:tcPr>
            <w:tcW w:w="9200" w:type="dxa"/>
            <w:vAlign w:val="bottom"/>
          </w:tcPr>
          <w:p>
            <w:pPr>
              <w:jc w:val="center"/>
              <w:ind w:right="488"/>
              <w:spacing w:after="0"/>
              <w:rPr>
                <w:sz w:val="20"/>
                <w:szCs w:val="20"/>
                <w:color w:val="auto"/>
              </w:rPr>
            </w:pPr>
            <w:r>
              <w:rPr>
                <w:rFonts w:ascii="Arial" w:cs="Arial" w:eastAsia="Arial" w:hAnsi="Arial"/>
                <w:sz w:val="25"/>
                <w:szCs w:val="25"/>
                <w:b w:val="1"/>
                <w:bCs w:val="1"/>
                <w:color w:val="00416B"/>
              </w:rPr>
              <w:t>DUTCH BROS INC.</w:t>
            </w:r>
          </w:p>
        </w:tc>
        <w:tc>
          <w:tcPr>
            <w:tcW w:w="720" w:type="dxa"/>
            <w:vAlign w:val="bottom"/>
          </w:tcPr>
          <w:p>
            <w:pPr>
              <w:spacing w:after="0"/>
              <w:rPr>
                <w:sz w:val="24"/>
                <w:szCs w:val="24"/>
                <w:color w:val="auto"/>
              </w:rPr>
            </w:pPr>
          </w:p>
        </w:tc>
      </w:tr>
      <w:tr>
        <w:trPr>
          <w:trHeight w:val="248"/>
        </w:trPr>
        <w:tc>
          <w:tcPr>
            <w:tcW w:w="1320" w:type="dxa"/>
            <w:vAlign w:val="bottom"/>
          </w:tcPr>
          <w:p>
            <w:pPr>
              <w:spacing w:after="0"/>
              <w:rPr>
                <w:sz w:val="21"/>
                <w:szCs w:val="21"/>
                <w:color w:val="auto"/>
              </w:rPr>
            </w:pPr>
          </w:p>
        </w:tc>
        <w:tc>
          <w:tcPr>
            <w:tcW w:w="9200" w:type="dxa"/>
            <w:vAlign w:val="bottom"/>
          </w:tcPr>
          <w:p>
            <w:pPr>
              <w:jc w:val="center"/>
              <w:ind w:right="508"/>
              <w:spacing w:after="0"/>
              <w:rPr>
                <w:sz w:val="20"/>
                <w:szCs w:val="20"/>
                <w:color w:val="auto"/>
              </w:rPr>
            </w:pPr>
            <w:r>
              <w:rPr>
                <w:rFonts w:ascii="Arial" w:cs="Arial" w:eastAsia="Arial" w:hAnsi="Arial"/>
                <w:sz w:val="18"/>
                <w:szCs w:val="18"/>
                <w:color w:val="131E29"/>
                <w:w w:val="99"/>
              </w:rPr>
              <w:t>QUARTERLY REPORT ON FORM 10-Q</w:t>
            </w:r>
          </w:p>
        </w:tc>
        <w:tc>
          <w:tcPr>
            <w:tcW w:w="720" w:type="dxa"/>
            <w:vAlign w:val="bottom"/>
          </w:tcPr>
          <w:p>
            <w:pPr>
              <w:spacing w:after="0"/>
              <w:rPr>
                <w:sz w:val="21"/>
                <w:szCs w:val="21"/>
                <w:color w:val="auto"/>
              </w:rPr>
            </w:pPr>
          </w:p>
        </w:tc>
      </w:tr>
      <w:tr>
        <w:trPr>
          <w:trHeight w:val="270"/>
        </w:trPr>
        <w:tc>
          <w:tcPr>
            <w:tcW w:w="1320" w:type="dxa"/>
            <w:vAlign w:val="bottom"/>
          </w:tcPr>
          <w:p>
            <w:pPr>
              <w:spacing w:after="0"/>
              <w:rPr>
                <w:sz w:val="23"/>
                <w:szCs w:val="23"/>
                <w:color w:val="auto"/>
              </w:rPr>
            </w:pPr>
          </w:p>
        </w:tc>
        <w:tc>
          <w:tcPr>
            <w:tcW w:w="9200" w:type="dxa"/>
            <w:vAlign w:val="bottom"/>
          </w:tcPr>
          <w:p>
            <w:pPr>
              <w:jc w:val="center"/>
              <w:ind w:right="488"/>
              <w:spacing w:after="0"/>
              <w:rPr>
                <w:sz w:val="20"/>
                <w:szCs w:val="20"/>
                <w:color w:val="auto"/>
              </w:rPr>
            </w:pPr>
            <w:r>
              <w:rPr>
                <w:rFonts w:ascii="Arial" w:cs="Arial" w:eastAsia="Arial" w:hAnsi="Arial"/>
                <w:sz w:val="18"/>
                <w:szCs w:val="18"/>
                <w:color w:val="131E29"/>
                <w:w w:val="99"/>
              </w:rPr>
              <w:t>TABLE OF CONTENTS</w:t>
            </w:r>
          </w:p>
        </w:tc>
        <w:tc>
          <w:tcPr>
            <w:tcW w:w="720" w:type="dxa"/>
            <w:vAlign w:val="bottom"/>
          </w:tcPr>
          <w:p>
            <w:pPr>
              <w:spacing w:after="0"/>
              <w:rPr>
                <w:sz w:val="23"/>
                <w:szCs w:val="23"/>
                <w:color w:val="auto"/>
              </w:rPr>
            </w:pPr>
          </w:p>
        </w:tc>
      </w:tr>
      <w:tr>
        <w:trPr>
          <w:trHeight w:val="440"/>
        </w:trPr>
        <w:tc>
          <w:tcPr>
            <w:tcW w:w="13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Arial" w:cs="Arial" w:eastAsia="Arial" w:hAnsi="Arial"/>
                <w:sz w:val="18"/>
                <w:szCs w:val="18"/>
                <w:b w:val="1"/>
                <w:bCs w:val="1"/>
                <w:color w:val="131E29"/>
              </w:rPr>
              <w:t>Page</w:t>
            </w:r>
          </w:p>
        </w:tc>
      </w:tr>
      <w:tr>
        <w:trPr>
          <w:trHeight w:val="357"/>
        </w:trPr>
        <w:tc>
          <w:tcPr>
            <w:tcW w:w="1320" w:type="dxa"/>
            <w:vAlign w:val="bottom"/>
          </w:tcPr>
          <w:p>
            <w:pPr>
              <w:ind w:left="20"/>
              <w:spacing w:after="0"/>
              <w:rPr>
                <w:sz w:val="20"/>
                <w:szCs w:val="20"/>
                <w:color w:val="auto"/>
              </w:rPr>
            </w:pPr>
            <w:r>
              <w:rPr>
                <w:rFonts w:ascii="Arial" w:cs="Arial" w:eastAsia="Arial" w:hAnsi="Arial"/>
                <w:sz w:val="18"/>
                <w:szCs w:val="18"/>
                <w:color w:val="131E29"/>
              </w:rPr>
              <w:t>Glossary</w:t>
            </w:r>
          </w:p>
        </w:tc>
        <w:tc>
          <w:tcPr>
            <w:tcW w:w="9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1</w:t>
            </w:r>
          </w:p>
        </w:tc>
      </w:tr>
      <w:tr>
        <w:trPr>
          <w:trHeight w:val="23"/>
        </w:trPr>
        <w:tc>
          <w:tcPr>
            <w:tcW w:w="10520" w:type="dxa"/>
            <w:vAlign w:val="bottom"/>
            <w:tcBorders>
              <w:bottom w:val="single" w:sz="8" w:color="D2DCE5"/>
            </w:tcBorders>
            <w:gridSpan w:val="2"/>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0520" w:type="dxa"/>
            <w:vAlign w:val="bottom"/>
            <w:gridSpan w:val="2"/>
          </w:tcPr>
          <w:p>
            <w:pPr>
              <w:ind w:left="20"/>
              <w:spacing w:after="0"/>
              <w:rPr>
                <w:sz w:val="20"/>
                <w:szCs w:val="20"/>
                <w:color w:val="auto"/>
              </w:rPr>
            </w:pPr>
            <w:r>
              <w:rPr>
                <w:rFonts w:ascii="Arial" w:cs="Arial" w:eastAsia="Arial" w:hAnsi="Arial"/>
                <w:sz w:val="18"/>
                <w:szCs w:val="18"/>
                <w:color w:val="131E29"/>
              </w:rPr>
              <w:t>Forward-Looking Statements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337"/>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PART I</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006098"/>
              </w:rPr>
              <w:t>FINANCIAL INFORMATION</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3</w:t>
            </w:r>
          </w:p>
        </w:tc>
      </w:tr>
      <w:tr>
        <w:trPr>
          <w:trHeight w:val="154"/>
        </w:trPr>
        <w:tc>
          <w:tcPr>
            <w:tcW w:w="1320" w:type="dxa"/>
            <w:vAlign w:val="bottom"/>
            <w:tcBorders>
              <w:bottom w:val="single" w:sz="8" w:color="D7282F"/>
            </w:tcBorders>
            <w:shd w:val="clear" w:color="auto" w:fill="FDE021"/>
          </w:tcPr>
          <w:p>
            <w:pPr>
              <w:spacing w:after="0"/>
              <w:rPr>
                <w:sz w:val="13"/>
                <w:szCs w:val="13"/>
                <w:color w:val="auto"/>
              </w:rPr>
            </w:pPr>
          </w:p>
        </w:tc>
        <w:tc>
          <w:tcPr>
            <w:tcW w:w="9200" w:type="dxa"/>
            <w:vAlign w:val="bottom"/>
            <w:tcBorders>
              <w:bottom w:val="single" w:sz="8" w:color="D7282F"/>
            </w:tcBorders>
            <w:shd w:val="clear" w:color="auto" w:fill="FDE021"/>
          </w:tcPr>
          <w:p>
            <w:pPr>
              <w:spacing w:after="0"/>
              <w:rPr>
                <w:sz w:val="13"/>
                <w:szCs w:val="13"/>
                <w:color w:val="auto"/>
              </w:rPr>
            </w:pPr>
          </w:p>
        </w:tc>
        <w:tc>
          <w:tcPr>
            <w:tcW w:w="720" w:type="dxa"/>
            <w:vAlign w:val="bottom"/>
            <w:tcBorders>
              <w:bottom w:val="single" w:sz="8" w:color="D7282F"/>
            </w:tcBorders>
            <w:shd w:val="clear" w:color="auto" w:fill="FDE021"/>
          </w:tcPr>
          <w:p>
            <w:pPr>
              <w:spacing w:after="0"/>
              <w:rPr>
                <w:sz w:val="13"/>
                <w:szCs w:val="13"/>
                <w:color w:val="auto"/>
              </w:rPr>
            </w:pPr>
          </w:p>
        </w:tc>
      </w:tr>
      <w:tr>
        <w:trPr>
          <w:trHeight w:val="247"/>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rPr>
              <w:t>ITEM 1.</w:t>
            </w:r>
          </w:p>
        </w:tc>
        <w:tc>
          <w:tcPr>
            <w:tcW w:w="92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Financial Statements (Unaudited)</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w w:val="99"/>
              </w:rPr>
              <w:t>3</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Balance Sheets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3</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Operations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Comprehensive Income</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6</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Stockholders’ Equity</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7</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Cash Flows</w:t>
            </w:r>
          </w:p>
        </w:tc>
        <w:tc>
          <w:tcPr>
            <w:tcW w:w="720" w:type="dxa"/>
            <w:vAlign w:val="bottom"/>
          </w:tcPr>
          <w:p>
            <w:pPr>
              <w:jc w:val="center"/>
              <w:spacing w:after="0"/>
              <w:rPr>
                <w:sz w:val="20"/>
                <w:szCs w:val="20"/>
                <w:color w:val="auto"/>
              </w:rPr>
            </w:pPr>
            <w:r>
              <w:rPr>
                <w:rFonts w:ascii="Arial" w:cs="Arial" w:eastAsia="Arial" w:hAnsi="Arial"/>
                <w:sz w:val="18"/>
                <w:szCs w:val="18"/>
                <w:color w:val="131E29"/>
                <w:w w:val="89"/>
              </w:rPr>
              <w:t>11</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Notes to Condensed Consolidated Financial Statements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13</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18"/>
        </w:trPr>
        <w:tc>
          <w:tcPr>
            <w:tcW w:w="13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Management’s Discussion and Analysis of Financial Condition and</w:t>
            </w:r>
          </w:p>
        </w:tc>
        <w:tc>
          <w:tcPr>
            <w:tcW w:w="720" w:type="dxa"/>
            <w:vAlign w:val="bottom"/>
          </w:tcPr>
          <w:p>
            <w:pPr>
              <w:spacing w:after="0"/>
              <w:rPr>
                <w:sz w:val="18"/>
                <w:szCs w:val="18"/>
                <w:color w:val="auto"/>
              </w:rPr>
            </w:pPr>
          </w:p>
        </w:tc>
      </w:tr>
      <w:tr>
        <w:trPr>
          <w:trHeight w:val="239"/>
        </w:trPr>
        <w:tc>
          <w:tcPr>
            <w:tcW w:w="1320" w:type="dxa"/>
            <w:vAlign w:val="bottom"/>
          </w:tcPr>
          <w:p>
            <w:pPr>
              <w:jc w:val="center"/>
              <w:spacing w:after="0"/>
              <w:rPr>
                <w:sz w:val="20"/>
                <w:szCs w:val="20"/>
                <w:color w:val="auto"/>
              </w:rPr>
            </w:pPr>
            <w:r>
              <w:rPr>
                <w:rFonts w:ascii="Arial" w:cs="Arial" w:eastAsia="Arial" w:hAnsi="Arial"/>
                <w:sz w:val="18"/>
                <w:szCs w:val="18"/>
                <w:color w:val="131E29"/>
              </w:rPr>
              <w:t>ITEM 2.</w:t>
            </w:r>
          </w:p>
        </w:tc>
        <w:tc>
          <w:tcPr>
            <w:tcW w:w="9200" w:type="dxa"/>
            <w:vAlign w:val="bottom"/>
          </w:tcPr>
          <w:p>
            <w:pPr>
              <w:ind w:left="20"/>
              <w:spacing w:after="0"/>
              <w:rPr>
                <w:sz w:val="20"/>
                <w:szCs w:val="20"/>
                <w:color w:val="auto"/>
              </w:rPr>
            </w:pPr>
            <w:r>
              <w:rPr>
                <w:rFonts w:ascii="Arial" w:cs="Arial" w:eastAsia="Arial" w:hAnsi="Arial"/>
                <w:sz w:val="18"/>
                <w:szCs w:val="18"/>
                <w:color w:val="131E29"/>
              </w:rPr>
              <w:t>Results of Operations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32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3.</w:t>
            </w:r>
          </w:p>
        </w:tc>
        <w:tc>
          <w:tcPr>
            <w:tcW w:w="9200" w:type="dxa"/>
            <w:vAlign w:val="bottom"/>
          </w:tcPr>
          <w:p>
            <w:pPr>
              <w:ind w:left="20"/>
              <w:spacing w:after="0"/>
              <w:rPr>
                <w:sz w:val="20"/>
                <w:szCs w:val="20"/>
                <w:color w:val="auto"/>
              </w:rPr>
            </w:pPr>
            <w:r>
              <w:rPr>
                <w:rFonts w:ascii="Arial" w:cs="Arial" w:eastAsia="Arial" w:hAnsi="Arial"/>
                <w:sz w:val="18"/>
                <w:szCs w:val="18"/>
                <w:color w:val="131E29"/>
              </w:rPr>
              <w:t>Quantitative and Qualitative Disclosures About Market Risk</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48</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4.</w:t>
            </w:r>
          </w:p>
        </w:tc>
        <w:tc>
          <w:tcPr>
            <w:tcW w:w="9200" w:type="dxa"/>
            <w:vAlign w:val="bottom"/>
          </w:tcPr>
          <w:p>
            <w:pPr>
              <w:ind w:left="20"/>
              <w:spacing w:after="0"/>
              <w:rPr>
                <w:sz w:val="20"/>
                <w:szCs w:val="20"/>
                <w:color w:val="auto"/>
              </w:rPr>
            </w:pPr>
            <w:r>
              <w:rPr>
                <w:rFonts w:ascii="Arial" w:cs="Arial" w:eastAsia="Arial" w:hAnsi="Arial"/>
                <w:sz w:val="18"/>
                <w:szCs w:val="18"/>
                <w:color w:val="131E29"/>
              </w:rPr>
              <w:t>Controls and Procedures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49</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511"/>
        </w:trPr>
        <w:tc>
          <w:tcPr>
            <w:tcW w:w="1320" w:type="dxa"/>
            <w:vAlign w:val="bottom"/>
            <w:tcBorders>
              <w:bottom w:val="single" w:sz="8" w:color="FDE021"/>
            </w:tcBorders>
          </w:tcPr>
          <w:p>
            <w:pPr>
              <w:ind w:left="20"/>
              <w:spacing w:after="0"/>
              <w:rPr>
                <w:sz w:val="20"/>
                <w:szCs w:val="20"/>
                <w:color w:val="auto"/>
              </w:rPr>
            </w:pPr>
            <w:r>
              <w:rPr>
                <w:rFonts w:ascii="Arial" w:cs="Arial" w:eastAsia="Arial" w:hAnsi="Arial"/>
                <w:sz w:val="18"/>
                <w:szCs w:val="18"/>
                <w:b w:val="1"/>
                <w:bCs w:val="1"/>
                <w:color w:val="006098"/>
              </w:rPr>
              <w:t>PART II</w:t>
            </w:r>
          </w:p>
        </w:tc>
        <w:tc>
          <w:tcPr>
            <w:tcW w:w="9200" w:type="dxa"/>
            <w:vAlign w:val="bottom"/>
            <w:tcBorders>
              <w:bottom w:val="single" w:sz="8" w:color="FDE021"/>
            </w:tcBorders>
          </w:tcPr>
          <w:p>
            <w:pPr>
              <w:ind w:left="20"/>
              <w:spacing w:after="0"/>
              <w:rPr>
                <w:sz w:val="20"/>
                <w:szCs w:val="20"/>
                <w:color w:val="auto"/>
              </w:rPr>
            </w:pPr>
            <w:r>
              <w:rPr>
                <w:rFonts w:ascii="Arial" w:cs="Arial" w:eastAsia="Arial" w:hAnsi="Arial"/>
                <w:sz w:val="18"/>
                <w:szCs w:val="18"/>
                <w:b w:val="1"/>
                <w:bCs w:val="1"/>
                <w:color w:val="006098"/>
              </w:rPr>
              <w:t>OTHER INFORMATION</w:t>
            </w:r>
          </w:p>
        </w:tc>
        <w:tc>
          <w:tcPr>
            <w:tcW w:w="720" w:type="dxa"/>
            <w:vAlign w:val="bottom"/>
            <w:tcBorders>
              <w:bottom w:val="single" w:sz="8" w:color="D2DCE5"/>
            </w:tcBorders>
          </w:tcPr>
          <w:p>
            <w:pPr>
              <w:jc w:val="center"/>
              <w:spacing w:after="0"/>
              <w:rPr>
                <w:sz w:val="20"/>
                <w:szCs w:val="20"/>
                <w:color w:val="auto"/>
              </w:rPr>
            </w:pPr>
            <w:r>
              <w:rPr>
                <w:rFonts w:ascii="Arial" w:cs="Arial" w:eastAsia="Arial" w:hAnsi="Arial"/>
                <w:sz w:val="18"/>
                <w:szCs w:val="18"/>
                <w:color w:val="131E29"/>
                <w:w w:val="99"/>
              </w:rPr>
              <w:t>50</w:t>
            </w:r>
          </w:p>
        </w:tc>
      </w:tr>
      <w:tr>
        <w:trPr>
          <w:trHeight w:val="240"/>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rPr>
              <w:t>ITEM 1.</w:t>
            </w:r>
          </w:p>
        </w:tc>
        <w:tc>
          <w:tcPr>
            <w:tcW w:w="92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Legal Proceedings</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w w:val="99"/>
              </w:rPr>
              <w:t>50</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1A.</w:t>
            </w:r>
          </w:p>
        </w:tc>
        <w:tc>
          <w:tcPr>
            <w:tcW w:w="9200" w:type="dxa"/>
            <w:vAlign w:val="bottom"/>
          </w:tcPr>
          <w:p>
            <w:pPr>
              <w:ind w:left="20"/>
              <w:spacing w:after="0"/>
              <w:rPr>
                <w:sz w:val="20"/>
                <w:szCs w:val="20"/>
                <w:color w:val="auto"/>
              </w:rPr>
            </w:pPr>
            <w:r>
              <w:rPr>
                <w:rFonts w:ascii="Arial" w:cs="Arial" w:eastAsia="Arial" w:hAnsi="Arial"/>
                <w:sz w:val="18"/>
                <w:szCs w:val="18"/>
                <w:color w:val="131E29"/>
              </w:rPr>
              <w:t>Risk Factors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50</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2.</w:t>
            </w:r>
          </w:p>
        </w:tc>
        <w:tc>
          <w:tcPr>
            <w:tcW w:w="9200" w:type="dxa"/>
            <w:vAlign w:val="bottom"/>
          </w:tcPr>
          <w:p>
            <w:pPr>
              <w:ind w:left="20"/>
              <w:spacing w:after="0"/>
              <w:rPr>
                <w:sz w:val="20"/>
                <w:szCs w:val="20"/>
                <w:color w:val="auto"/>
              </w:rPr>
            </w:pPr>
            <w:r>
              <w:rPr>
                <w:rFonts w:ascii="Arial" w:cs="Arial" w:eastAsia="Arial" w:hAnsi="Arial"/>
                <w:sz w:val="18"/>
                <w:szCs w:val="18"/>
                <w:color w:val="131E29"/>
              </w:rPr>
              <w:t>Unregistered Sales of Equity Securities and Use of Proceeds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3.</w:t>
            </w:r>
          </w:p>
        </w:tc>
        <w:tc>
          <w:tcPr>
            <w:tcW w:w="9200" w:type="dxa"/>
            <w:vAlign w:val="bottom"/>
          </w:tcPr>
          <w:p>
            <w:pPr>
              <w:ind w:left="20"/>
              <w:spacing w:after="0"/>
              <w:rPr>
                <w:sz w:val="20"/>
                <w:szCs w:val="20"/>
                <w:color w:val="auto"/>
              </w:rPr>
            </w:pPr>
            <w:r>
              <w:rPr>
                <w:rFonts w:ascii="Arial" w:cs="Arial" w:eastAsia="Arial" w:hAnsi="Arial"/>
                <w:sz w:val="18"/>
                <w:szCs w:val="18"/>
                <w:color w:val="131E29"/>
              </w:rPr>
              <w:t>Defaults Upon Senior Securities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4.</w:t>
            </w:r>
          </w:p>
        </w:tc>
        <w:tc>
          <w:tcPr>
            <w:tcW w:w="9200" w:type="dxa"/>
            <w:vAlign w:val="bottom"/>
          </w:tcPr>
          <w:p>
            <w:pPr>
              <w:ind w:left="20"/>
              <w:spacing w:after="0"/>
              <w:rPr>
                <w:sz w:val="20"/>
                <w:szCs w:val="20"/>
                <w:color w:val="auto"/>
              </w:rPr>
            </w:pPr>
            <w:r>
              <w:rPr>
                <w:rFonts w:ascii="Arial" w:cs="Arial" w:eastAsia="Arial" w:hAnsi="Arial"/>
                <w:sz w:val="18"/>
                <w:szCs w:val="18"/>
                <w:color w:val="131E29"/>
              </w:rPr>
              <w:t>Mine Safety Disclosure</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5.</w:t>
            </w:r>
          </w:p>
        </w:tc>
        <w:tc>
          <w:tcPr>
            <w:tcW w:w="9200" w:type="dxa"/>
            <w:vAlign w:val="bottom"/>
          </w:tcPr>
          <w:p>
            <w:pPr>
              <w:ind w:left="20"/>
              <w:spacing w:after="0"/>
              <w:rPr>
                <w:sz w:val="20"/>
                <w:szCs w:val="20"/>
                <w:color w:val="auto"/>
              </w:rPr>
            </w:pPr>
            <w:r>
              <w:rPr>
                <w:rFonts w:ascii="Arial" w:cs="Arial" w:eastAsia="Arial" w:hAnsi="Arial"/>
                <w:sz w:val="18"/>
                <w:szCs w:val="18"/>
                <w:color w:val="131E29"/>
              </w:rPr>
              <w:t>Other Information</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6.</w:t>
            </w:r>
          </w:p>
        </w:tc>
        <w:tc>
          <w:tcPr>
            <w:tcW w:w="9200" w:type="dxa"/>
            <w:vAlign w:val="bottom"/>
          </w:tcPr>
          <w:p>
            <w:pPr>
              <w:ind w:left="20"/>
              <w:spacing w:after="0"/>
              <w:rPr>
                <w:sz w:val="20"/>
                <w:szCs w:val="20"/>
                <w:color w:val="auto"/>
              </w:rPr>
            </w:pPr>
            <w:r>
              <w:rPr>
                <w:rFonts w:ascii="Arial" w:cs="Arial" w:eastAsia="Arial" w:hAnsi="Arial"/>
                <w:sz w:val="18"/>
                <w:szCs w:val="18"/>
                <w:color w:val="131E29"/>
              </w:rPr>
              <w:t>Exhibits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53</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337"/>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SIGNATURES</w:t>
            </w:r>
          </w:p>
        </w:tc>
        <w:tc>
          <w:tcPr>
            <w:tcW w:w="9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54</w:t>
            </w:r>
          </w:p>
        </w:tc>
      </w:tr>
      <w:tr>
        <w:trPr>
          <w:trHeight w:val="155"/>
        </w:trPr>
        <w:tc>
          <w:tcPr>
            <w:tcW w:w="1320" w:type="dxa"/>
            <w:vAlign w:val="bottom"/>
            <w:tcBorders>
              <w:bottom w:val="single" w:sz="8" w:color="D7282F"/>
            </w:tcBorders>
            <w:shd w:val="clear" w:color="auto" w:fill="FDE021"/>
          </w:tcPr>
          <w:p>
            <w:pPr>
              <w:spacing w:after="0"/>
              <w:rPr>
                <w:sz w:val="13"/>
                <w:szCs w:val="13"/>
                <w:color w:val="auto"/>
              </w:rPr>
            </w:pPr>
          </w:p>
        </w:tc>
        <w:tc>
          <w:tcPr>
            <w:tcW w:w="9200" w:type="dxa"/>
            <w:vAlign w:val="bottom"/>
            <w:tcBorders>
              <w:bottom w:val="single" w:sz="8" w:color="D7282F"/>
            </w:tcBorders>
            <w:shd w:val="clear" w:color="auto" w:fill="FDE021"/>
          </w:tcPr>
          <w:p>
            <w:pPr>
              <w:spacing w:after="0"/>
              <w:rPr>
                <w:sz w:val="13"/>
                <w:szCs w:val="13"/>
                <w:color w:val="auto"/>
              </w:rPr>
            </w:pPr>
          </w:p>
        </w:tc>
        <w:tc>
          <w:tcPr>
            <w:tcW w:w="720" w:type="dxa"/>
            <w:vAlign w:val="bottom"/>
            <w:tcBorders>
              <w:bottom w:val="single" w:sz="8" w:color="D7282F"/>
            </w:tcBorders>
            <w:shd w:val="clear" w:color="auto" w:fill="FDE021"/>
          </w:tcPr>
          <w:p>
            <w:pPr>
              <w:spacing w:after="0"/>
              <w:rPr>
                <w:sz w:val="13"/>
                <w:szCs w:val="13"/>
                <w:color w:val="auto"/>
              </w:rPr>
            </w:pPr>
          </w:p>
        </w:tc>
      </w:tr>
      <w:tr>
        <w:trPr>
          <w:trHeight w:val="1668"/>
        </w:trPr>
        <w:tc>
          <w:tcPr>
            <w:tcW w:w="1320" w:type="dxa"/>
            <w:vAlign w:val="bottom"/>
            <w:tcBorders>
              <w:top w:val="single" w:sz="8" w:color="00416B"/>
              <w:bottom w:val="single" w:sz="8" w:color="9A9A9A"/>
            </w:tcBorders>
          </w:tcPr>
          <w:p>
            <w:pPr>
              <w:spacing w:after="0"/>
              <w:rPr>
                <w:sz w:val="24"/>
                <w:szCs w:val="24"/>
                <w:color w:val="auto"/>
              </w:rPr>
            </w:pPr>
          </w:p>
        </w:tc>
        <w:tc>
          <w:tcPr>
            <w:tcW w:w="9200" w:type="dxa"/>
            <w:vAlign w:val="bottom"/>
            <w:tcBorders>
              <w:top w:val="single" w:sz="8" w:color="00416B"/>
              <w:bottom w:val="single" w:sz="8" w:color="9A9A9A"/>
            </w:tcBorders>
          </w:tcPr>
          <w:p>
            <w:pPr>
              <w:spacing w:after="0"/>
              <w:rPr>
                <w:sz w:val="24"/>
                <w:szCs w:val="24"/>
                <w:color w:val="auto"/>
              </w:rPr>
            </w:pPr>
          </w:p>
        </w:tc>
        <w:tc>
          <w:tcPr>
            <w:tcW w:w="720" w:type="dxa"/>
            <w:vAlign w:val="bottom"/>
            <w:tcBorders>
              <w:top w:val="single" w:sz="8" w:color="00416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00416B"/>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006098"/>
              </w:rPr>
              <w:t>Term</w:t>
            </w:r>
          </w:p>
        </w:tc>
        <w:tc>
          <w:tcPr>
            <w:tcW w:w="8780" w:type="dxa"/>
            <w:vAlign w:val="bottom"/>
          </w:tcPr>
          <w:p>
            <w:pPr>
              <w:spacing w:after="0"/>
              <w:rPr>
                <w:sz w:val="20"/>
                <w:szCs w:val="20"/>
                <w:color w:val="auto"/>
              </w:rPr>
            </w:pPr>
            <w:r>
              <w:rPr>
                <w:rFonts w:ascii="Arial" w:cs="Arial" w:eastAsia="Arial" w:hAnsi="Arial"/>
                <w:sz w:val="18"/>
                <w:szCs w:val="18"/>
                <w:b w:val="1"/>
                <w:bCs w:val="1"/>
                <w:color w:val="006098"/>
              </w:rPr>
              <w:t>Definition</w:t>
            </w:r>
          </w:p>
        </w:tc>
      </w:tr>
      <w:tr>
        <w:trPr>
          <w:trHeight w:val="177"/>
        </w:trPr>
        <w:tc>
          <w:tcPr>
            <w:tcW w:w="2360" w:type="dxa"/>
            <w:vAlign w:val="bottom"/>
            <w:tcBorders>
              <w:bottom w:val="single" w:sz="8" w:color="D7282F"/>
            </w:tcBorders>
          </w:tcPr>
          <w:p>
            <w:pPr>
              <w:spacing w:after="0"/>
              <w:rPr>
                <w:sz w:val="15"/>
                <w:szCs w:val="15"/>
                <w:color w:val="auto"/>
              </w:rPr>
            </w:pPr>
          </w:p>
        </w:tc>
        <w:tc>
          <w:tcPr>
            <w:tcW w:w="100" w:type="dxa"/>
            <w:vAlign w:val="bottom"/>
            <w:tcBorders>
              <w:bottom w:val="single" w:sz="8" w:color="D2DCE5"/>
            </w:tcBorders>
          </w:tcPr>
          <w:p>
            <w:pPr>
              <w:spacing w:after="0"/>
              <w:rPr>
                <w:sz w:val="15"/>
                <w:szCs w:val="15"/>
                <w:color w:val="auto"/>
              </w:rPr>
            </w:pPr>
          </w:p>
        </w:tc>
        <w:tc>
          <w:tcPr>
            <w:tcW w:w="8780" w:type="dxa"/>
            <w:vAlign w:val="bottom"/>
            <w:tcBorders>
              <w:bottom w:val="single" w:sz="8" w:color="D7282F"/>
            </w:tcBorders>
          </w:tcPr>
          <w:p>
            <w:pPr>
              <w:spacing w:after="0"/>
              <w:rPr>
                <w:sz w:val="15"/>
                <w:szCs w:val="15"/>
                <w:color w:val="auto"/>
              </w:rPr>
            </w:pPr>
          </w:p>
        </w:tc>
      </w:tr>
      <w:tr>
        <w:trPr>
          <w:trHeight w:val="197"/>
        </w:trPr>
        <w:tc>
          <w:tcPr>
            <w:tcW w:w="23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Has the meaning set forth in NOTE 9 — Debt to the condensed consolidated financial statements, included elsewhere in</w:t>
            </w:r>
          </w:p>
        </w:tc>
      </w:tr>
      <w:tr>
        <w:trPr>
          <w:trHeight w:val="228"/>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2022 Credit Facility</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this Form 10-Q</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Has the meaning set forth in NOTE 9 — Debt to the condensed consolidated financial statements, included elsewhere in</w:t>
            </w: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2025 Credit Facility</w:t>
            </w:r>
          </w:p>
        </w:tc>
        <w:tc>
          <w:tcPr>
            <w:tcW w:w="8780" w:type="dxa"/>
            <w:vAlign w:val="bottom"/>
          </w:tcPr>
          <w:p>
            <w:pPr>
              <w:spacing w:after="0"/>
              <w:rPr>
                <w:sz w:val="20"/>
                <w:szCs w:val="20"/>
                <w:color w:val="auto"/>
              </w:rPr>
            </w:pPr>
            <w:r>
              <w:rPr>
                <w:rFonts w:ascii="Arial" w:cs="Arial" w:eastAsia="Arial" w:hAnsi="Arial"/>
                <w:sz w:val="16"/>
                <w:szCs w:val="16"/>
                <w:color w:val="131E29"/>
              </w:rPr>
              <w:t>this Form 10-Q</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AOCI</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Accumulated Other Comprehensive Income</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ASU</w:t>
            </w:r>
          </w:p>
        </w:tc>
        <w:tc>
          <w:tcPr>
            <w:tcW w:w="8780" w:type="dxa"/>
            <w:vAlign w:val="bottom"/>
          </w:tcPr>
          <w:p>
            <w:pPr>
              <w:spacing w:after="0"/>
              <w:rPr>
                <w:sz w:val="20"/>
                <w:szCs w:val="20"/>
                <w:color w:val="auto"/>
              </w:rPr>
            </w:pPr>
            <w:r>
              <w:rPr>
                <w:rFonts w:ascii="Arial" w:cs="Arial" w:eastAsia="Arial" w:hAnsi="Arial"/>
                <w:sz w:val="16"/>
                <w:szCs w:val="16"/>
                <w:color w:val="131E29"/>
              </w:rPr>
              <w:t>Accounting Standards Update</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AUV</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Average Unit Volume</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BPS or bps</w:t>
            </w:r>
          </w:p>
        </w:tc>
        <w:tc>
          <w:tcPr>
            <w:tcW w:w="8780" w:type="dxa"/>
            <w:vAlign w:val="bottom"/>
          </w:tcPr>
          <w:p>
            <w:pPr>
              <w:spacing w:after="0"/>
              <w:rPr>
                <w:sz w:val="20"/>
                <w:szCs w:val="20"/>
                <w:color w:val="auto"/>
              </w:rPr>
            </w:pPr>
            <w:r>
              <w:rPr>
                <w:rFonts w:ascii="Arial" w:cs="Arial" w:eastAsia="Arial" w:hAnsi="Arial"/>
                <w:sz w:val="16"/>
                <w:szCs w:val="16"/>
                <w:color w:val="131E29"/>
              </w:rPr>
              <w:t>Basis points, which is used to express differences in rates. One basis point is the equivalent of 1/100 of one percent</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CEO</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Chief Executive Officer</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CODM</w:t>
            </w:r>
          </w:p>
        </w:tc>
        <w:tc>
          <w:tcPr>
            <w:tcW w:w="8780" w:type="dxa"/>
            <w:vAlign w:val="bottom"/>
          </w:tcPr>
          <w:p>
            <w:pPr>
              <w:spacing w:after="0"/>
              <w:rPr>
                <w:sz w:val="20"/>
                <w:szCs w:val="20"/>
                <w:color w:val="auto"/>
              </w:rPr>
            </w:pPr>
            <w:r>
              <w:rPr>
                <w:rFonts w:ascii="Arial" w:cs="Arial" w:eastAsia="Arial" w:hAnsi="Arial"/>
                <w:sz w:val="16"/>
                <w:szCs w:val="16"/>
                <w:color w:val="131E29"/>
              </w:rPr>
              <w:t>Chief Operating Decision Maker</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Co-Founder</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Travis Boersma, our Executive Chairman and Co-Founder, and affiliated entities over which he maintains voting control</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Continuing Members</w:t>
            </w:r>
          </w:p>
        </w:tc>
        <w:tc>
          <w:tcPr>
            <w:tcW w:w="8780" w:type="dxa"/>
            <w:vAlign w:val="bottom"/>
          </w:tcPr>
          <w:p>
            <w:pPr>
              <w:spacing w:after="0"/>
              <w:rPr>
                <w:sz w:val="20"/>
                <w:szCs w:val="20"/>
                <w:color w:val="auto"/>
              </w:rPr>
            </w:pPr>
            <w:r>
              <w:rPr>
                <w:rFonts w:ascii="Arial" w:cs="Arial" w:eastAsia="Arial" w:hAnsi="Arial"/>
                <w:sz w:val="16"/>
                <w:szCs w:val="16"/>
                <w:color w:val="131E29"/>
              </w:rPr>
              <w:t>The Co-Founder and the Sponsor</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Dutch Bros OpCo</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Dutch Mafia, LLC, a Delaware limited liability company and direct subsidiary of Dutch Bros Inc.</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A Delaware corporation, the Class A common stock of which is publicly traded on the New York Stock Exchange under the</w:t>
            </w: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Dutch Bros Inc.</w:t>
            </w:r>
          </w:p>
        </w:tc>
        <w:tc>
          <w:tcPr>
            <w:tcW w:w="8780" w:type="dxa"/>
            <w:vAlign w:val="bottom"/>
          </w:tcPr>
          <w:p>
            <w:pPr>
              <w:spacing w:after="0"/>
              <w:rPr>
                <w:sz w:val="20"/>
                <w:szCs w:val="20"/>
                <w:color w:val="auto"/>
              </w:rPr>
            </w:pPr>
            <w:r>
              <w:rPr>
                <w:rFonts w:ascii="Arial" w:cs="Arial" w:eastAsia="Arial" w:hAnsi="Arial"/>
                <w:sz w:val="16"/>
                <w:szCs w:val="16"/>
                <w:color w:val="131E29"/>
              </w:rPr>
              <w:t>symbol “BROS”</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EBITDAR</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Earnings before interest, taxes, depreciation, amortization, and rent costs</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FASB</w:t>
            </w:r>
          </w:p>
        </w:tc>
        <w:tc>
          <w:tcPr>
            <w:tcW w:w="8780" w:type="dxa"/>
            <w:vAlign w:val="bottom"/>
          </w:tcPr>
          <w:p>
            <w:pPr>
              <w:spacing w:after="0"/>
              <w:rPr>
                <w:sz w:val="20"/>
                <w:szCs w:val="20"/>
                <w:color w:val="auto"/>
              </w:rPr>
            </w:pPr>
            <w:r>
              <w:rPr>
                <w:rFonts w:ascii="Arial" w:cs="Arial" w:eastAsia="Arial" w:hAnsi="Arial"/>
                <w:sz w:val="16"/>
                <w:szCs w:val="16"/>
                <w:color w:val="131E29"/>
              </w:rPr>
              <w:t>Financial Accounting Standards Board</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GAAP</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U.S. Generally Accepted Accounting Principles</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IPO</w:t>
            </w:r>
          </w:p>
        </w:tc>
        <w:tc>
          <w:tcPr>
            <w:tcW w:w="8780" w:type="dxa"/>
            <w:vAlign w:val="bottom"/>
          </w:tcPr>
          <w:p>
            <w:pPr>
              <w:spacing w:after="0"/>
              <w:rPr>
                <w:sz w:val="20"/>
                <w:szCs w:val="20"/>
                <w:color w:val="auto"/>
              </w:rPr>
            </w:pPr>
            <w:r>
              <w:rPr>
                <w:rFonts w:ascii="Arial" w:cs="Arial" w:eastAsia="Arial" w:hAnsi="Arial"/>
                <w:sz w:val="16"/>
                <w:szCs w:val="16"/>
                <w:color w:val="131E29"/>
              </w:rPr>
              <w:t>Initial Public Offering</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N/A</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Not applicable</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N/M</w:t>
            </w:r>
          </w:p>
        </w:tc>
        <w:tc>
          <w:tcPr>
            <w:tcW w:w="8780" w:type="dxa"/>
            <w:vAlign w:val="bottom"/>
          </w:tcPr>
          <w:p>
            <w:pPr>
              <w:spacing w:after="0"/>
              <w:rPr>
                <w:sz w:val="20"/>
                <w:szCs w:val="20"/>
                <w:color w:val="auto"/>
              </w:rPr>
            </w:pPr>
            <w:r>
              <w:rPr>
                <w:rFonts w:ascii="Arial" w:cs="Arial" w:eastAsia="Arial" w:hAnsi="Arial"/>
                <w:sz w:val="16"/>
                <w:szCs w:val="16"/>
                <w:color w:val="131E29"/>
              </w:rPr>
              <w:t>Not meaningful</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OpCo LLC Agreement</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The Fifth Amended and Restated Limited Liability Company Agreement of Dutch Bros OpCo</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Class A common units, Class B voting units and Class C voting units of Dutch Bros OpCo, each as further defined in the</w:t>
            </w: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OpCo Units</w:t>
            </w:r>
          </w:p>
        </w:tc>
        <w:tc>
          <w:tcPr>
            <w:tcW w:w="8780" w:type="dxa"/>
            <w:vAlign w:val="bottom"/>
          </w:tcPr>
          <w:p>
            <w:pPr>
              <w:spacing w:after="0"/>
              <w:rPr>
                <w:sz w:val="20"/>
                <w:szCs w:val="20"/>
                <w:color w:val="auto"/>
              </w:rPr>
            </w:pPr>
            <w:r>
              <w:rPr>
                <w:rFonts w:ascii="Arial" w:cs="Arial" w:eastAsia="Arial" w:hAnsi="Arial"/>
                <w:sz w:val="16"/>
                <w:szCs w:val="16"/>
                <w:color w:val="131E29"/>
              </w:rPr>
              <w:t>OpCo LLC Agreement, collectively</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PSU</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Performance-Based Stock Units</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RSA</w:t>
            </w:r>
          </w:p>
        </w:tc>
        <w:tc>
          <w:tcPr>
            <w:tcW w:w="8780" w:type="dxa"/>
            <w:vAlign w:val="bottom"/>
          </w:tcPr>
          <w:p>
            <w:pPr>
              <w:spacing w:after="0"/>
              <w:rPr>
                <w:sz w:val="20"/>
                <w:szCs w:val="20"/>
                <w:color w:val="auto"/>
              </w:rPr>
            </w:pPr>
            <w:r>
              <w:rPr>
                <w:rFonts w:ascii="Arial" w:cs="Arial" w:eastAsia="Arial" w:hAnsi="Arial"/>
                <w:sz w:val="16"/>
                <w:szCs w:val="16"/>
                <w:color w:val="131E29"/>
              </w:rPr>
              <w:t>Restricted Stock Awards</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RSU</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Restricted Stock Units</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The estimated percentage change in year-over-year sales, for the comparable shop base, which we define as shops open</w:t>
            </w:r>
          </w:p>
        </w:tc>
      </w:tr>
      <w:tr>
        <w:trPr>
          <w:trHeight w:val="265"/>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Same Shop Sales</w:t>
            </w:r>
          </w:p>
        </w:tc>
        <w:tc>
          <w:tcPr>
            <w:tcW w:w="8780" w:type="dxa"/>
            <w:vAlign w:val="bottom"/>
          </w:tcPr>
          <w:p>
            <w:pPr>
              <w:spacing w:after="0"/>
              <w:rPr>
                <w:sz w:val="20"/>
                <w:szCs w:val="20"/>
                <w:color w:val="auto"/>
              </w:rPr>
            </w:pPr>
            <w:r>
              <w:rPr>
                <w:rFonts w:ascii="Arial" w:cs="Arial" w:eastAsia="Arial" w:hAnsi="Arial"/>
                <w:sz w:val="16"/>
                <w:szCs w:val="16"/>
                <w:color w:val="131E29"/>
              </w:rPr>
              <w:t>for 15 complete months or longer as of the first day of the reporting period</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SEC</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Securities and Exchange Commission</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SOFR</w:t>
            </w:r>
          </w:p>
        </w:tc>
        <w:tc>
          <w:tcPr>
            <w:tcW w:w="8780" w:type="dxa"/>
            <w:vAlign w:val="bottom"/>
          </w:tcPr>
          <w:p>
            <w:pPr>
              <w:spacing w:after="0"/>
              <w:rPr>
                <w:sz w:val="20"/>
                <w:szCs w:val="20"/>
                <w:color w:val="auto"/>
              </w:rPr>
            </w:pPr>
            <w:r>
              <w:rPr>
                <w:rFonts w:ascii="Arial" w:cs="Arial" w:eastAsia="Arial" w:hAnsi="Arial"/>
                <w:sz w:val="16"/>
                <w:szCs w:val="16"/>
                <w:color w:val="131E29"/>
              </w:rPr>
              <w:t>Secured Overnight Financing Rate</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Sponsor</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TSG Consumer Partners, L.P. and certain of its affiliates</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The Tax Receivable Agreement (Exchanges) that Dutch Bros Inc. entered into with the Continuing Members and the Tax</w:t>
            </w:r>
          </w:p>
        </w:tc>
      </w:tr>
      <w:tr>
        <w:trPr>
          <w:trHeight w:val="18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Tax Receivable Agreements</w:t>
            </w:r>
          </w:p>
        </w:tc>
        <w:tc>
          <w:tcPr>
            <w:tcW w:w="8780" w:type="dxa"/>
            <w:vAlign w:val="bottom"/>
          </w:tcPr>
          <w:p>
            <w:pPr>
              <w:spacing w:after="0"/>
              <w:rPr>
                <w:sz w:val="20"/>
                <w:szCs w:val="20"/>
                <w:color w:val="auto"/>
              </w:rPr>
            </w:pPr>
            <w:r>
              <w:rPr>
                <w:rFonts w:ascii="Arial" w:cs="Arial" w:eastAsia="Arial" w:hAnsi="Arial"/>
                <w:sz w:val="16"/>
                <w:szCs w:val="16"/>
                <w:color w:val="131E29"/>
              </w:rPr>
              <w:t>Receivable Agreement (Reorganization) that Dutch Bros Inc. entered into with TSG7 A AIV VI Holdings-A, L.P. and DG</w:t>
            </w:r>
          </w:p>
        </w:tc>
      </w:tr>
      <w:tr>
        <w:trPr>
          <w:trHeight w:val="234"/>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(TRAs)</w:t>
            </w:r>
          </w:p>
        </w:tc>
        <w:tc>
          <w:tcPr>
            <w:tcW w:w="8780" w:type="dxa"/>
            <w:vAlign w:val="bottom"/>
          </w:tcPr>
          <w:p>
            <w:pPr>
              <w:spacing w:after="0"/>
              <w:rPr>
                <w:sz w:val="20"/>
                <w:szCs w:val="20"/>
                <w:color w:val="auto"/>
              </w:rPr>
            </w:pPr>
            <w:r>
              <w:rPr>
                <w:rFonts w:ascii="Arial" w:cs="Arial" w:eastAsia="Arial" w:hAnsi="Arial"/>
                <w:sz w:val="16"/>
                <w:szCs w:val="16"/>
                <w:color w:val="131E29"/>
              </w:rPr>
              <w:t>Coinvestor Blocker Aggregator, L.P. or their assignees or successors, in connection with the IPO</w:t>
            </w:r>
          </w:p>
        </w:tc>
      </w:tr>
    </w:tbl>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131E29"/>
        </w:rPr>
        <w:t>Dutch Bros</w:t>
      </w:r>
      <w:r>
        <w:rPr>
          <w:rFonts w:ascii="Arial" w:cs="Arial" w:eastAsia="Arial" w:hAnsi="Arial"/>
          <w:sz w:val="14"/>
          <w:szCs w:val="14"/>
          <w:color w:val="131E29"/>
        </w:rPr>
        <w:t>, our Windmill logo (</w:t>
      </w:r>
      <w:r>
        <w:rPr>
          <w:sz w:val="1"/>
          <w:szCs w:val="1"/>
          <w:color w:val="auto"/>
        </w:rPr>
        <w:drawing>
          <wp:inline distT="0" distB="0" distL="0" distR="0">
            <wp:extent cx="111760" cy="162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760" cy="162560"/>
                    </a:xfrm>
                    <a:prstGeom prst="rect">
                      <a:avLst/>
                    </a:prstGeom>
                    <a:noFill/>
                    <a:ln>
                      <a:noFill/>
                    </a:ln>
                  </pic:spPr>
                </pic:pic>
              </a:graphicData>
            </a:graphic>
          </wp:inline>
        </w:drawing>
      </w:r>
      <w:r>
        <w:rPr>
          <w:rFonts w:ascii="Arial" w:cs="Arial" w:eastAsia="Arial" w:hAnsi="Arial"/>
          <w:sz w:val="14"/>
          <w:szCs w:val="14"/>
          <w:color w:val="131E29"/>
        </w:rPr>
        <w:t xml:space="preserve">), </w:t>
      </w:r>
      <w:r>
        <w:rPr>
          <w:rFonts w:ascii="Arial" w:cs="Arial" w:eastAsia="Arial" w:hAnsi="Arial"/>
          <w:sz w:val="14"/>
          <w:szCs w:val="14"/>
          <w:i w:val="1"/>
          <w:iCs w:val="1"/>
          <w:color w:val="131E29"/>
        </w:rPr>
        <w:t>Dutch Bros Blue Rebel</w:t>
      </w:r>
      <w:r>
        <w:rPr>
          <w:rFonts w:ascii="Arial" w:cs="Arial" w:eastAsia="Arial" w:hAnsi="Arial"/>
          <w:sz w:val="14"/>
          <w:szCs w:val="14"/>
          <w:color w:val="131E29"/>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Forward-Looking Statements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Certain statements in this Form 10-Q, including those in the section titled “Management’s Discussion and Analysis,” that are not historical facts, including those regarding the impact of inflation, increased minimum wages, interest rate risk,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“estimate,” “expect,” “intend,” “may,” “predict,” “project,” “should,” “target,” and similar terms and phrases, including references to assumptions, to identify forward-looking statements. In addition, statements that “we believe” and similar statements reflect our beliefs and opinions on the relevant subject. While we believe that information provides a reasonable basis for these statements, that information may be limited or incomplete, and our statements should not be read to indicate that we have conducted an exhaustive inquiry into, or review of, all relevant information. These forward-looking statements are based on information available to us as of the date of this Form 10-Q, and we assume no obligation to update these forward-looking statements.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2024, filed with the SEC on February 13, 2025 (2024 Form 10-K).</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and in our 2024 Form 10-K, as such risk factors may be amended, supplemented or superseded from time to time by other reports we file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Website Disclosure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098"/>
        </w:rPr>
        <w:t>Table of Contents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Arial" w:cs="Arial" w:eastAsia="Arial" w:hAnsi="Arial"/>
                <w:sz w:val="18"/>
                <w:szCs w:val="18"/>
                <w:b w:val="1"/>
                <w:bCs w:val="1"/>
                <w:color w:val="131E29"/>
              </w:rPr>
              <w:t>June 30,</w:t>
            </w:r>
          </w:p>
        </w:tc>
        <w:tc>
          <w:tcPr>
            <w:tcW w:w="26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55"/>
        </w:trPr>
        <w:tc>
          <w:tcPr>
            <w:tcW w:w="7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580" w:type="dxa"/>
            <w:vAlign w:val="bottom"/>
            <w:tcBorders>
              <w:bottom w:val="single" w:sz="8" w:color="D7282F"/>
            </w:tcBorders>
          </w:tcPr>
          <w:p>
            <w:pPr>
              <w:jc w:val="right"/>
              <w:ind w:right="6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1680" w:type="dxa"/>
            <w:vAlign w:val="bottom"/>
            <w:tcBorders>
              <w:bottom w:val="single" w:sz="8" w:color="D7282F"/>
            </w:tcBorders>
          </w:tcPr>
          <w:p>
            <w:pPr>
              <w:jc w:val="right"/>
              <w:ind w:right="670"/>
              <w:spacing w:after="0"/>
              <w:rPr>
                <w:sz w:val="20"/>
                <w:szCs w:val="20"/>
                <w:color w:val="auto"/>
              </w:rPr>
            </w:pPr>
            <w:r>
              <w:rPr>
                <w:rFonts w:ascii="Arial" w:cs="Arial" w:eastAsia="Arial" w:hAnsi="Arial"/>
                <w:sz w:val="18"/>
                <w:szCs w:val="18"/>
                <w:b w:val="1"/>
                <w:bCs w:val="1"/>
                <w:color w:val="131E29"/>
              </w:rPr>
              <w:t>2024</w:t>
            </w:r>
          </w:p>
        </w:tc>
        <w:tc>
          <w:tcPr>
            <w:tcW w:w="0" w:type="dxa"/>
            <w:vAlign w:val="bottom"/>
          </w:tcPr>
          <w:p>
            <w:pPr>
              <w:spacing w:after="0"/>
              <w:rPr>
                <w:sz w:val="1"/>
                <w:szCs w:val="1"/>
                <w:color w:val="auto"/>
              </w:rPr>
            </w:pPr>
          </w:p>
        </w:tc>
      </w:tr>
      <w:tr>
        <w:trPr>
          <w:trHeight w:val="270"/>
        </w:trPr>
        <w:tc>
          <w:tcPr>
            <w:tcW w:w="72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Assets</w:t>
            </w:r>
          </w:p>
        </w:tc>
        <w:tc>
          <w:tcPr>
            <w:tcW w:w="360" w:type="dxa"/>
            <w:vAlign w:val="bottom"/>
            <w:shd w:val="clear" w:color="auto" w:fill="D2DCE5"/>
          </w:tcPr>
          <w:p>
            <w:pPr>
              <w:spacing w:after="0"/>
              <w:rPr>
                <w:sz w:val="23"/>
                <w:szCs w:val="23"/>
                <w:color w:val="auto"/>
              </w:rPr>
            </w:pPr>
          </w:p>
        </w:tc>
        <w:tc>
          <w:tcPr>
            <w:tcW w:w="15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Current assets:</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Cash and cash equivalents</w:t>
            </w: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254,415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293,354</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Accounts receivable, net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13,533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10,598</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Inventories, net</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42,419</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36,488</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Prepaid expenses and other current assets</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15,213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17,501</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2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current assets</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325,580</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357,941</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Property and equipment, net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747,831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683,971</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right-of-use assets, net</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382,420</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374,623</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375,350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315,256</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Intangibles, net</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2,035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2,947</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Goodwill</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21,629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21,629</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income tax assets, net</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955,190</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742,126</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Other long-term assets</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2,212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2,592</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2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8"/>
                <w:szCs w:val="18"/>
                <w:b w:val="1"/>
                <w:bCs w:val="1"/>
                <w:color w:val="131E29"/>
              </w:rPr>
              <w:t>Total assets</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2,812,247</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2,501,085</w:t>
            </w:r>
          </w:p>
        </w:tc>
        <w:tc>
          <w:tcPr>
            <w:tcW w:w="0" w:type="dxa"/>
            <w:vAlign w:val="bottom"/>
          </w:tcPr>
          <w:p>
            <w:pPr>
              <w:spacing w:after="0"/>
              <w:rPr>
                <w:sz w:val="1"/>
                <w:szCs w:val="1"/>
                <w:color w:val="auto"/>
              </w:rPr>
            </w:pPr>
          </w:p>
        </w:tc>
      </w:tr>
      <w:tr>
        <w:trPr>
          <w:trHeight w:val="20"/>
        </w:trPr>
        <w:tc>
          <w:tcPr>
            <w:tcW w:w="722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b w:val="1"/>
                <w:bCs w:val="1"/>
                <w:color w:val="131E29"/>
              </w:rPr>
              <w:t>Liabilities and Equity</w:t>
            </w: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6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360" w:type="dxa"/>
            <w:vAlign w:val="bottom"/>
            <w:tcBorders>
              <w:bottom w:val="single" w:sz="8" w:color="D2DCE5"/>
            </w:tcBorders>
            <w:shd w:val="clear" w:color="auto" w:fill="D2DCE5"/>
          </w:tcPr>
          <w:p>
            <w:pPr>
              <w:spacing w:after="0"/>
              <w:rPr>
                <w:sz w:val="22"/>
                <w:szCs w:val="22"/>
                <w:color w:val="auto"/>
              </w:rPr>
            </w:pPr>
          </w:p>
        </w:tc>
        <w:tc>
          <w:tcPr>
            <w:tcW w:w="1580" w:type="dxa"/>
            <w:vAlign w:val="bottom"/>
            <w:tcBorders>
              <w:bottom w:val="single" w:sz="8" w:color="D2DCE5"/>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1680" w:type="dxa"/>
            <w:vAlign w:val="bottom"/>
            <w:tcBorders>
              <w:bottom w:val="single" w:sz="8" w:color="D2DCE5"/>
            </w:tcBorders>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006098"/>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006098"/>
              </w:rPr>
              <w:t>33,646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32,225</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Accrued compensation and benefits</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41,512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49,778</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Other accrued liabilities</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32,328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26,516</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current liabilities</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14,174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Deferred revenue</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43,533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42,868</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tax receivable agreements liability</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514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Current portion of finance lease liabilities</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14,297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13,256</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operating lease liabilities</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15,045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13,979</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Current portion of long-term debt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3,877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17,311</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2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current liabilities</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198,926</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203,071</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Deferred revenue, net of current portion</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7,740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8,015</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liabilities, net of current portion</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380,128</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369,297</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Operating lease liabilities, net of current portion</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370,753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309,311</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Long-term debt, net of current portion</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196,838</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219,755</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Tax receivable agreements liability, net of current portion</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823,933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627,763</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long-term liabilities</w:t>
            </w:r>
          </w:p>
        </w:tc>
        <w:tc>
          <w:tcPr>
            <w:tcW w:w="360" w:type="dxa"/>
            <w:vAlign w:val="bottom"/>
            <w:tcBorders>
              <w:bottom w:val="single" w:sz="8" w:color="D2DCE5"/>
            </w:tcBorders>
            <w:shd w:val="clear" w:color="auto" w:fill="D2DCE5"/>
          </w:tcPr>
          <w:p>
            <w:pPr>
              <w:spacing w:after="0"/>
              <w:rPr>
                <w:sz w:val="23"/>
                <w:szCs w:val="23"/>
                <w:color w:val="auto"/>
              </w:rPr>
            </w:pPr>
          </w:p>
        </w:tc>
        <w:tc>
          <w:tcPr>
            <w:tcW w:w="1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006098"/>
              </w:rPr>
              <w:t>—</w:t>
            </w:r>
          </w:p>
        </w:tc>
        <w:tc>
          <w:tcPr>
            <w:tcW w:w="260" w:type="dxa"/>
            <w:vAlign w:val="bottom"/>
            <w:tcBorders>
              <w:bottom w:val="single" w:sz="8" w:color="D2DCE5"/>
            </w:tcBorders>
            <w:shd w:val="clear" w:color="auto" w:fill="D2DCE5"/>
          </w:tcPr>
          <w:p>
            <w:pPr>
              <w:spacing w:after="0"/>
              <w:rPr>
                <w:sz w:val="23"/>
                <w:szCs w:val="23"/>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w:t>
            </w:r>
          </w:p>
        </w:tc>
        <w:tc>
          <w:tcPr>
            <w:tcW w:w="0" w:type="dxa"/>
            <w:vAlign w:val="bottom"/>
          </w:tcPr>
          <w:p>
            <w:pPr>
              <w:spacing w:after="0"/>
              <w:rPr>
                <w:sz w:val="1"/>
                <w:szCs w:val="1"/>
                <w:color w:val="auto"/>
              </w:rPr>
            </w:pPr>
          </w:p>
        </w:tc>
      </w:tr>
      <w:tr>
        <w:trPr>
          <w:trHeight w:val="240"/>
        </w:trPr>
        <w:tc>
          <w:tcPr>
            <w:tcW w:w="7220" w:type="dxa"/>
            <w:vAlign w:val="bottom"/>
            <w:gridSpan w:val="2"/>
          </w:tcPr>
          <w:p>
            <w:pPr>
              <w:ind w:left="340"/>
              <w:spacing w:after="0"/>
              <w:rPr>
                <w:sz w:val="20"/>
                <w:szCs w:val="20"/>
                <w:color w:val="auto"/>
              </w:rPr>
            </w:pPr>
            <w:r>
              <w:rPr>
                <w:rFonts w:ascii="Arial" w:cs="Arial" w:eastAsia="Arial" w:hAnsi="Arial"/>
                <w:sz w:val="18"/>
                <w:szCs w:val="18"/>
                <w:color w:val="131E29"/>
              </w:rPr>
              <w:t>Total liabilities</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1,978,318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1,737,220</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2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Commitments and contingencies (Note 15)</w:t>
            </w:r>
          </w:p>
        </w:tc>
        <w:tc>
          <w:tcPr>
            <w:tcW w:w="360" w:type="dxa"/>
            <w:vAlign w:val="bottom"/>
            <w:shd w:val="clear" w:color="auto" w:fill="D2DCE5"/>
          </w:tcPr>
          <w:p>
            <w:pPr>
              <w:spacing w:after="0"/>
              <w:rPr>
                <w:sz w:val="21"/>
                <w:szCs w:val="21"/>
                <w:color w:val="auto"/>
              </w:rPr>
            </w:pPr>
          </w:p>
        </w:tc>
        <w:tc>
          <w:tcPr>
            <w:tcW w:w="15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68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1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60" w:type="dxa"/>
            <w:vAlign w:val="bottom"/>
            <w:shd w:val="clear" w:color="auto" w:fill="D2DCE5"/>
          </w:tcPr>
          <w:p>
            <w:pPr>
              <w:spacing w:after="0"/>
              <w:rPr>
                <w:sz w:val="2"/>
                <w:szCs w:val="2"/>
                <w:color w:val="auto"/>
              </w:rPr>
            </w:pPr>
          </w:p>
        </w:tc>
        <w:tc>
          <w:tcPr>
            <w:tcW w:w="15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60" w:type="dxa"/>
            <w:vAlign w:val="bottom"/>
            <w:shd w:val="clear" w:color="auto" w:fill="D2DCE5"/>
          </w:tcPr>
          <w:p>
            <w:pPr>
              <w:spacing w:after="0"/>
              <w:rPr>
                <w:sz w:val="2"/>
                <w:szCs w:val="2"/>
                <w:color w:val="auto"/>
              </w:rPr>
            </w:pPr>
          </w:p>
        </w:tc>
        <w:tc>
          <w:tcPr>
            <w:tcW w:w="168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6098"/>
        </w:rPr>
        <w:t>Table of Contents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131E29"/>
              </w:rPr>
              <w:t>June 30,</w:t>
            </w:r>
          </w:p>
        </w:tc>
        <w:tc>
          <w:tcPr>
            <w:tcW w:w="240" w:type="dxa"/>
            <w:vAlign w:val="bottom"/>
          </w:tcPr>
          <w:p>
            <w:pPr>
              <w:spacing w:after="0"/>
              <w:rPr>
                <w:sz w:val="18"/>
                <w:szCs w:val="18"/>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r>
      <w:tr>
        <w:trPr>
          <w:trHeight w:val="255"/>
        </w:trPr>
        <w:tc>
          <w:tcPr>
            <w:tcW w:w="7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58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D7282F"/>
            </w:tcBorders>
          </w:tcPr>
          <w:p>
            <w:pPr>
              <w:spacing w:after="0"/>
              <w:rPr>
                <w:sz w:val="22"/>
                <w:szCs w:val="22"/>
                <w:color w:val="auto"/>
              </w:rPr>
            </w:pPr>
          </w:p>
        </w:tc>
        <w:tc>
          <w:tcPr>
            <w:tcW w:w="17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2024</w:t>
            </w:r>
          </w:p>
        </w:tc>
      </w:tr>
      <w:tr>
        <w:trPr>
          <w:trHeight w:val="224"/>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Preferred stock, $0.00001 par value per share - 20,000 shares authorized; zero shares</w:t>
            </w:r>
          </w:p>
        </w:tc>
        <w:tc>
          <w:tcPr>
            <w:tcW w:w="360" w:type="dxa"/>
            <w:vAlign w:val="bottom"/>
            <w:shd w:val="clear" w:color="auto" w:fill="D2DCE5"/>
          </w:tcPr>
          <w:p>
            <w:pPr>
              <w:spacing w:after="0"/>
              <w:rPr>
                <w:sz w:val="19"/>
                <w:szCs w:val="19"/>
                <w:color w:val="auto"/>
              </w:rPr>
            </w:pPr>
          </w:p>
        </w:tc>
        <w:tc>
          <w:tcPr>
            <w:tcW w:w="15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700" w:type="dxa"/>
            <w:vAlign w:val="bottom"/>
            <w:shd w:val="clear" w:color="auto" w:fill="D2DCE5"/>
          </w:tcPr>
          <w:p>
            <w:pPr>
              <w:spacing w:after="0"/>
              <w:rPr>
                <w:sz w:val="19"/>
                <w:szCs w:val="19"/>
                <w:color w:val="auto"/>
              </w:rPr>
            </w:pPr>
          </w:p>
        </w:tc>
      </w:tr>
      <w:tr>
        <w:trPr>
          <w:trHeight w:val="242"/>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issued and outstanding as of June 30, 2025 and December 31, 2024, respectively</w:t>
            </w:r>
          </w:p>
        </w:tc>
        <w:tc>
          <w:tcPr>
            <w:tcW w:w="3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24"/>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Class A common stock, $0.00001 par value per share - 400,000 shares authorized;</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126,932 and 115,432 shares issued and outstanding as of June 30, 2025 and</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9"/>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December 31, 2024, respectively</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1</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4"/>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B common stock, $0.00001 par value per share - 144,000 shares authorized;</w:t>
            </w:r>
          </w:p>
        </w:tc>
        <w:tc>
          <w:tcPr>
            <w:tcW w:w="360" w:type="dxa"/>
            <w:vAlign w:val="bottom"/>
            <w:shd w:val="clear" w:color="auto" w:fill="D2DCE5"/>
          </w:tcPr>
          <w:p>
            <w:pPr>
              <w:spacing w:after="0"/>
              <w:rPr>
                <w:sz w:val="19"/>
                <w:szCs w:val="19"/>
                <w:color w:val="auto"/>
              </w:rPr>
            </w:pPr>
          </w:p>
        </w:tc>
        <w:tc>
          <w:tcPr>
            <w:tcW w:w="15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700" w:type="dxa"/>
            <w:vAlign w:val="bottom"/>
            <w:shd w:val="clear" w:color="auto" w:fill="D2DCE5"/>
          </w:tcPr>
          <w:p>
            <w:pPr>
              <w:spacing w:after="0"/>
              <w:rPr>
                <w:sz w:val="19"/>
                <w:szCs w:val="19"/>
                <w:color w:val="auto"/>
              </w:rPr>
            </w:pPr>
          </w:p>
        </w:tc>
      </w:tr>
      <w:tr>
        <w:trPr>
          <w:trHeight w:val="216"/>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35,211 and 35,227 shares issued and outstanding as of June 30, 2025 and</w:t>
            </w:r>
          </w:p>
        </w:tc>
        <w:tc>
          <w:tcPr>
            <w:tcW w:w="360" w:type="dxa"/>
            <w:vAlign w:val="bottom"/>
            <w:shd w:val="clear" w:color="auto" w:fill="D2DCE5"/>
          </w:tcPr>
          <w:p>
            <w:pPr>
              <w:spacing w:after="0"/>
              <w:rPr>
                <w:sz w:val="18"/>
                <w:szCs w:val="18"/>
                <w:color w:val="auto"/>
              </w:rPr>
            </w:pPr>
          </w:p>
        </w:tc>
        <w:tc>
          <w:tcPr>
            <w:tcW w:w="15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700" w:type="dxa"/>
            <w:vAlign w:val="bottom"/>
            <w:shd w:val="clear" w:color="auto" w:fill="D2DCE5"/>
          </w:tcPr>
          <w:p>
            <w:pPr>
              <w:spacing w:after="0"/>
              <w:rPr>
                <w:sz w:val="18"/>
                <w:szCs w:val="18"/>
                <w:color w:val="auto"/>
              </w:rPr>
            </w:pPr>
          </w:p>
        </w:tc>
      </w:tr>
      <w:tr>
        <w:trPr>
          <w:trHeight w:val="242"/>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December 31, 2024</w:t>
            </w:r>
            <w:r>
              <w:rPr>
                <w:rFonts w:ascii="Arial" w:cs="Arial" w:eastAsia="Arial" w:hAnsi="Arial"/>
                <w:sz w:val="14"/>
                <w:szCs w:val="14"/>
                <w:color w:val="000000"/>
              </w:rPr>
              <w:t>,</w:t>
            </w:r>
            <w:r>
              <w:rPr>
                <w:rFonts w:ascii="Arial" w:cs="Arial" w:eastAsia="Arial" w:hAnsi="Arial"/>
                <w:sz w:val="18"/>
                <w:szCs w:val="18"/>
                <w:color w:val="131E29"/>
              </w:rPr>
              <w:t xml:space="preserve"> </w:t>
            </w:r>
            <w:r>
              <w:rPr>
                <w:rFonts w:ascii="Arial" w:cs="Arial" w:eastAsia="Arial" w:hAnsi="Arial"/>
                <w:sz w:val="18"/>
                <w:szCs w:val="18"/>
                <w:color w:val="000000"/>
              </w:rPr>
              <w:t>respectively</w:t>
            </w:r>
          </w:p>
        </w:tc>
        <w:tc>
          <w:tcPr>
            <w:tcW w:w="3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24"/>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Class C common stock, $0.00001 par value per share - 105,000 shares authorized;</w:t>
            </w: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2,347 and 3,545 shares issued and outstanding as of June 30, 2025 and December 31,</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9"/>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2024</w:t>
            </w:r>
            <w:r>
              <w:rPr>
                <w:rFonts w:ascii="Arial" w:cs="Arial" w:eastAsia="Arial" w:hAnsi="Arial"/>
                <w:sz w:val="18"/>
                <w:szCs w:val="18"/>
                <w:color w:val="000000"/>
              </w:rPr>
              <w:t>, respectively</w:t>
            </w:r>
          </w:p>
        </w:tc>
        <w:tc>
          <w:tcPr>
            <w:tcW w:w="36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Additional paid-in capital</w:t>
            </w:r>
          </w:p>
        </w:tc>
        <w:tc>
          <w:tcPr>
            <w:tcW w:w="360" w:type="dxa"/>
            <w:vAlign w:val="bottom"/>
            <w:tcBorders>
              <w:bottom w:val="single" w:sz="8" w:color="D2DCE5"/>
            </w:tcBorders>
            <w:shd w:val="clear" w:color="auto" w:fill="D2DCE5"/>
          </w:tcPr>
          <w:p>
            <w:pPr>
              <w:spacing w:after="0"/>
              <w:rPr>
                <w:sz w:val="21"/>
                <w:szCs w:val="21"/>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575,240</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517,074</w:t>
            </w:r>
          </w:p>
        </w:tc>
      </w:tr>
      <w:tr>
        <w:trPr>
          <w:trHeight w:val="247"/>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Accumulated other comprehensive income</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6098"/>
              </w:rPr>
              <w:t>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628</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Retained earnings</w:t>
            </w:r>
          </w:p>
        </w:tc>
        <w:tc>
          <w:tcPr>
            <w:tcW w:w="360" w:type="dxa"/>
            <w:vAlign w:val="bottom"/>
            <w:tcBorders>
              <w:bottom w:val="single" w:sz="8" w:color="D2DCE5"/>
            </w:tcBorders>
            <w:shd w:val="clear" w:color="auto" w:fill="D2DCE5"/>
          </w:tcPr>
          <w:p>
            <w:pPr>
              <w:spacing w:after="0"/>
              <w:rPr>
                <w:sz w:val="23"/>
                <w:szCs w:val="23"/>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60,643</w:t>
            </w:r>
          </w:p>
        </w:tc>
        <w:tc>
          <w:tcPr>
            <w:tcW w:w="100" w:type="dxa"/>
            <w:vAlign w:val="bottom"/>
            <w:tcBorders>
              <w:bottom w:val="single" w:sz="8" w:color="D2DCE5"/>
            </w:tcBorders>
            <w:shd w:val="clear" w:color="auto" w:fill="D2DCE5"/>
          </w:tcPr>
          <w:p>
            <w:pPr>
              <w:spacing w:after="0"/>
              <w:rPr>
                <w:sz w:val="23"/>
                <w:szCs w:val="23"/>
                <w:color w:val="auto"/>
              </w:rPr>
            </w:pPr>
          </w:p>
        </w:tc>
        <w:tc>
          <w:tcPr>
            <w:tcW w:w="240" w:type="dxa"/>
            <w:vAlign w:val="bottom"/>
            <w:tcBorders>
              <w:bottom w:val="single" w:sz="8" w:color="D2DCE5"/>
            </w:tcBorders>
            <w:shd w:val="clear" w:color="auto" w:fill="D2DCE5"/>
          </w:tcPr>
          <w:p>
            <w:pPr>
              <w:spacing w:after="0"/>
              <w:rPr>
                <w:sz w:val="23"/>
                <w:szCs w:val="23"/>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19,666</w:t>
            </w:r>
          </w:p>
        </w:tc>
      </w:tr>
      <w:tr>
        <w:trPr>
          <w:trHeight w:val="241"/>
        </w:trPr>
        <w:tc>
          <w:tcPr>
            <w:tcW w:w="7260" w:type="dxa"/>
            <w:vAlign w:val="bottom"/>
            <w:gridSpan w:val="2"/>
          </w:tcPr>
          <w:p>
            <w:pPr>
              <w:ind w:left="360"/>
              <w:spacing w:after="0"/>
              <w:rPr>
                <w:sz w:val="20"/>
                <w:szCs w:val="20"/>
                <w:color w:val="auto"/>
              </w:rPr>
            </w:pPr>
            <w:r>
              <w:rPr>
                <w:rFonts w:ascii="Arial" w:cs="Arial" w:eastAsia="Arial" w:hAnsi="Arial"/>
                <w:sz w:val="18"/>
                <w:szCs w:val="18"/>
                <w:color w:val="131E29"/>
              </w:rPr>
              <w:t>Total stockholders' equity attributable to Dutch Bros Inc.</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636,168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537,369</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Non-controlling interests</w:t>
            </w:r>
          </w:p>
        </w:tc>
        <w:tc>
          <w:tcPr>
            <w:tcW w:w="360" w:type="dxa"/>
            <w:vAlign w:val="bottom"/>
            <w:tcBorders>
              <w:bottom w:val="single" w:sz="8" w:color="D2DCE5"/>
            </w:tcBorders>
            <w:shd w:val="clear" w:color="auto" w:fill="D2DCE5"/>
          </w:tcPr>
          <w:p>
            <w:pPr>
              <w:spacing w:after="0"/>
              <w:rPr>
                <w:sz w:val="23"/>
                <w:szCs w:val="23"/>
                <w:color w:val="auto"/>
              </w:rPr>
            </w:pPr>
          </w:p>
        </w:tc>
        <w:tc>
          <w:tcPr>
            <w:tcW w:w="1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197,761</w:t>
            </w:r>
          </w:p>
        </w:tc>
        <w:tc>
          <w:tcPr>
            <w:tcW w:w="100" w:type="dxa"/>
            <w:vAlign w:val="bottom"/>
            <w:tcBorders>
              <w:bottom w:val="single" w:sz="8" w:color="D2DCE5"/>
            </w:tcBorders>
            <w:shd w:val="clear" w:color="auto" w:fill="D2DCE5"/>
          </w:tcPr>
          <w:p>
            <w:pPr>
              <w:spacing w:after="0"/>
              <w:rPr>
                <w:sz w:val="23"/>
                <w:szCs w:val="23"/>
                <w:color w:val="auto"/>
              </w:rPr>
            </w:pPr>
          </w:p>
        </w:tc>
        <w:tc>
          <w:tcPr>
            <w:tcW w:w="240" w:type="dxa"/>
            <w:vAlign w:val="bottom"/>
            <w:tcBorders>
              <w:bottom w:val="single" w:sz="8" w:color="D2DCE5"/>
            </w:tcBorders>
            <w:shd w:val="clear" w:color="auto" w:fill="D2DCE5"/>
          </w:tcPr>
          <w:p>
            <w:pPr>
              <w:spacing w:after="0"/>
              <w:rPr>
                <w:sz w:val="23"/>
                <w:szCs w:val="23"/>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226,496</w:t>
            </w:r>
          </w:p>
        </w:tc>
      </w:tr>
      <w:tr>
        <w:trPr>
          <w:trHeight w:val="241"/>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Total equity</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833,929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763,865</w:t>
            </w:r>
          </w:p>
        </w:tc>
      </w:tr>
      <w:tr>
        <w:trPr>
          <w:trHeight w:val="23"/>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726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b w:val="1"/>
                <w:bCs w:val="1"/>
                <w:color w:val="131E29"/>
              </w:rPr>
              <w:t>Total liabilities and equity</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2,812,247</w:t>
            </w:r>
          </w:p>
        </w:tc>
        <w:tc>
          <w:tcPr>
            <w:tcW w:w="100" w:type="dxa"/>
            <w:vAlign w:val="bottom"/>
            <w:tcBorders>
              <w:bottom w:val="single" w:sz="8" w:color="D2DCE5"/>
            </w:tcBorders>
            <w:shd w:val="clear" w:color="auto" w:fill="D2DCE5"/>
          </w:tcPr>
          <w:p>
            <w:pPr>
              <w:spacing w:after="0"/>
              <w:rPr>
                <w:sz w:val="24"/>
                <w:szCs w:val="24"/>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b w:val="1"/>
                <w:bCs w:val="1"/>
                <w:color w:val="131E29"/>
                <w:w w:val="99"/>
              </w:rPr>
              <w:t>$</w:t>
            </w:r>
          </w:p>
        </w:tc>
        <w:tc>
          <w:tcPr>
            <w:tcW w:w="1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2,501,085</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5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70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Operations</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20"/>
              <w:spacing w:after="0"/>
              <w:rPr>
                <w:sz w:val="20"/>
                <w:szCs w:val="20"/>
                <w:color w:val="auto"/>
              </w:rPr>
            </w:pPr>
            <w:r>
              <w:rPr>
                <w:rFonts w:ascii="Arial" w:cs="Arial" w:eastAsia="Arial" w:hAnsi="Arial"/>
                <w:sz w:val="18"/>
                <w:szCs w:val="18"/>
                <w:b w:val="1"/>
                <w:bCs w:val="1"/>
                <w:color w:val="131E29"/>
              </w:rPr>
              <w:t>Three Months Ended June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5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1460" w:type="dxa"/>
            <w:vAlign w:val="bottom"/>
            <w:tcBorders>
              <w:bottom w:val="single" w:sz="8" w:color="D7282F"/>
            </w:tcBorders>
            <w:gridSpan w:val="3"/>
          </w:tcPr>
          <w:p>
            <w:pPr>
              <w:jc w:val="right"/>
              <w:ind w:right="90"/>
              <w:spacing w:after="0"/>
              <w:rPr>
                <w:sz w:val="20"/>
                <w:szCs w:val="20"/>
                <w:color w:val="auto"/>
              </w:rPr>
            </w:pPr>
            <w:r>
              <w:rPr>
                <w:rFonts w:ascii="Arial" w:cs="Arial" w:eastAsia="Arial" w:hAnsi="Arial"/>
                <w:sz w:val="18"/>
                <w:szCs w:val="18"/>
                <w:b w:val="1"/>
                <w:bCs w:val="1"/>
                <w:color w:val="131E29"/>
              </w:rPr>
              <w:t>30,</w:t>
            </w:r>
          </w:p>
        </w:tc>
        <w:tc>
          <w:tcPr>
            <w:tcW w:w="96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tcBorders>
              <w:bottom w:val="single" w:sz="8" w:color="D7282F"/>
            </w:tcBorders>
            <w:gridSpan w:val="5"/>
          </w:tcPr>
          <w:p>
            <w:pPr>
              <w:jc w:val="right"/>
              <w:ind w:right="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110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4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Revenues</w:t>
            </w:r>
          </w:p>
        </w:tc>
        <w:tc>
          <w:tcPr>
            <w:tcW w:w="120" w:type="dxa"/>
            <w:vAlign w:val="bottom"/>
            <w:shd w:val="clear" w:color="auto" w:fill="D2DCE5"/>
          </w:tcPr>
          <w:p>
            <w:pPr>
              <w:spacing w:after="0"/>
              <w:rPr>
                <w:sz w:val="23"/>
                <w:szCs w:val="23"/>
                <w:color w:val="auto"/>
              </w:rPr>
            </w:pPr>
          </w:p>
        </w:tc>
        <w:tc>
          <w:tcPr>
            <w:tcW w:w="1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r>
      <w:tr>
        <w:trPr>
          <w:trHeight w:val="270"/>
        </w:trPr>
        <w:tc>
          <w:tcPr>
            <w:tcW w:w="542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12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006098"/>
              </w:rPr>
              <w:t>380,500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295,268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006098"/>
                <w:w w:val="99"/>
              </w:rPr>
              <w:t>$</w:t>
            </w:r>
          </w:p>
        </w:tc>
        <w:tc>
          <w:tcPr>
            <w:tcW w:w="960" w:type="dxa"/>
            <w:vAlign w:val="bottom"/>
          </w:tcPr>
          <w:p>
            <w:pPr>
              <w:jc w:val="right"/>
              <w:spacing w:after="0"/>
              <w:rPr>
                <w:sz w:val="20"/>
                <w:szCs w:val="20"/>
                <w:color w:val="auto"/>
              </w:rPr>
            </w:pPr>
            <w:r>
              <w:rPr>
                <w:rFonts w:ascii="Arial" w:cs="Arial" w:eastAsia="Arial" w:hAnsi="Arial"/>
                <w:sz w:val="18"/>
                <w:szCs w:val="18"/>
                <w:color w:val="006098"/>
              </w:rPr>
              <w:t>706,921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543,353</w:t>
            </w:r>
          </w:p>
        </w:tc>
      </w:tr>
      <w:tr>
        <w:trPr>
          <w:trHeight w:val="270"/>
        </w:trPr>
        <w:tc>
          <w:tcPr>
            <w:tcW w:w="54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120" w:type="dxa"/>
            <w:vAlign w:val="bottom"/>
            <w:tcBorders>
              <w:bottom w:val="single" w:sz="8" w:color="auto"/>
            </w:tcBorders>
            <w:shd w:val="clear" w:color="auto" w:fill="D2DCE5"/>
          </w:tcPr>
          <w:p>
            <w:pPr>
              <w:spacing w:after="0"/>
              <w:rPr>
                <w:sz w:val="23"/>
                <w:szCs w:val="23"/>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35,313</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29,650</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64,044</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56,664</w:t>
            </w:r>
          </w:p>
        </w:tc>
      </w:tr>
      <w:tr>
        <w:trPr>
          <w:trHeight w:val="263"/>
        </w:trPr>
        <w:tc>
          <w:tcPr>
            <w:tcW w:w="5420" w:type="dxa"/>
            <w:vAlign w:val="bottom"/>
            <w:tcBorders>
              <w:bottom w:val="single" w:sz="8" w:color="D2DCE5"/>
            </w:tcBorders>
            <w:gridSpan w:val="2"/>
          </w:tcPr>
          <w:p>
            <w:pPr>
              <w:ind w:left="340"/>
              <w:spacing w:after="0"/>
              <w:rPr>
                <w:sz w:val="20"/>
                <w:szCs w:val="20"/>
                <w:color w:val="auto"/>
              </w:rPr>
            </w:pPr>
            <w:r>
              <w:rPr>
                <w:rFonts w:ascii="Arial" w:cs="Arial" w:eastAsia="Arial" w:hAnsi="Arial"/>
                <w:sz w:val="18"/>
                <w:szCs w:val="18"/>
                <w:color w:val="131E29"/>
              </w:rPr>
              <w:t>Total revenues</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415,813</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324,918</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770,965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600,017</w:t>
            </w:r>
          </w:p>
        </w:tc>
      </w:tr>
      <w:tr>
        <w:trPr>
          <w:trHeight w:val="250"/>
        </w:trPr>
        <w:tc>
          <w:tcPr>
            <w:tcW w:w="53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r>
      <w:tr>
        <w:trPr>
          <w:trHeight w:val="263"/>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Costs and Expenses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54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120" w:type="dxa"/>
            <w:vAlign w:val="bottom"/>
            <w:shd w:val="clear" w:color="auto" w:fill="D2DCE5"/>
          </w:tcPr>
          <w:p>
            <w:pPr>
              <w:spacing w:after="0"/>
              <w:rPr>
                <w:sz w:val="24"/>
                <w:szCs w:val="24"/>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295,769</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spacing w:after="0"/>
              <w:rPr>
                <w:sz w:val="24"/>
                <w:szCs w:val="24"/>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234,637</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spacing w:after="0"/>
              <w:rPr>
                <w:sz w:val="24"/>
                <w:szCs w:val="24"/>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560,928</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spacing w:after="0"/>
              <w:rPr>
                <w:sz w:val="24"/>
                <w:szCs w:val="24"/>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437,887</w:t>
            </w:r>
          </w:p>
        </w:tc>
      </w:tr>
      <w:tr>
        <w:trPr>
          <w:trHeight w:val="270"/>
        </w:trPr>
        <w:tc>
          <w:tcPr>
            <w:tcW w:w="5420" w:type="dxa"/>
            <w:vAlign w:val="bottom"/>
            <w:tcBorders>
              <w:bottom w:val="single" w:sz="8" w:color="D2DCE5"/>
            </w:tcBorders>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65,385</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58,097</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124,306</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104,330</w:t>
            </w:r>
          </w:p>
        </w:tc>
      </w:tr>
      <w:tr>
        <w:trPr>
          <w:trHeight w:val="263"/>
        </w:trPr>
        <w:tc>
          <w:tcPr>
            <w:tcW w:w="5420" w:type="dxa"/>
            <w:vAlign w:val="bottom"/>
            <w:gridSpan w:val="2"/>
            <w:shd w:val="clear" w:color="auto" w:fill="D2DCE5"/>
          </w:tcPr>
          <w:p>
            <w:pPr>
              <w:ind w:left="340"/>
              <w:spacing w:after="0"/>
              <w:rPr>
                <w:sz w:val="20"/>
                <w:szCs w:val="20"/>
                <w:color w:val="auto"/>
              </w:rPr>
            </w:pPr>
            <w:r>
              <w:rPr>
                <w:rFonts w:ascii="Arial" w:cs="Arial" w:eastAsia="Arial" w:hAnsi="Arial"/>
                <w:sz w:val="18"/>
                <w:szCs w:val="18"/>
                <w:color w:val="131E29"/>
              </w:rPr>
              <w:t>Total costs and expenses</w:t>
            </w:r>
          </w:p>
        </w:tc>
        <w:tc>
          <w:tcPr>
            <w:tcW w:w="120" w:type="dxa"/>
            <w:vAlign w:val="bottom"/>
            <w:tcBorders>
              <w:bottom w:val="single" w:sz="8" w:color="auto"/>
            </w:tcBorders>
            <w:shd w:val="clear" w:color="auto" w:fill="D2DCE5"/>
          </w:tcPr>
          <w:p>
            <w:pPr>
              <w:spacing w:after="0"/>
              <w:rPr>
                <w:sz w:val="22"/>
                <w:szCs w:val="22"/>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361,154</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292,734</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685,234</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542,217</w:t>
            </w:r>
          </w:p>
        </w:tc>
      </w:tr>
      <w:tr>
        <w:trPr>
          <w:trHeight w:val="250"/>
        </w:trPr>
        <w:tc>
          <w:tcPr>
            <w:tcW w:w="5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4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from operations</w:t>
            </w:r>
          </w:p>
        </w:tc>
        <w:tc>
          <w:tcPr>
            <w:tcW w:w="12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54,659</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32,184</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85,731</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57,800</w:t>
            </w:r>
          </w:p>
        </w:tc>
      </w:tr>
      <w:tr>
        <w:trPr>
          <w:trHeight w:val="270"/>
        </w:trPr>
        <w:tc>
          <w:tcPr>
            <w:tcW w:w="5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4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Other expense</w:t>
            </w:r>
          </w:p>
        </w:tc>
        <w:tc>
          <w:tcPr>
            <w:tcW w:w="120" w:type="dxa"/>
            <w:vAlign w:val="bottom"/>
            <w:shd w:val="clear" w:color="auto" w:fill="D2DCE5"/>
          </w:tcPr>
          <w:p>
            <w:pPr>
              <w:spacing w:after="0"/>
              <w:rPr>
                <w:sz w:val="23"/>
                <w:szCs w:val="23"/>
                <w:color w:val="auto"/>
              </w:rPr>
            </w:pPr>
          </w:p>
        </w:tc>
        <w:tc>
          <w:tcPr>
            <w:tcW w:w="1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r>
      <w:tr>
        <w:trPr>
          <w:trHeight w:val="270"/>
        </w:trPr>
        <w:tc>
          <w:tcPr>
            <w:tcW w:w="542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(7,076)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(6,997)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(14,191)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(13,390)</w:t>
            </w:r>
          </w:p>
        </w:tc>
      </w:tr>
      <w:tr>
        <w:trPr>
          <w:trHeight w:val="270"/>
        </w:trPr>
        <w:tc>
          <w:tcPr>
            <w:tcW w:w="54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 (expense), net</w:t>
            </w:r>
          </w:p>
        </w:tc>
        <w:tc>
          <w:tcPr>
            <w:tcW w:w="120" w:type="dxa"/>
            <w:vAlign w:val="bottom"/>
            <w:tcBorders>
              <w:bottom w:val="single" w:sz="8" w:color="auto"/>
            </w:tcBorders>
            <w:shd w:val="clear" w:color="auto" w:fill="D2DCE5"/>
          </w:tcPr>
          <w:p>
            <w:pPr>
              <w:spacing w:after="0"/>
              <w:rPr>
                <w:sz w:val="23"/>
                <w:szCs w:val="23"/>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(1,983)</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829</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(2,001)</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6,593</w:t>
            </w:r>
          </w:p>
        </w:tc>
      </w:tr>
      <w:tr>
        <w:trPr>
          <w:trHeight w:val="263"/>
        </w:trPr>
        <w:tc>
          <w:tcPr>
            <w:tcW w:w="5420" w:type="dxa"/>
            <w:vAlign w:val="bottom"/>
            <w:tcBorders>
              <w:bottom w:val="single" w:sz="8" w:color="D2DCE5"/>
            </w:tcBorders>
            <w:gridSpan w:val="2"/>
          </w:tcPr>
          <w:p>
            <w:pPr>
              <w:ind w:left="340"/>
              <w:spacing w:after="0"/>
              <w:rPr>
                <w:sz w:val="20"/>
                <w:szCs w:val="20"/>
                <w:color w:val="auto"/>
              </w:rPr>
            </w:pPr>
            <w:r>
              <w:rPr>
                <w:rFonts w:ascii="Arial" w:cs="Arial" w:eastAsia="Arial" w:hAnsi="Arial"/>
                <w:sz w:val="18"/>
                <w:szCs w:val="18"/>
                <w:color w:val="131E29"/>
              </w:rPr>
              <w:t>Total other expense</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(9,059)</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(6,168)</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(16,192)</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(6,797)</w:t>
            </w:r>
          </w:p>
        </w:tc>
      </w:tr>
      <w:tr>
        <w:trPr>
          <w:trHeight w:val="250"/>
        </w:trPr>
        <w:tc>
          <w:tcPr>
            <w:tcW w:w="53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2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131E29"/>
              </w:rPr>
              <w:t>Income before income taxes</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45,600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26,016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69,539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51,003</w:t>
            </w:r>
          </w:p>
        </w:tc>
      </w:tr>
      <w:tr>
        <w:trPr>
          <w:trHeight w:val="270"/>
        </w:trPr>
        <w:tc>
          <w:tcPr>
            <w:tcW w:w="54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120" w:type="dxa"/>
            <w:vAlign w:val="bottom"/>
            <w:tcBorders>
              <w:bottom w:val="single" w:sz="8" w:color="auto"/>
            </w:tcBorders>
            <w:shd w:val="clear" w:color="auto" w:fill="D2DCE5"/>
          </w:tcPr>
          <w:p>
            <w:pPr>
              <w:spacing w:after="0"/>
              <w:rPr>
                <w:sz w:val="23"/>
                <w:szCs w:val="23"/>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7,243</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3,860</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8,702</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12,632</w:t>
            </w:r>
          </w:p>
        </w:tc>
      </w:tr>
      <w:tr>
        <w:trPr>
          <w:trHeight w:val="263"/>
        </w:trPr>
        <w:tc>
          <w:tcPr>
            <w:tcW w:w="542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12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006098"/>
              </w:rPr>
              <w:t>38,357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22,156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006098"/>
                <w:w w:val="99"/>
              </w:rPr>
              <w:t>$</w:t>
            </w:r>
          </w:p>
        </w:tc>
        <w:tc>
          <w:tcPr>
            <w:tcW w:w="960" w:type="dxa"/>
            <w:vAlign w:val="bottom"/>
          </w:tcPr>
          <w:p>
            <w:pPr>
              <w:jc w:val="right"/>
              <w:spacing w:after="0"/>
              <w:rPr>
                <w:sz w:val="20"/>
                <w:szCs w:val="20"/>
                <w:color w:val="auto"/>
              </w:rPr>
            </w:pPr>
            <w:r>
              <w:rPr>
                <w:rFonts w:ascii="Arial" w:cs="Arial" w:eastAsia="Arial" w:hAnsi="Arial"/>
                <w:sz w:val="18"/>
                <w:szCs w:val="18"/>
                <w:color w:val="006098"/>
              </w:rPr>
              <w:t>60,837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38,371</w:t>
            </w:r>
          </w:p>
        </w:tc>
      </w:tr>
      <w:tr>
        <w:trPr>
          <w:trHeight w:val="270"/>
        </w:trPr>
        <w:tc>
          <w:tcPr>
            <w:tcW w:w="54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attributable to non-controlling interests</w:t>
            </w:r>
          </w:p>
        </w:tc>
        <w:tc>
          <w:tcPr>
            <w:tcW w:w="120" w:type="dxa"/>
            <w:vAlign w:val="bottom"/>
            <w:tcBorders>
              <w:bottom w:val="single" w:sz="8" w:color="auto"/>
            </w:tcBorders>
            <w:shd w:val="clear" w:color="auto" w:fill="D2DCE5"/>
          </w:tcPr>
          <w:p>
            <w:pPr>
              <w:spacing w:after="0"/>
              <w:rPr>
                <w:sz w:val="23"/>
                <w:szCs w:val="23"/>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12,733</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10,216</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19,860</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19,369</w:t>
            </w:r>
          </w:p>
        </w:tc>
      </w:tr>
      <w:tr>
        <w:trPr>
          <w:trHeight w:val="264"/>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25,624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11,940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40,977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19,002</w:t>
            </w:r>
          </w:p>
        </w:tc>
      </w:tr>
      <w:tr>
        <w:trPr>
          <w:trHeight w:val="20"/>
        </w:trPr>
        <w:tc>
          <w:tcPr>
            <w:tcW w:w="532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54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per share of Class A and Class D common stock:</w:t>
            </w:r>
          </w:p>
        </w:tc>
        <w:tc>
          <w:tcPr>
            <w:tcW w:w="120" w:type="dxa"/>
            <w:vAlign w:val="bottom"/>
            <w:tcBorders>
              <w:bottom w:val="single" w:sz="8" w:color="D2DCE5"/>
            </w:tcBorders>
            <w:shd w:val="clear" w:color="auto" w:fill="D2DCE5"/>
          </w:tcPr>
          <w:p>
            <w:pPr>
              <w:spacing w:after="0"/>
              <w:rPr>
                <w:sz w:val="18"/>
                <w:szCs w:val="18"/>
                <w:color w:val="auto"/>
              </w:rPr>
            </w:pPr>
          </w:p>
        </w:tc>
        <w:tc>
          <w:tcPr>
            <w:tcW w:w="110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96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96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960" w:type="dxa"/>
            <w:vAlign w:val="bottom"/>
            <w:tcBorders>
              <w:bottom w:val="single" w:sz="8" w:color="D2DCE5"/>
            </w:tcBorders>
            <w:shd w:val="clear" w:color="auto" w:fill="D2DCE5"/>
          </w:tcPr>
          <w:p>
            <w:pPr>
              <w:spacing w:after="0"/>
              <w:rPr>
                <w:sz w:val="18"/>
                <w:szCs w:val="18"/>
                <w:color w:val="auto"/>
              </w:rPr>
            </w:pPr>
          </w:p>
        </w:tc>
      </w:tr>
      <w:tr>
        <w:trPr>
          <w:trHeight w:val="263"/>
        </w:trPr>
        <w:tc>
          <w:tcPr>
            <w:tcW w:w="5420" w:type="dxa"/>
            <w:vAlign w:val="bottom"/>
            <w:gridSpan w:val="2"/>
          </w:tcPr>
          <w:p>
            <w:pPr>
              <w:ind w:left="180"/>
              <w:spacing w:after="0"/>
              <w:rPr>
                <w:sz w:val="20"/>
                <w:szCs w:val="20"/>
                <w:color w:val="auto"/>
              </w:rPr>
            </w:pPr>
            <w:r>
              <w:rPr>
                <w:rFonts w:ascii="Arial" w:cs="Arial" w:eastAsia="Arial" w:hAnsi="Arial"/>
                <w:sz w:val="18"/>
                <w:szCs w:val="18"/>
                <w:b w:val="1"/>
                <w:bCs w:val="1"/>
                <w:color w:val="131E29"/>
              </w:rPr>
              <w:t>Basic</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006098"/>
              </w:rPr>
              <w:t>0.20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131E29"/>
              </w:rPr>
              <w:t>0.12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006098"/>
              </w:rPr>
              <w:t>0.33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131E29"/>
              </w:rPr>
              <w:t>0.21</w:t>
            </w:r>
          </w:p>
        </w:tc>
      </w:tr>
      <w:tr>
        <w:trPr>
          <w:trHeight w:val="278"/>
        </w:trPr>
        <w:tc>
          <w:tcPr>
            <w:tcW w:w="5420" w:type="dxa"/>
            <w:vAlign w:val="bottom"/>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Diluted</w:t>
            </w:r>
          </w:p>
        </w:tc>
        <w:tc>
          <w:tcPr>
            <w:tcW w:w="1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0.20</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0.12</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0.33</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0.20</w:t>
            </w:r>
          </w:p>
        </w:tc>
      </w:tr>
      <w:tr>
        <w:trPr>
          <w:trHeight w:val="224"/>
        </w:trPr>
        <w:tc>
          <w:tcPr>
            <w:tcW w:w="5420" w:type="dxa"/>
            <w:vAlign w:val="bottom"/>
            <w:gridSpan w:val="2"/>
          </w:tcPr>
          <w:p>
            <w:pPr>
              <w:ind w:left="20"/>
              <w:spacing w:after="0"/>
              <w:rPr>
                <w:sz w:val="20"/>
                <w:szCs w:val="20"/>
                <w:color w:val="auto"/>
              </w:rPr>
            </w:pPr>
            <w:r>
              <w:rPr>
                <w:rFonts w:ascii="Arial" w:cs="Arial" w:eastAsia="Arial" w:hAnsi="Arial"/>
                <w:sz w:val="18"/>
                <w:szCs w:val="18"/>
                <w:color w:val="131E29"/>
              </w:rPr>
              <w:t>Weighted-average shares of Class A and Class D common stock</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9"/>
        </w:trPr>
        <w:tc>
          <w:tcPr>
            <w:tcW w:w="5420" w:type="dxa"/>
            <w:vAlign w:val="bottom"/>
            <w:gridSpan w:val="2"/>
          </w:tcPr>
          <w:p>
            <w:pPr>
              <w:ind w:left="20"/>
              <w:spacing w:after="0"/>
              <w:rPr>
                <w:sz w:val="20"/>
                <w:szCs w:val="20"/>
                <w:color w:val="auto"/>
              </w:rPr>
            </w:pPr>
            <w:r>
              <w:rPr>
                <w:rFonts w:ascii="Arial" w:cs="Arial" w:eastAsia="Arial" w:hAnsi="Arial"/>
                <w:sz w:val="18"/>
                <w:szCs w:val="18"/>
                <w:color w:val="131E29"/>
              </w:rPr>
              <w:t>outstanding:</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4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Basic</w:t>
            </w:r>
          </w:p>
        </w:tc>
        <w:tc>
          <w:tcPr>
            <w:tcW w:w="12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126,390</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101,965</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123,615</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92,647</w:t>
            </w:r>
          </w:p>
        </w:tc>
      </w:tr>
      <w:tr>
        <w:trPr>
          <w:trHeight w:val="274"/>
        </w:trPr>
        <w:tc>
          <w:tcPr>
            <w:tcW w:w="5420" w:type="dxa"/>
            <w:vAlign w:val="bottom"/>
            <w:gridSpan w:val="2"/>
          </w:tcPr>
          <w:p>
            <w:pPr>
              <w:ind w:left="180"/>
              <w:spacing w:after="0"/>
              <w:rPr>
                <w:sz w:val="20"/>
                <w:szCs w:val="20"/>
                <w:color w:val="auto"/>
              </w:rPr>
            </w:pPr>
            <w:r>
              <w:rPr>
                <w:rFonts w:ascii="Arial" w:cs="Arial" w:eastAsia="Arial" w:hAnsi="Arial"/>
                <w:sz w:val="18"/>
                <w:szCs w:val="18"/>
                <w:color w:val="131E29"/>
              </w:rPr>
              <w:t>Diluted</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126,830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102,356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124,178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93,049</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b w:val="1"/>
                <w:bCs w:val="1"/>
                <w:color w:val="131E29"/>
              </w:rPr>
              <w:t>Three Months Ended June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5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460" w:type="dxa"/>
            <w:vAlign w:val="bottom"/>
            <w:tcBorders>
              <w:bottom w:val="single" w:sz="8" w:color="D7282F"/>
            </w:tcBorders>
            <w:gridSpan w:val="3"/>
          </w:tcPr>
          <w:p>
            <w:pPr>
              <w:jc w:val="right"/>
              <w:ind w:right="110"/>
              <w:spacing w:after="0"/>
              <w:rPr>
                <w:sz w:val="20"/>
                <w:szCs w:val="20"/>
                <w:color w:val="auto"/>
              </w:rPr>
            </w:pPr>
            <w:r>
              <w:rPr>
                <w:rFonts w:ascii="Arial" w:cs="Arial" w:eastAsia="Arial" w:hAnsi="Arial"/>
                <w:sz w:val="18"/>
                <w:szCs w:val="18"/>
                <w:b w:val="1"/>
                <w:bCs w:val="1"/>
                <w:color w:val="131E29"/>
              </w:rPr>
              <w:t>30,</w:t>
            </w:r>
          </w:p>
        </w:tc>
        <w:tc>
          <w:tcPr>
            <w:tcW w:w="94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tcBorders>
              <w:bottom w:val="single" w:sz="8" w:color="D7282F"/>
            </w:tcBorders>
            <w:gridSpan w:val="5"/>
          </w:tcPr>
          <w:p>
            <w:pPr>
              <w:jc w:val="right"/>
              <w:ind w:right="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10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4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2024</w:t>
            </w:r>
          </w:p>
        </w:tc>
      </w:tr>
      <w:tr>
        <w:trPr>
          <w:trHeight w:val="270"/>
        </w:trPr>
        <w:tc>
          <w:tcPr>
            <w:tcW w:w="60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Net income</w:t>
            </w: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38,357</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22,156</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60,837</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38,371</w:t>
            </w:r>
          </w:p>
        </w:tc>
      </w:tr>
      <w:tr>
        <w:trPr>
          <w:trHeight w:val="247"/>
        </w:trPr>
        <w:tc>
          <w:tcPr>
            <w:tcW w:w="606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 (loss):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60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Unrealized gain (loss) on derivative securities, effective portion, net of</w:t>
            </w:r>
          </w:p>
        </w:tc>
        <w:tc>
          <w:tcPr>
            <w:tcW w:w="140" w:type="dxa"/>
            <w:vAlign w:val="bottom"/>
            <w:shd w:val="clear" w:color="auto" w:fill="D2DCE5"/>
          </w:tcPr>
          <w:p>
            <w:pPr>
              <w:spacing w:after="0"/>
              <w:rPr>
                <w:sz w:val="19"/>
                <w:szCs w:val="19"/>
                <w:color w:val="auto"/>
              </w:rPr>
            </w:pPr>
          </w:p>
        </w:tc>
        <w:tc>
          <w:tcPr>
            <w:tcW w:w="1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r>
      <w:tr>
        <w:trPr>
          <w:trHeight w:val="262"/>
        </w:trPr>
        <w:tc>
          <w:tcPr>
            <w:tcW w:w="60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 (benefit) of $(54), $(15), $(147) and $64, respectively</w:t>
            </w:r>
          </w:p>
        </w:tc>
        <w:tc>
          <w:tcPr>
            <w:tcW w:w="140" w:type="dxa"/>
            <w:vAlign w:val="bottom"/>
            <w:tcBorders>
              <w:bottom w:val="single" w:sz="8" w:color="auto"/>
            </w:tcBorders>
            <w:shd w:val="clear" w:color="auto" w:fill="D2DCE5"/>
          </w:tcPr>
          <w:p>
            <w:pPr>
              <w:spacing w:after="0"/>
              <w:rPr>
                <w:sz w:val="22"/>
                <w:szCs w:val="22"/>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(241)</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113</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(590)</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787</w:t>
            </w:r>
          </w:p>
        </w:tc>
      </w:tr>
      <w:tr>
        <w:trPr>
          <w:trHeight w:val="263"/>
        </w:trPr>
        <w:tc>
          <w:tcPr>
            <w:tcW w:w="6060" w:type="dxa"/>
            <w:vAlign w:val="bottom"/>
            <w:gridSpan w:val="2"/>
          </w:tcPr>
          <w:p>
            <w:pPr>
              <w:ind w:left="20"/>
              <w:spacing w:after="0"/>
              <w:rPr>
                <w:sz w:val="20"/>
                <w:szCs w:val="20"/>
                <w:color w:val="auto"/>
              </w:rPr>
            </w:pPr>
            <w:r>
              <w:rPr>
                <w:rFonts w:ascii="Arial" w:cs="Arial" w:eastAsia="Arial" w:hAnsi="Arial"/>
                <w:sz w:val="18"/>
                <w:szCs w:val="18"/>
                <w:color w:val="131E29"/>
              </w:rPr>
              <w:t>Comprehensive income</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38,116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22,269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60,247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39,158</w:t>
            </w:r>
          </w:p>
        </w:tc>
      </w:tr>
      <w:tr>
        <w:trPr>
          <w:trHeight w:val="270"/>
        </w:trPr>
        <w:tc>
          <w:tcPr>
            <w:tcW w:w="60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comprehensive income attributable to non-controlling interests</w:t>
            </w:r>
          </w:p>
        </w:tc>
        <w:tc>
          <w:tcPr>
            <w:tcW w:w="140" w:type="dxa"/>
            <w:vAlign w:val="bottom"/>
            <w:tcBorders>
              <w:bottom w:val="single" w:sz="8" w:color="auto"/>
            </w:tcBorders>
            <w:shd w:val="clear" w:color="auto" w:fill="D2DCE5"/>
          </w:tcPr>
          <w:p>
            <w:pPr>
              <w:spacing w:after="0"/>
              <w:rPr>
                <w:sz w:val="23"/>
                <w:szCs w:val="23"/>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12,646</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10,182</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19,614</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19,628</w:t>
            </w:r>
          </w:p>
        </w:tc>
      </w:tr>
      <w:tr>
        <w:trPr>
          <w:trHeight w:val="263"/>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Comprehensive income attributable to Dutch Bros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25,470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12,087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40,633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19,530</w:t>
            </w:r>
          </w:p>
        </w:tc>
      </w:tr>
      <w:tr>
        <w:trPr>
          <w:trHeight w:val="21"/>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6703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2780" w:type="dxa"/>
            <w:vAlign w:val="bottom"/>
            <w:tcBorders>
              <w:bottom w:val="single" w:sz="8" w:color="D7282F"/>
            </w:tcBorders>
            <w:gridSpan w:val="10"/>
          </w:tcPr>
          <w:p>
            <w:pPr>
              <w:ind w:left="8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131E29"/>
              </w:rPr>
              <w:t>Accumulated</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131E29"/>
              </w:rPr>
              <w:t>Other</w:t>
            </w:r>
          </w:p>
        </w:tc>
        <w:tc>
          <w:tcPr>
            <w:tcW w:w="100" w:type="dxa"/>
            <w:vAlign w:val="bottom"/>
          </w:tcPr>
          <w:p>
            <w:pPr>
              <w:spacing w:after="0"/>
              <w:rPr>
                <w:sz w:val="15"/>
                <w:szCs w:val="15"/>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color w:val="131E29"/>
              </w:rPr>
              <w:t>Retained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131E29"/>
              </w:rPr>
              <w:t>Comprehensive</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96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680" w:type="dxa"/>
            <w:vAlign w:val="bottom"/>
            <w:tcBorders>
              <w:bottom w:val="single" w:sz="8" w:color="D7282F"/>
            </w:tcBorders>
          </w:tcPr>
          <w:p>
            <w:pPr>
              <w:spacing w:after="0"/>
              <w:rPr>
                <w:sz w:val="20"/>
                <w:szCs w:val="20"/>
                <w:color w:val="auto"/>
              </w:rPr>
            </w:pPr>
            <w:r>
              <w:rPr>
                <w:rFonts w:ascii="Arial" w:cs="Arial" w:eastAsia="Arial" w:hAnsi="Arial"/>
                <w:sz w:val="14"/>
                <w:szCs w:val="14"/>
                <w:color w:val="131E29"/>
              </w:rPr>
              <w:t>Earnings</w:t>
            </w:r>
          </w:p>
        </w:tc>
        <w:tc>
          <w:tcPr>
            <w:tcW w:w="100" w:type="dxa"/>
            <w:vAlign w:val="bottom"/>
            <w:tcBorders>
              <w:bottom w:val="single" w:sz="8" w:color="D2DCE5"/>
            </w:tcBorders>
          </w:tcPr>
          <w:p>
            <w:pPr>
              <w:spacing w:after="0"/>
              <w:rPr>
                <w:sz w:val="18"/>
                <w:szCs w:val="18"/>
                <w:color w:val="auto"/>
              </w:rPr>
            </w:pPr>
          </w:p>
        </w:tc>
        <w:tc>
          <w:tcPr>
            <w:tcW w:w="7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March 31, 2025</w:t>
            </w: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125,174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9"/>
                <w:szCs w:val="19"/>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35,211</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8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2,347</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$ 563,600</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96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438</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35,019</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$ 197,244</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$ 796,302</w:t>
            </w:r>
          </w:p>
        </w:tc>
        <w:tc>
          <w:tcPr>
            <w:tcW w:w="0" w:type="dxa"/>
            <w:vAlign w:val="bottom"/>
          </w:tcPr>
          <w:p>
            <w:pPr>
              <w:spacing w:after="0"/>
              <w:rPr>
                <w:sz w:val="1"/>
                <w:szCs w:val="1"/>
                <w:color w:val="auto"/>
              </w:rPr>
            </w:pPr>
          </w:p>
        </w:tc>
      </w:tr>
      <w:tr>
        <w:trPr>
          <w:trHeight w:val="208"/>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006098"/>
              </w:rPr>
              <w:t>25,624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6098"/>
              </w:rPr>
              <w:t>12,733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38,357</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loss on derivative</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securities, effective portion, net</w:t>
            </w:r>
          </w:p>
        </w:tc>
        <w:tc>
          <w:tcPr>
            <w:tcW w:w="6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(12)</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(154)</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(87)</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(253)</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 benefit of $54</w:t>
            </w:r>
          </w:p>
        </w:tc>
        <w:tc>
          <w:tcPr>
            <w:tcW w:w="68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8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80" w:type="dxa"/>
            <w:vAlign w:val="bottom"/>
            <w:gridSpan w:val="2"/>
            <w:vMerge w:val="continue"/>
            <w:shd w:val="clear" w:color="auto" w:fill="D2DCE5"/>
          </w:tcPr>
          <w:p>
            <w:pPr>
              <w:spacing w:after="0"/>
              <w:rPr>
                <w:sz w:val="17"/>
                <w:szCs w:val="17"/>
                <w:color w:val="auto"/>
              </w:rPr>
            </w:pPr>
          </w:p>
        </w:tc>
        <w:tc>
          <w:tcPr>
            <w:tcW w:w="640" w:type="dxa"/>
            <w:vAlign w:val="bottom"/>
            <w:gridSpan w:val="2"/>
            <w:vMerge w:val="continue"/>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80" w:type="dxa"/>
            <w:vAlign w:val="bottom"/>
            <w:gridSpan w:val="2"/>
            <w:vMerge w:val="continue"/>
            <w:shd w:val="clear" w:color="auto" w:fill="D2DCE5"/>
          </w:tcPr>
          <w:p>
            <w:pPr>
              <w:spacing w:after="0"/>
              <w:rPr>
                <w:sz w:val="17"/>
                <w:szCs w:val="17"/>
                <w:color w:val="auto"/>
              </w:rPr>
            </w:pPr>
          </w:p>
        </w:tc>
        <w:tc>
          <w:tcPr>
            <w:tcW w:w="72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Equity-based compensation</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3,341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tcPr>
          <w:p>
            <w:pPr>
              <w:jc w:val="right"/>
              <w:spacing w:after="0"/>
              <w:rPr>
                <w:sz w:val="20"/>
                <w:szCs w:val="20"/>
                <w:color w:val="auto"/>
              </w:rPr>
            </w:pPr>
            <w:r>
              <w:rPr>
                <w:rFonts w:ascii="Arial" w:cs="Arial" w:eastAsia="Arial" w:hAnsi="Arial"/>
                <w:sz w:val="14"/>
                <w:szCs w:val="14"/>
                <w:color w:val="006098"/>
              </w:rPr>
              <w:t>1,330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4,671</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 common</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pursuant to vesting of</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8</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7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5"/>
                <w:szCs w:val="15"/>
                <w:color w:val="auto"/>
              </w:rPr>
            </w:pPr>
          </w:p>
        </w:tc>
        <w:tc>
          <w:tcPr>
            <w:tcW w:w="10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80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w:t>
            </w:r>
          </w:p>
        </w:tc>
        <w:tc>
          <w:tcPr>
            <w:tcW w:w="60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8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80" w:type="dxa"/>
            <w:vAlign w:val="bottom"/>
            <w:gridSpan w:val="2"/>
            <w:vMerge w:val="continue"/>
            <w:shd w:val="clear" w:color="auto" w:fill="D2DCE5"/>
          </w:tcPr>
          <w:p>
            <w:pPr>
              <w:spacing w:after="0"/>
              <w:rPr>
                <w:sz w:val="17"/>
                <w:szCs w:val="17"/>
                <w:color w:val="auto"/>
              </w:rPr>
            </w:pPr>
          </w:p>
        </w:tc>
        <w:tc>
          <w:tcPr>
            <w:tcW w:w="640" w:type="dxa"/>
            <w:vAlign w:val="bottom"/>
            <w:gridSpan w:val="2"/>
            <w:vMerge w:val="continue"/>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80" w:type="dxa"/>
            <w:vAlign w:val="bottom"/>
            <w:gridSpan w:val="2"/>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40" w:type="dxa"/>
            <w:vAlign w:val="bottom"/>
            <w:gridSpan w:val="2"/>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80" w:type="dxa"/>
            <w:vAlign w:val="bottom"/>
            <w:gridSpan w:val="2"/>
            <w:vMerge w:val="continue"/>
            <w:shd w:val="clear" w:color="auto" w:fill="D2DCE5"/>
          </w:tcPr>
          <w:p>
            <w:pPr>
              <w:spacing w:after="0"/>
              <w:rPr>
                <w:sz w:val="17"/>
                <w:szCs w:val="17"/>
                <w:color w:val="auto"/>
              </w:rPr>
            </w:pPr>
          </w:p>
        </w:tc>
        <w:tc>
          <w:tcPr>
            <w:tcW w:w="800" w:type="dxa"/>
            <w:vAlign w:val="bottom"/>
            <w:gridSpan w:val="2"/>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Issuance of Class A common</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stock for conversion of Dutch</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Bros OpCo Class A common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units, pursuant to exchange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600" w:type="dxa"/>
            <w:vAlign w:val="bottom"/>
          </w:tcPr>
          <w:p>
            <w:pPr>
              <w:jc w:val="right"/>
              <w:spacing w:after="0"/>
              <w:rPr>
                <w:sz w:val="20"/>
                <w:szCs w:val="20"/>
                <w:color w:val="auto"/>
              </w:rPr>
            </w:pPr>
            <w:r>
              <w:rPr>
                <w:rFonts w:ascii="Arial" w:cs="Arial" w:eastAsia="Arial" w:hAnsi="Arial"/>
                <w:sz w:val="14"/>
                <w:szCs w:val="14"/>
                <w:color w:val="006098"/>
              </w:rPr>
              <w:t>1,750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equity transactions of</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 Class A</w:t>
            </w:r>
          </w:p>
        </w:tc>
        <w:tc>
          <w:tcPr>
            <w:tcW w:w="6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8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6,592</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(6,592)</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units</w:t>
            </w:r>
          </w:p>
        </w:tc>
        <w:tc>
          <w:tcPr>
            <w:tcW w:w="68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8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80" w:type="dxa"/>
            <w:vAlign w:val="bottom"/>
            <w:gridSpan w:val="2"/>
            <w:vMerge w:val="continue"/>
            <w:shd w:val="clear" w:color="auto" w:fill="D2DCE5"/>
          </w:tcPr>
          <w:p>
            <w:pPr>
              <w:spacing w:after="0"/>
              <w:rPr>
                <w:sz w:val="17"/>
                <w:szCs w:val="17"/>
                <w:color w:val="auto"/>
              </w:rPr>
            </w:pPr>
          </w:p>
        </w:tc>
        <w:tc>
          <w:tcPr>
            <w:tcW w:w="640" w:type="dxa"/>
            <w:vAlign w:val="bottom"/>
            <w:gridSpan w:val="2"/>
            <w:vMerge w:val="continue"/>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40" w:type="dxa"/>
            <w:vAlign w:val="bottom"/>
            <w:gridSpan w:val="2"/>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80" w:type="dxa"/>
            <w:vAlign w:val="bottom"/>
            <w:gridSpan w:val="2"/>
            <w:vMerge w:val="continue"/>
            <w:shd w:val="clear" w:color="auto" w:fill="D2DCE5"/>
          </w:tcPr>
          <w:p>
            <w:pPr>
              <w:spacing w:after="0"/>
              <w:rPr>
                <w:sz w:val="17"/>
                <w:szCs w:val="17"/>
                <w:color w:val="auto"/>
              </w:rPr>
            </w:pPr>
          </w:p>
        </w:tc>
        <w:tc>
          <w:tcPr>
            <w:tcW w:w="72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Impacts of Tax Receivable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1,719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1,719</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Distributions paid to non-</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controlling interest holders</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Borders>
              <w:bottom w:val="single" w:sz="8" w:color="D2DCE5"/>
            </w:tcBorders>
            <w:shd w:val="clear" w:color="auto" w:fill="D2DCE5"/>
          </w:tcPr>
          <w:p>
            <w:pPr>
              <w:spacing w:after="0"/>
              <w:rPr>
                <w:sz w:val="18"/>
                <w:szCs w:val="18"/>
                <w:color w:val="auto"/>
              </w:rPr>
            </w:pP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00" w:type="dxa"/>
            <w:vAlign w:val="bottom"/>
            <w:tcBorders>
              <w:bottom w:val="single" w:sz="8" w:color="D2DCE5"/>
            </w:tcBorders>
            <w:shd w:val="clear" w:color="auto" w:fill="D2DCE5"/>
          </w:tcPr>
          <w:p>
            <w:pPr>
              <w:spacing w:after="0"/>
              <w:rPr>
                <w:sz w:val="18"/>
                <w:szCs w:val="18"/>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tcBorders>
              <w:bottom w:val="single" w:sz="8" w:color="D2DCE5"/>
            </w:tcBorders>
            <w:shd w:val="clear" w:color="auto" w:fill="D2DCE5"/>
          </w:tcPr>
          <w:p>
            <w:pPr>
              <w:spacing w:after="0"/>
              <w:rPr>
                <w:sz w:val="18"/>
                <w:szCs w:val="18"/>
                <w:color w:val="auto"/>
              </w:rPr>
            </w:pPr>
          </w:p>
        </w:tc>
        <w:tc>
          <w:tcPr>
            <w:tcW w:w="7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006098"/>
              </w:rPr>
              <w:t>(6,867)</w:t>
            </w:r>
          </w:p>
        </w:tc>
        <w:tc>
          <w:tcPr>
            <w:tcW w:w="80" w:type="dxa"/>
            <w:vAlign w:val="bottom"/>
            <w:tcBorders>
              <w:bottom w:val="single" w:sz="8" w:color="D2DCE5"/>
            </w:tcBorders>
            <w:shd w:val="clear" w:color="auto" w:fill="D2DCE5"/>
          </w:tcPr>
          <w:p>
            <w:pPr>
              <w:spacing w:after="0"/>
              <w:rPr>
                <w:sz w:val="18"/>
                <w:szCs w:val="18"/>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006098"/>
              </w:rPr>
              <w:t>(6,867)</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 2025</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rPr>
              <w:t>126,932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006098"/>
              </w:rPr>
              <w:t>$</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6098"/>
              </w:rPr>
              <w:t>1</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rPr>
              <w:t>35,211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006098"/>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006098"/>
              </w:rPr>
              <w:t>—</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rPr>
              <w:t>2,347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006098"/>
              </w:rPr>
              <w:t>$</w:t>
            </w: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006098"/>
              </w:rPr>
              <w:t>—</w:t>
            </w: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w w:val="99"/>
              </w:rPr>
              <w:t>$ 575,240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6098"/>
              </w:rPr>
              <w:t>284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rPr>
              <w:t>60,643</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rPr>
              <w:t>$ 197,761</w:t>
            </w: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6098"/>
                <w:w w:val="99"/>
              </w:rPr>
              <w:t>$ 833,929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720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2780" w:type="dxa"/>
            <w:vAlign w:val="bottom"/>
            <w:tcBorders>
              <w:bottom w:val="single" w:sz="8" w:color="D7282F"/>
            </w:tcBorders>
            <w:gridSpan w:val="10"/>
          </w:tcPr>
          <w:p>
            <w:pPr>
              <w:ind w:left="80"/>
              <w:spacing w:after="0"/>
              <w:rPr>
                <w:sz w:val="20"/>
                <w:szCs w:val="20"/>
                <w:color w:val="auto"/>
              </w:rPr>
            </w:pPr>
            <w:r>
              <w:rPr>
                <w:rFonts w:ascii="Arial" w:cs="Arial" w:eastAsia="Arial" w:hAnsi="Arial"/>
                <w:sz w:val="14"/>
                <w:szCs w:val="14"/>
                <w:b w:val="1"/>
                <w:bCs w:val="1"/>
                <w:color w:val="131E29"/>
              </w:rPr>
              <w:t>Dutch Bros Inc. Stockholders’ Equity</w:t>
            </w:r>
          </w:p>
        </w:tc>
        <w:tc>
          <w:tcPr>
            <w:tcW w:w="1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131E29"/>
              </w:rPr>
              <w:t>Accumulated</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Additional</w:t>
            </w:r>
          </w:p>
        </w:tc>
        <w:tc>
          <w:tcPr>
            <w:tcW w:w="12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100" w:type="dxa"/>
            <w:vAlign w:val="bottom"/>
          </w:tcPr>
          <w:p>
            <w:pPr>
              <w:spacing w:after="0"/>
              <w:rPr>
                <w:sz w:val="15"/>
                <w:szCs w:val="15"/>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color w:val="131E29"/>
              </w:rPr>
              <w:t>Retained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40" w:type="dxa"/>
            <w:vAlign w:val="bottom"/>
            <w:gridSpan w:val="3"/>
          </w:tcPr>
          <w:p>
            <w:pPr>
              <w:jc w:val="center"/>
              <w:ind w:right="80"/>
              <w:spacing w:after="0"/>
              <w:rPr>
                <w:sz w:val="20"/>
                <w:szCs w:val="20"/>
                <w:color w:val="auto"/>
              </w:rPr>
            </w:pPr>
            <w:r>
              <w:rPr>
                <w:rFonts w:ascii="Arial" w:cs="Arial" w:eastAsia="Arial" w:hAnsi="Arial"/>
                <w:sz w:val="14"/>
                <w:szCs w:val="14"/>
                <w:color w:val="131E29"/>
              </w:rPr>
              <w:t>Comprehensive</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2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680" w:type="dxa"/>
            <w:vAlign w:val="bottom"/>
            <w:tcBorders>
              <w:bottom w:val="single" w:sz="8" w:color="D7282F"/>
            </w:tcBorders>
          </w:tcPr>
          <w:p>
            <w:pPr>
              <w:spacing w:after="0"/>
              <w:rPr>
                <w:sz w:val="20"/>
                <w:szCs w:val="20"/>
                <w:color w:val="auto"/>
              </w:rPr>
            </w:pPr>
            <w:r>
              <w:rPr>
                <w:rFonts w:ascii="Arial" w:cs="Arial" w:eastAsia="Arial" w:hAnsi="Arial"/>
                <w:sz w:val="14"/>
                <w:szCs w:val="14"/>
                <w:color w:val="131E29"/>
              </w:rPr>
              <w:t>Earnings</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27"/>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2024</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8"/>
              </w:rPr>
              <w:t>115,432</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9"/>
                <w:szCs w:val="19"/>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35,227</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b w:val="1"/>
                <w:bCs w:val="1"/>
                <w:color w:val="131E29"/>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3,545</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$ 517,074</w:t>
            </w: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628</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19,666</w:t>
            </w:r>
          </w:p>
        </w:tc>
        <w:tc>
          <w:tcPr>
            <w:tcW w:w="80" w:type="dxa"/>
            <w:vAlign w:val="bottom"/>
            <w:shd w:val="clear" w:color="auto" w:fill="D2DCE5"/>
          </w:tcPr>
          <w:p>
            <w:pPr>
              <w:spacing w:after="0"/>
              <w:rPr>
                <w:sz w:val="19"/>
                <w:szCs w:val="19"/>
                <w:color w:val="auto"/>
              </w:rPr>
            </w:pPr>
          </w:p>
        </w:tc>
        <w:tc>
          <w:tcPr>
            <w:tcW w:w="74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$ 226,496</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w w:val="96"/>
              </w:rPr>
              <w:t>$ 763,865</w:t>
            </w:r>
          </w:p>
        </w:tc>
        <w:tc>
          <w:tcPr>
            <w:tcW w:w="0" w:type="dxa"/>
            <w:vAlign w:val="bottom"/>
          </w:tcPr>
          <w:p>
            <w:pPr>
              <w:spacing w:after="0"/>
              <w:rPr>
                <w:sz w:val="1"/>
                <w:szCs w:val="1"/>
                <w:color w:val="auto"/>
              </w:rPr>
            </w:pPr>
          </w:p>
        </w:tc>
      </w:tr>
      <w:tr>
        <w:trPr>
          <w:trHeight w:val="226"/>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006098"/>
              </w:rPr>
              <w:t>40,977</w:t>
            </w:r>
          </w:p>
        </w:tc>
        <w:tc>
          <w:tcPr>
            <w:tcW w:w="80" w:type="dxa"/>
            <w:vAlign w:val="bottom"/>
          </w:tcPr>
          <w:p>
            <w:pPr>
              <w:spacing w:after="0"/>
              <w:rPr>
                <w:sz w:val="19"/>
                <w:szCs w:val="19"/>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006098"/>
              </w:rPr>
              <w:t>19,860</w:t>
            </w:r>
          </w:p>
        </w:tc>
        <w:tc>
          <w:tcPr>
            <w:tcW w:w="8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006098"/>
              </w:rPr>
              <w:t>60,837</w:t>
            </w:r>
          </w:p>
        </w:tc>
        <w:tc>
          <w:tcPr>
            <w:tcW w:w="0" w:type="dxa"/>
            <w:vAlign w:val="bottom"/>
          </w:tcPr>
          <w:p>
            <w:pPr>
              <w:spacing w:after="0"/>
              <w:rPr>
                <w:sz w:val="1"/>
                <w:szCs w:val="1"/>
                <w:color w:val="auto"/>
              </w:rPr>
            </w:pPr>
          </w:p>
        </w:tc>
      </w:tr>
      <w:tr>
        <w:trPr>
          <w:trHeight w:val="197"/>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loss on derivative</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securities, effective portion, net of</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benefit of $147</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(108)</w:t>
            </w: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(344)</w:t>
            </w: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74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(246)</w:t>
            </w: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(698)</w:t>
            </w:r>
          </w:p>
        </w:tc>
        <w:tc>
          <w:tcPr>
            <w:tcW w:w="0" w:type="dxa"/>
            <w:vAlign w:val="bottom"/>
          </w:tcPr>
          <w:p>
            <w:pPr>
              <w:spacing w:after="0"/>
              <w:rPr>
                <w:sz w:val="1"/>
                <w:szCs w:val="1"/>
                <w:color w:val="auto"/>
              </w:rPr>
            </w:pPr>
          </w:p>
        </w:tc>
      </w:tr>
      <w:tr>
        <w:trPr>
          <w:trHeight w:val="193"/>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Equity-based compensation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6,241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006098"/>
              </w:rPr>
              <w:t>2,624</w:t>
            </w:r>
          </w:p>
        </w:tc>
        <w:tc>
          <w:tcPr>
            <w:tcW w:w="8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006098"/>
              </w:rPr>
              <w:t>8,865</w:t>
            </w:r>
          </w:p>
        </w:tc>
        <w:tc>
          <w:tcPr>
            <w:tcW w:w="0" w:type="dxa"/>
            <w:vAlign w:val="bottom"/>
          </w:tcPr>
          <w:p>
            <w:pPr>
              <w:spacing w:after="0"/>
              <w:rPr>
                <w:sz w:val="1"/>
                <w:szCs w:val="1"/>
                <w:color w:val="auto"/>
              </w:rPr>
            </w:pPr>
          </w:p>
        </w:tc>
      </w:tr>
      <w:tr>
        <w:trPr>
          <w:trHeight w:val="197"/>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 common</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pursuant to vesting of</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 stock</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withheld for tax withholding</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obligations</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303</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8"/>
                <w:szCs w:val="18"/>
                <w:color w:val="auto"/>
              </w:rPr>
            </w:pP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8"/>
                <w:szCs w:val="18"/>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(7,771)</w:t>
            </w: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8"/>
                <w:szCs w:val="18"/>
                <w:color w:val="auto"/>
              </w:rPr>
            </w:pPr>
          </w:p>
        </w:tc>
        <w:tc>
          <w:tcPr>
            <w:tcW w:w="7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74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(3,247)</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(11,018)</w:t>
            </w:r>
          </w:p>
        </w:tc>
        <w:tc>
          <w:tcPr>
            <w:tcW w:w="0" w:type="dxa"/>
            <w:vAlign w:val="bottom"/>
          </w:tcPr>
          <w:p>
            <w:pPr>
              <w:spacing w:after="0"/>
              <w:rPr>
                <w:sz w:val="1"/>
                <w:szCs w:val="1"/>
                <w:color w:val="auto"/>
              </w:rPr>
            </w:pPr>
          </w:p>
        </w:tc>
      </w:tr>
      <w:tr>
        <w:trPr>
          <w:trHeight w:val="193"/>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Issuance of Class A common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stock for conversion of Dutch</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Bros OpCo Class A common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units, and for surrender and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cancellation of Class C common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stock, pursuant to exchange</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580" w:type="dxa"/>
            <w:vAlign w:val="bottom"/>
          </w:tcPr>
          <w:p>
            <w:pPr>
              <w:jc w:val="right"/>
              <w:spacing w:after="0"/>
              <w:rPr>
                <w:sz w:val="20"/>
                <w:szCs w:val="20"/>
                <w:color w:val="auto"/>
              </w:rPr>
            </w:pPr>
            <w:r>
              <w:rPr>
                <w:rFonts w:ascii="Arial" w:cs="Arial" w:eastAsia="Arial" w:hAnsi="Arial"/>
                <w:sz w:val="14"/>
                <w:szCs w:val="14"/>
                <w:color w:val="006098"/>
              </w:rPr>
              <w:t>11,197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560" w:type="dxa"/>
            <w:vAlign w:val="bottom"/>
          </w:tcPr>
          <w:p>
            <w:pPr>
              <w:jc w:val="right"/>
              <w:spacing w:after="0"/>
              <w:rPr>
                <w:sz w:val="20"/>
                <w:szCs w:val="20"/>
                <w:color w:val="auto"/>
              </w:rPr>
            </w:pPr>
            <w:r>
              <w:rPr>
                <w:rFonts w:ascii="Arial" w:cs="Arial" w:eastAsia="Arial" w:hAnsi="Arial"/>
                <w:sz w:val="14"/>
                <w:szCs w:val="14"/>
                <w:color w:val="006098"/>
              </w:rPr>
              <w:t>(1,197)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7"/>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equity transactions of</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 Class A</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units</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40,859</w:t>
            </w: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7"/>
                <w:szCs w:val="17"/>
                <w:color w:val="auto"/>
              </w:rPr>
            </w:pPr>
          </w:p>
        </w:tc>
        <w:tc>
          <w:tcPr>
            <w:tcW w:w="7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74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(40,859)</w:t>
            </w: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3"/>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Impacts of Tax Receivable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18,945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006098"/>
              </w:rPr>
              <w:t>18,945</w:t>
            </w:r>
          </w:p>
        </w:tc>
        <w:tc>
          <w:tcPr>
            <w:tcW w:w="0" w:type="dxa"/>
            <w:vAlign w:val="bottom"/>
          </w:tcPr>
          <w:p>
            <w:pPr>
              <w:spacing w:after="0"/>
              <w:rPr>
                <w:sz w:val="1"/>
                <w:szCs w:val="1"/>
                <w:color w:val="auto"/>
              </w:rPr>
            </w:pPr>
          </w:p>
        </w:tc>
      </w:tr>
      <w:tr>
        <w:trPr>
          <w:trHeight w:val="197"/>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Reverse Split transaction</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6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OpCo</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Recapitalization</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(16)</w:t>
            </w: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w:t>
            </w: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8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2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7"/>
                <w:szCs w:val="17"/>
                <w:color w:val="auto"/>
              </w:rPr>
            </w:pPr>
          </w:p>
        </w:tc>
        <w:tc>
          <w:tcPr>
            <w:tcW w:w="7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82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3"/>
        </w:trPr>
        <w:tc>
          <w:tcPr>
            <w:tcW w:w="2280" w:type="dxa"/>
            <w:vAlign w:val="bottom"/>
            <w:gridSpan w:val="2"/>
          </w:tcPr>
          <w:p>
            <w:pPr>
              <w:ind w:left="20"/>
              <w:spacing w:after="0"/>
              <w:rPr>
                <w:sz w:val="20"/>
                <w:szCs w:val="20"/>
                <w:color w:val="auto"/>
              </w:rPr>
            </w:pPr>
            <w:r>
              <w:rPr>
                <w:rFonts w:ascii="Arial" w:cs="Arial" w:eastAsia="Arial" w:hAnsi="Arial"/>
                <w:sz w:val="14"/>
                <w:szCs w:val="14"/>
                <w:color w:val="131E29"/>
              </w:rPr>
              <w:t>Distributions paid to non-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controlling interest holders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(6,867)</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6098"/>
              </w:rPr>
              <w:t>(6,867)</w:t>
            </w:r>
          </w:p>
        </w:tc>
        <w:tc>
          <w:tcPr>
            <w:tcW w:w="0" w:type="dxa"/>
            <w:vAlign w:val="bottom"/>
          </w:tcPr>
          <w:p>
            <w:pPr>
              <w:spacing w:after="0"/>
              <w:rPr>
                <w:sz w:val="1"/>
                <w:szCs w:val="1"/>
                <w:color w:val="auto"/>
              </w:rPr>
            </w:pPr>
          </w:p>
        </w:tc>
      </w:tr>
      <w:tr>
        <w:trPr>
          <w:trHeight w:val="220"/>
        </w:trPr>
        <w:tc>
          <w:tcPr>
            <w:tcW w:w="22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June 30, 2025</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126,932</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006098"/>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1</w:t>
            </w:r>
          </w:p>
        </w:tc>
        <w:tc>
          <w:tcPr>
            <w:tcW w:w="80" w:type="dxa"/>
            <w:vAlign w:val="bottom"/>
            <w:shd w:val="clear" w:color="auto" w:fill="D2DCE5"/>
          </w:tcPr>
          <w:p>
            <w:pPr>
              <w:spacing w:after="0"/>
              <w:rPr>
                <w:sz w:val="19"/>
                <w:szCs w:val="19"/>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35,211</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006098"/>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b w:val="1"/>
                <w:bCs w:val="1"/>
                <w:color w:val="006098"/>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2,347</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006098"/>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006098"/>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w w:val="99"/>
              </w:rPr>
              <w:t>$ 575,240</w:t>
            </w: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284</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006098"/>
              </w:rPr>
              <w:t>60,643</w:t>
            </w:r>
          </w:p>
        </w:tc>
        <w:tc>
          <w:tcPr>
            <w:tcW w:w="80" w:type="dxa"/>
            <w:vAlign w:val="bottom"/>
            <w:shd w:val="clear" w:color="auto" w:fill="D2DCE5"/>
          </w:tcPr>
          <w:p>
            <w:pPr>
              <w:spacing w:after="0"/>
              <w:rPr>
                <w:sz w:val="19"/>
                <w:szCs w:val="19"/>
                <w:color w:val="auto"/>
              </w:rPr>
            </w:pPr>
          </w:p>
        </w:tc>
        <w:tc>
          <w:tcPr>
            <w:tcW w:w="74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006098"/>
              </w:rPr>
              <w:t>$ 197,761</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006098"/>
                <w:w w:val="96"/>
              </w:rPr>
              <w:t>$ 833,929</w:t>
            </w:r>
          </w:p>
        </w:tc>
        <w:tc>
          <w:tcPr>
            <w:tcW w:w="0" w:type="dxa"/>
            <w:vAlign w:val="bottom"/>
          </w:tcPr>
          <w:p>
            <w:pPr>
              <w:spacing w:after="0"/>
              <w:rPr>
                <w:sz w:val="1"/>
                <w:szCs w:val="1"/>
                <w:color w:val="auto"/>
              </w:rPr>
            </w:pPr>
          </w:p>
        </w:tc>
      </w:tr>
      <w:tr>
        <w:trPr>
          <w:trHeight w:val="20"/>
        </w:trPr>
        <w:tc>
          <w:tcPr>
            <w:tcW w:w="22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400" w:type="dxa"/>
            <w:vAlign w:val="bottom"/>
            <w:tcBorders>
              <w:bottom w:val="single" w:sz="8" w:color="D7282F"/>
            </w:tcBorders>
            <w:gridSpan w:val="12"/>
          </w:tcPr>
          <w:p>
            <w:pPr>
              <w:ind w:left="12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ind w:left="12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40" w:type="dxa"/>
            <w:vAlign w:val="bottom"/>
          </w:tcPr>
          <w:p>
            <w:pPr>
              <w:spacing w:after="0" w:line="20" w:lineRule="exact"/>
              <w:rPr>
                <w:sz w:val="1"/>
                <w:szCs w:val="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131E29"/>
              </w:rPr>
              <w:t>Retained</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131E29"/>
              </w:rPr>
              <w:t>Earnings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15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color w:val="131E29"/>
              </w:rPr>
              <w:t>Paid-in-  Comprehensive</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40" w:type="dxa"/>
            <w:vAlign w:val="bottom"/>
            <w:tcBorders>
              <w:bottom w:val="single" w:sz="8" w:color="D7282F"/>
            </w:tcBorders>
          </w:tcPr>
          <w:p>
            <w:pPr>
              <w:spacing w:after="0"/>
              <w:rPr>
                <w:sz w:val="18"/>
                <w:szCs w:val="18"/>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91"/>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March 31,</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2024</w:t>
            </w:r>
          </w:p>
        </w:tc>
        <w:tc>
          <w:tcPr>
            <w:tcW w:w="80" w:type="dxa"/>
            <w:vAlign w:val="bottom"/>
            <w:shd w:val="clear" w:color="auto" w:fill="D2DCE5"/>
          </w:tcPr>
          <w:p>
            <w:pPr>
              <w:spacing w:after="0"/>
              <w:rPr>
                <w:sz w:val="18"/>
                <w:szCs w:val="18"/>
                <w:color w:val="auto"/>
              </w:rPr>
            </w:pPr>
          </w:p>
        </w:tc>
        <w:tc>
          <w:tcPr>
            <w:tcW w:w="6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86,575</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08"/>
              <w:spacing w:after="0"/>
              <w:rPr>
                <w:sz w:val="20"/>
                <w:szCs w:val="20"/>
                <w:color w:val="auto"/>
              </w:rPr>
            </w:pPr>
            <w:r>
              <w:rPr>
                <w:rFonts w:ascii="Arial" w:cs="Arial" w:eastAsia="Arial" w:hAnsi="Arial"/>
                <w:sz w:val="14"/>
                <w:szCs w:val="14"/>
                <w:b w:val="1"/>
                <w:bCs w:val="1"/>
                <w:color w:val="131E29"/>
              </w:rPr>
              <w:t>$</w:t>
            </w: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8"/>
                <w:szCs w:val="18"/>
                <w:color w:val="auto"/>
              </w:rPr>
            </w:pPr>
          </w:p>
        </w:tc>
        <w:tc>
          <w:tcPr>
            <w:tcW w:w="6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60,071</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w w:val="76"/>
              </w:rPr>
              <w:t>$</w:t>
            </w:r>
          </w:p>
        </w:tc>
        <w:tc>
          <w:tcPr>
            <w:tcW w:w="3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23,879</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5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6,653</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w w:val="76"/>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w w:val="96"/>
              </w:rPr>
              <w:t>$ 424,721</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925</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(8,530)</w:t>
            </w: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$ 278,845</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$ 695,963</w:t>
            </w:r>
          </w:p>
        </w:tc>
        <w:tc>
          <w:tcPr>
            <w:tcW w:w="0" w:type="dxa"/>
            <w:vAlign w:val="bottom"/>
          </w:tcPr>
          <w:p>
            <w:pPr>
              <w:spacing w:after="0"/>
              <w:rPr>
                <w:sz w:val="1"/>
                <w:szCs w:val="1"/>
                <w:color w:val="auto"/>
              </w:rPr>
            </w:pPr>
          </w:p>
        </w:tc>
      </w:tr>
      <w:tr>
        <w:trPr>
          <w:trHeight w:val="208"/>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31E29"/>
              </w:rPr>
              <w:t>11,940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10,216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22,156</w:t>
            </w:r>
          </w:p>
        </w:tc>
        <w:tc>
          <w:tcPr>
            <w:tcW w:w="0" w:type="dxa"/>
            <w:vAlign w:val="bottom"/>
          </w:tcPr>
          <w:p>
            <w:pPr>
              <w:spacing w:after="0"/>
              <w:rPr>
                <w:sz w:val="1"/>
                <w:szCs w:val="1"/>
                <w:color w:val="auto"/>
              </w:rPr>
            </w:pPr>
          </w:p>
        </w:tc>
      </w:tr>
      <w:tr>
        <w:trPr>
          <w:trHeight w:val="22"/>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w:t>
            </w: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 benefit</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of $15</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(193)</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147</w:t>
            </w:r>
          </w:p>
        </w:tc>
        <w:tc>
          <w:tcPr>
            <w:tcW w:w="80" w:type="dxa"/>
            <w:vAlign w:val="bottom"/>
            <w:tcBorders>
              <w:bottom w:val="single" w:sz="8" w:color="D2DCE5"/>
            </w:tcBorders>
            <w:shd w:val="clear" w:color="auto" w:fill="D2DCE5"/>
          </w:tcPr>
          <w:p>
            <w:pPr>
              <w:spacing w:after="0"/>
              <w:rPr>
                <w:sz w:val="16"/>
                <w:szCs w:val="16"/>
                <w:color w:val="auto"/>
              </w:rPr>
            </w:pPr>
          </w:p>
        </w:tc>
        <w:tc>
          <w:tcPr>
            <w:tcW w:w="140" w:type="dxa"/>
            <w:vAlign w:val="bottom"/>
            <w:tcBorders>
              <w:bottom w:val="single" w:sz="8" w:color="D2DCE5"/>
            </w:tcBorders>
            <w:shd w:val="clear" w:color="auto" w:fill="D2DCE5"/>
          </w:tcPr>
          <w:p>
            <w:pPr>
              <w:spacing w:after="0"/>
              <w:rPr>
                <w:sz w:val="16"/>
                <w:szCs w:val="16"/>
                <w:color w:val="auto"/>
              </w:rPr>
            </w:pPr>
          </w:p>
        </w:tc>
        <w:tc>
          <w:tcPr>
            <w:tcW w:w="8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(34)</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(80)</w:t>
            </w:r>
          </w:p>
        </w:tc>
        <w:tc>
          <w:tcPr>
            <w:tcW w:w="0" w:type="dxa"/>
            <w:vAlign w:val="bottom"/>
          </w:tcPr>
          <w:p>
            <w:pPr>
              <w:spacing w:after="0"/>
              <w:rPr>
                <w:sz w:val="1"/>
                <w:szCs w:val="1"/>
                <w:color w:val="auto"/>
              </w:rPr>
            </w:pPr>
          </w:p>
        </w:tc>
      </w:tr>
      <w:tr>
        <w:trPr>
          <w:trHeight w:val="193"/>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1,973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1,353</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3,326</w:t>
            </w:r>
          </w:p>
        </w:tc>
        <w:tc>
          <w:tcPr>
            <w:tcW w:w="0" w:type="dxa"/>
            <w:vAlign w:val="bottom"/>
          </w:tcPr>
          <w:p>
            <w:pPr>
              <w:spacing w:after="0"/>
              <w:rPr>
                <w:sz w:val="1"/>
                <w:szCs w:val="1"/>
                <w:color w:val="auto"/>
              </w:rPr>
            </w:pPr>
          </w:p>
        </w:tc>
      </w:tr>
      <w:tr>
        <w:trPr>
          <w:trHeight w:val="194"/>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7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vesting of</w:t>
            </w: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w:t>
            </w:r>
          </w:p>
        </w:tc>
        <w:tc>
          <w:tcPr>
            <w:tcW w:w="6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7</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Borders>
              <w:bottom w:val="single" w:sz="8" w:color="D2DCE5"/>
            </w:tcBorders>
            <w:shd w:val="clear" w:color="auto" w:fill="D2DCE5"/>
          </w:tcPr>
          <w:p>
            <w:pPr>
              <w:spacing w:after="0"/>
              <w:rPr>
                <w:sz w:val="16"/>
                <w:szCs w:val="16"/>
                <w:color w:val="auto"/>
              </w:rPr>
            </w:pPr>
          </w:p>
        </w:tc>
        <w:tc>
          <w:tcPr>
            <w:tcW w:w="8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3"/>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common stock in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exchange for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cancellation of Class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D common stock, and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conversion of Dutch</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Bros OpCo Class A</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common units for</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cancellation of Class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B and C common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stock, pursuant to</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exchange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600" w:type="dxa"/>
            <w:vAlign w:val="bottom"/>
          </w:tcPr>
          <w:p>
            <w:pPr>
              <w:jc w:val="right"/>
              <w:ind w:right="8"/>
              <w:spacing w:after="0"/>
              <w:rPr>
                <w:sz w:val="20"/>
                <w:szCs w:val="20"/>
                <w:color w:val="auto"/>
              </w:rPr>
            </w:pPr>
            <w:r>
              <w:rPr>
                <w:rFonts w:ascii="Arial" w:cs="Arial" w:eastAsia="Arial" w:hAnsi="Arial"/>
                <w:sz w:val="14"/>
                <w:szCs w:val="14"/>
                <w:color w:val="131E29"/>
              </w:rPr>
              <w:t>27,235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00" w:type="dxa"/>
            <w:vAlign w:val="bottom"/>
          </w:tcPr>
          <w:p>
            <w:pPr>
              <w:jc w:val="right"/>
              <w:spacing w:after="0"/>
              <w:rPr>
                <w:sz w:val="20"/>
                <w:szCs w:val="20"/>
                <w:color w:val="auto"/>
              </w:rPr>
            </w:pPr>
            <w:r>
              <w:rPr>
                <w:rFonts w:ascii="Arial" w:cs="Arial" w:eastAsia="Arial" w:hAnsi="Arial"/>
                <w:sz w:val="14"/>
                <w:szCs w:val="14"/>
                <w:color w:val="131E29"/>
              </w:rPr>
              <w:t>(1,844)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580" w:type="dxa"/>
            <w:vAlign w:val="bottom"/>
          </w:tcPr>
          <w:p>
            <w:pPr>
              <w:jc w:val="right"/>
              <w:spacing w:after="0"/>
              <w:rPr>
                <w:sz w:val="20"/>
                <w:szCs w:val="20"/>
                <w:color w:val="auto"/>
              </w:rPr>
            </w:pPr>
            <w:r>
              <w:rPr>
                <w:rFonts w:ascii="Arial" w:cs="Arial" w:eastAsia="Arial" w:hAnsi="Arial"/>
                <w:sz w:val="14"/>
                <w:szCs w:val="14"/>
                <w:color w:val="131E29"/>
              </w:rPr>
              <w:t>(18,737)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540" w:type="dxa"/>
            <w:vAlign w:val="bottom"/>
          </w:tcPr>
          <w:p>
            <w:pPr>
              <w:jc w:val="right"/>
              <w:spacing w:after="0"/>
              <w:rPr>
                <w:sz w:val="20"/>
                <w:szCs w:val="20"/>
                <w:color w:val="auto"/>
              </w:rPr>
            </w:pPr>
            <w:r>
              <w:rPr>
                <w:rFonts w:ascii="Arial" w:cs="Arial" w:eastAsia="Arial" w:hAnsi="Arial"/>
                <w:sz w:val="14"/>
                <w:szCs w:val="14"/>
                <w:color w:val="131E29"/>
              </w:rPr>
              <w:t>(6,653)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equity</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transactions of Dutch</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Bros OpCo Class A</w:t>
            </w: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common units</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69,708</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Borders>
              <w:bottom w:val="single" w:sz="8" w:color="D2DCE5"/>
            </w:tcBorders>
            <w:shd w:val="clear" w:color="auto" w:fill="D2DCE5"/>
          </w:tcPr>
          <w:p>
            <w:pPr>
              <w:spacing w:after="0"/>
              <w:rPr>
                <w:sz w:val="16"/>
                <w:szCs w:val="16"/>
                <w:color w:val="auto"/>
              </w:rPr>
            </w:pPr>
          </w:p>
        </w:tc>
        <w:tc>
          <w:tcPr>
            <w:tcW w:w="8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(69,708)</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3"/>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Impacts of Tax</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Receivable</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8,448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8,448</w:t>
            </w:r>
          </w:p>
        </w:tc>
        <w:tc>
          <w:tcPr>
            <w:tcW w:w="0" w:type="dxa"/>
            <w:vAlign w:val="bottom"/>
          </w:tcPr>
          <w:p>
            <w:pPr>
              <w:spacing w:after="0"/>
              <w:rPr>
                <w:sz w:val="1"/>
                <w:szCs w:val="1"/>
                <w:color w:val="auto"/>
              </w:rPr>
            </w:pPr>
          </w:p>
        </w:tc>
      </w:tr>
      <w:tr>
        <w:trPr>
          <w:trHeight w:val="194"/>
        </w:trPr>
        <w:tc>
          <w:tcPr>
            <w:tcW w:w="152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B common</w:t>
            </w: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7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decoupled from</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w:t>
            </w: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A common</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units, surrendered</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and cancelled</w:t>
            </w:r>
          </w:p>
        </w:tc>
        <w:tc>
          <w:tcPr>
            <w:tcW w:w="6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(23,000)</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8"/>
                <w:szCs w:val="18"/>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7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0" w:type="dxa"/>
            <w:vAlign w:val="bottom"/>
          </w:tcPr>
          <w:p>
            <w:pPr>
              <w:spacing w:after="0"/>
              <w:rPr>
                <w:sz w:val="1"/>
                <w:szCs w:val="1"/>
                <w:color w:val="auto"/>
              </w:rPr>
            </w:pPr>
          </w:p>
        </w:tc>
      </w:tr>
      <w:tr>
        <w:trPr>
          <w:trHeight w:val="173"/>
        </w:trPr>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113,817</w:t>
            </w:r>
          </w:p>
        </w:tc>
        <w:tc>
          <w:tcPr>
            <w:tcW w:w="8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131E29"/>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131E29"/>
              </w:rPr>
              <w:t>1</w:t>
            </w:r>
          </w:p>
        </w:tc>
        <w:tc>
          <w:tcPr>
            <w:tcW w:w="80" w:type="dxa"/>
            <w:vAlign w:val="bottom"/>
          </w:tcPr>
          <w:p>
            <w:pPr>
              <w:spacing w:after="0"/>
              <w:rPr>
                <w:sz w:val="15"/>
                <w:szCs w:val="15"/>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131E29"/>
              </w:rPr>
              <w:t>35,227</w:t>
            </w:r>
          </w:p>
        </w:tc>
        <w:tc>
          <w:tcPr>
            <w:tcW w:w="80" w:type="dxa"/>
            <w:vAlign w:val="bottom"/>
          </w:tcPr>
          <w:p>
            <w:pPr>
              <w:spacing w:after="0"/>
              <w:rPr>
                <w:sz w:val="15"/>
                <w:szCs w:val="15"/>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131E29"/>
                <w:w w:val="76"/>
              </w:rPr>
              <w:t>$</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5,142</w:t>
            </w:r>
          </w:p>
        </w:tc>
        <w:tc>
          <w:tcPr>
            <w:tcW w:w="8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131E29"/>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131E29"/>
              </w:rPr>
              <w:t>—</w:t>
            </w: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131E29"/>
                <w:w w:val="76"/>
              </w:rPr>
              <w:t>$</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131E29"/>
                <w:w w:val="96"/>
              </w:rPr>
              <w:t>$ 504,657</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1,072</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3,410</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$ 220,672</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131E29"/>
                <w:w w:val="99"/>
              </w:rPr>
              <w:t>$ 729,812</w:t>
            </w:r>
          </w:p>
        </w:tc>
        <w:tc>
          <w:tcPr>
            <w:tcW w:w="0" w:type="dxa"/>
            <w:vAlign w:val="bottom"/>
          </w:tcPr>
          <w:p>
            <w:pPr>
              <w:spacing w:after="0"/>
              <w:rPr>
                <w:sz w:val="1"/>
                <w:szCs w:val="1"/>
                <w:color w:val="auto"/>
              </w:rPr>
            </w:pPr>
          </w:p>
        </w:tc>
      </w:tr>
      <w:tr>
        <w:trPr>
          <w:trHeight w:val="185"/>
        </w:trPr>
        <w:tc>
          <w:tcPr>
            <w:tcW w:w="1440" w:type="dxa"/>
            <w:vAlign w:val="bottom"/>
          </w:tcPr>
          <w:p>
            <w:pPr>
              <w:ind w:left="20"/>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460" w:type="dxa"/>
            <w:vAlign w:val="bottom"/>
            <w:tcBorders>
              <w:bottom w:val="single" w:sz="8" w:color="D7282F"/>
            </w:tcBorders>
            <w:gridSpan w:val="12"/>
          </w:tcPr>
          <w:p>
            <w:pPr>
              <w:ind w:left="16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131E29"/>
              </w:rPr>
              <w:t>Class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C</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26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40" w:type="dxa"/>
            <w:vAlign w:val="bottom"/>
          </w:tcPr>
          <w:p>
            <w:pPr>
              <w:spacing w:after="0" w:line="20" w:lineRule="exact"/>
              <w:rPr>
                <w:sz w:val="1"/>
                <w:szCs w:val="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131E29"/>
              </w:rPr>
              <w:t>Retained</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131E29"/>
              </w:rPr>
              <w:t>Earnings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color w:val="131E29"/>
              </w:rPr>
              <w:t>Paid-in-  Comprehensive</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8"/>
                <w:szCs w:val="18"/>
                <w:color w:val="auto"/>
              </w:rPr>
            </w:pPr>
          </w:p>
        </w:tc>
        <w:tc>
          <w:tcPr>
            <w:tcW w:w="56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40" w:type="dxa"/>
            <w:vAlign w:val="bottom"/>
            <w:tcBorders>
              <w:bottom w:val="single" w:sz="8" w:color="D7282F"/>
            </w:tcBorders>
          </w:tcPr>
          <w:p>
            <w:pPr>
              <w:spacing w:after="0"/>
              <w:rPr>
                <w:sz w:val="18"/>
                <w:szCs w:val="18"/>
                <w:color w:val="auto"/>
              </w:rPr>
            </w:pPr>
          </w:p>
        </w:tc>
        <w:tc>
          <w:tcPr>
            <w:tcW w:w="780" w:type="dxa"/>
            <w:vAlign w:val="bottom"/>
            <w:tcBorders>
              <w:bottom w:val="single" w:sz="8" w:color="D7282F"/>
            </w:tcBorders>
          </w:tcPr>
          <w:p>
            <w:pPr>
              <w:jc w:val="center"/>
              <w:ind w:right="47"/>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91"/>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2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31, 2023</w:t>
            </w: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69,958</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w:t>
            </w:r>
          </w:p>
        </w:tc>
        <w:tc>
          <w:tcPr>
            <w:tcW w:w="3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60,629</w:t>
            </w: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20"/>
                <w:szCs w:val="20"/>
                <w:color w:val="auto"/>
              </w:rPr>
            </w:pPr>
            <w:r>
              <w:rPr>
                <w:rFonts w:ascii="Arial" w:cs="Arial" w:eastAsia="Arial" w:hAnsi="Arial"/>
                <w:sz w:val="14"/>
                <w:szCs w:val="14"/>
                <w:b w:val="1"/>
                <w:bCs w:val="1"/>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8"/>
                <w:szCs w:val="18"/>
                <w:color w:val="auto"/>
              </w:rPr>
            </w:pPr>
          </w:p>
        </w:tc>
        <w:tc>
          <w:tcPr>
            <w:tcW w:w="6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35,864</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08"/>
              <w:spacing w:after="0"/>
              <w:rPr>
                <w:sz w:val="20"/>
                <w:szCs w:val="20"/>
                <w:color w:val="auto"/>
              </w:rPr>
            </w:pPr>
            <w:r>
              <w:rPr>
                <w:rFonts w:ascii="Arial" w:cs="Arial" w:eastAsia="Arial" w:hAnsi="Arial"/>
                <w:sz w:val="14"/>
                <w:szCs w:val="14"/>
                <w:b w:val="1"/>
                <w:bCs w:val="1"/>
                <w:color w:val="131E29"/>
              </w:rPr>
              <w:t>$</w:t>
            </w:r>
          </w:p>
        </w:tc>
        <w:tc>
          <w:tcPr>
            <w:tcW w:w="38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10,669</w:t>
            </w: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w w:val="76"/>
              </w:rPr>
              <w:t>$</w:t>
            </w:r>
          </w:p>
        </w:tc>
        <w:tc>
          <w:tcPr>
            <w:tcW w:w="38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w w:val="96"/>
              </w:rPr>
              <w:t>$ 379,391</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544</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(15,592)</w:t>
            </w: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$ 311,576</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$ 675,921</w:t>
            </w:r>
          </w:p>
        </w:tc>
        <w:tc>
          <w:tcPr>
            <w:tcW w:w="0" w:type="dxa"/>
            <w:vAlign w:val="bottom"/>
          </w:tcPr>
          <w:p>
            <w:pPr>
              <w:spacing w:after="0"/>
              <w:rPr>
                <w:sz w:val="1"/>
                <w:szCs w:val="1"/>
                <w:color w:val="auto"/>
              </w:rPr>
            </w:pPr>
          </w:p>
        </w:tc>
      </w:tr>
      <w:tr>
        <w:trPr>
          <w:trHeight w:val="248"/>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26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131E2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21"/>
                <w:szCs w:val="21"/>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21"/>
                <w:szCs w:val="21"/>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31E29"/>
              </w:rPr>
              <w:t>19,002</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19,369</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38,371</w:t>
            </w: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6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400" w:type="dxa"/>
            <w:vAlign w:val="bottom"/>
            <w:gridSpan w:val="2"/>
            <w:vMerge w:val="restart"/>
            <w:shd w:val="clear" w:color="auto" w:fill="D2DCE5"/>
          </w:tcPr>
          <w:p>
            <w:pPr>
              <w:ind w:left="60"/>
              <w:spacing w:after="0"/>
              <w:rPr>
                <w:sz w:val="20"/>
                <w:szCs w:val="20"/>
                <w:color w:val="auto"/>
              </w:rPr>
            </w:pPr>
            <w:r>
              <w:rPr>
                <w:rFonts w:ascii="Arial" w:cs="Arial" w:eastAsia="Arial" w:hAnsi="Arial"/>
                <w:sz w:val="18"/>
                <w:szCs w:val="18"/>
                <w:color w:val="131E29"/>
              </w:rPr>
              <w:t>—</w:t>
            </w: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expense of $64</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26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gridSpan w:val="2"/>
            <w:vMerge w:val="continue"/>
            <w:shd w:val="clear" w:color="auto" w:fill="D2DCE5"/>
          </w:tcPr>
          <w:p>
            <w:pPr>
              <w:spacing w:after="0"/>
              <w:rPr>
                <w:sz w:val="16"/>
                <w:szCs w:val="16"/>
                <w:color w:val="auto"/>
              </w:rPr>
            </w:pP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(328)</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528</w:t>
            </w:r>
          </w:p>
        </w:tc>
        <w:tc>
          <w:tcPr>
            <w:tcW w:w="80" w:type="dxa"/>
            <w:vAlign w:val="bottom"/>
            <w:tcBorders>
              <w:bottom w:val="single" w:sz="8" w:color="D2DCE5"/>
            </w:tcBorders>
            <w:shd w:val="clear" w:color="auto" w:fill="D2DCE5"/>
          </w:tcPr>
          <w:p>
            <w:pPr>
              <w:spacing w:after="0"/>
              <w:rPr>
                <w:sz w:val="16"/>
                <w:szCs w:val="16"/>
                <w:color w:val="auto"/>
              </w:rPr>
            </w:pPr>
          </w:p>
        </w:tc>
        <w:tc>
          <w:tcPr>
            <w:tcW w:w="140" w:type="dxa"/>
            <w:vAlign w:val="bottom"/>
            <w:tcBorders>
              <w:bottom w:val="single" w:sz="8" w:color="D2DCE5"/>
            </w:tcBorders>
            <w:shd w:val="clear" w:color="auto" w:fill="D2DCE5"/>
          </w:tcPr>
          <w:p>
            <w:pPr>
              <w:spacing w:after="0"/>
              <w:rPr>
                <w:sz w:val="16"/>
                <w:szCs w:val="16"/>
                <w:color w:val="auto"/>
              </w:rPr>
            </w:pPr>
          </w:p>
        </w:tc>
        <w:tc>
          <w:tcPr>
            <w:tcW w:w="8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259</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459</w:t>
            </w:r>
          </w:p>
        </w:tc>
        <w:tc>
          <w:tcPr>
            <w:tcW w:w="0" w:type="dxa"/>
            <w:vAlign w:val="bottom"/>
          </w:tcPr>
          <w:p>
            <w:pPr>
              <w:spacing w:after="0"/>
              <w:rPr>
                <w:sz w:val="1"/>
                <w:szCs w:val="1"/>
                <w:color w:val="auto"/>
              </w:rPr>
            </w:pPr>
          </w:p>
        </w:tc>
      </w:tr>
      <w:tr>
        <w:trPr>
          <w:trHeight w:val="193"/>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260" w:type="dxa"/>
            <w:vAlign w:val="bottom"/>
          </w:tcPr>
          <w:p>
            <w:pPr>
              <w:spacing w:after="0"/>
              <w:rPr>
                <w:sz w:val="15"/>
                <w:szCs w:val="1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8"/>
                <w:szCs w:val="18"/>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2,964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2,295</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5,259</w:t>
            </w:r>
          </w:p>
        </w:tc>
        <w:tc>
          <w:tcPr>
            <w:tcW w:w="0" w:type="dxa"/>
            <w:vAlign w:val="bottom"/>
          </w:tcPr>
          <w:p>
            <w:pPr>
              <w:spacing w:after="0"/>
              <w:rPr>
                <w:sz w:val="1"/>
                <w:szCs w:val="1"/>
                <w:color w:val="auto"/>
              </w:rPr>
            </w:pPr>
          </w:p>
        </w:tc>
      </w:tr>
      <w:tr>
        <w:trPr>
          <w:trHeight w:val="194"/>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7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vesting</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6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equity awards, net</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stock withheld for</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tax withholding</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400" w:type="dxa"/>
            <w:vAlign w:val="bottom"/>
            <w:gridSpan w:val="2"/>
            <w:vMerge w:val="restart"/>
            <w:shd w:val="clear" w:color="auto" w:fill="D2DCE5"/>
          </w:tcPr>
          <w:p>
            <w:pPr>
              <w:ind w:left="60"/>
              <w:spacing w:after="0"/>
              <w:rPr>
                <w:sz w:val="20"/>
                <w:szCs w:val="20"/>
                <w:color w:val="auto"/>
              </w:rPr>
            </w:pPr>
            <w:r>
              <w:rPr>
                <w:rFonts w:ascii="Arial" w:cs="Arial" w:eastAsia="Arial" w:hAnsi="Arial"/>
                <w:sz w:val="18"/>
                <w:szCs w:val="18"/>
                <w:color w:val="131E29"/>
              </w:rPr>
              <w:t>—</w:t>
            </w: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obligations</w:t>
            </w: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65</w:t>
            </w: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gridSpan w:val="2"/>
            <w:vMerge w:val="continue"/>
            <w:shd w:val="clear" w:color="auto" w:fill="D2DCE5"/>
          </w:tcPr>
          <w:p>
            <w:pPr>
              <w:spacing w:after="0"/>
              <w:rPr>
                <w:sz w:val="16"/>
                <w:szCs w:val="16"/>
                <w:color w:val="auto"/>
              </w:rPr>
            </w:pP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1,867</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Borders>
              <w:bottom w:val="single" w:sz="8" w:color="D2DCE5"/>
            </w:tcBorders>
            <w:shd w:val="clear" w:color="auto" w:fill="D2DCE5"/>
          </w:tcPr>
          <w:p>
            <w:pPr>
              <w:spacing w:after="0"/>
              <w:rPr>
                <w:sz w:val="16"/>
                <w:szCs w:val="16"/>
                <w:color w:val="auto"/>
              </w:rPr>
            </w:pPr>
          </w:p>
        </w:tc>
        <w:tc>
          <w:tcPr>
            <w:tcW w:w="8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(2,742)</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(875)</w:t>
            </w:r>
          </w:p>
        </w:tc>
        <w:tc>
          <w:tcPr>
            <w:tcW w:w="0" w:type="dxa"/>
            <w:vAlign w:val="bottom"/>
          </w:tcPr>
          <w:p>
            <w:pPr>
              <w:spacing w:after="0"/>
              <w:rPr>
                <w:sz w:val="1"/>
                <w:szCs w:val="1"/>
                <w:color w:val="auto"/>
              </w:rPr>
            </w:pPr>
          </w:p>
        </w:tc>
      </w:tr>
      <w:tr>
        <w:trPr>
          <w:trHeight w:val="193"/>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common stock in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exchange for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cancellation of Class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D common stock,</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and conversion of</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Dutch Bros OpCo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Class A common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units for surrender</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and cancellation of</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Class B and C</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common stock,</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pursuant to</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exchange</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580" w:type="dxa"/>
            <w:vAlign w:val="bottom"/>
          </w:tcPr>
          <w:p>
            <w:pPr>
              <w:jc w:val="right"/>
              <w:spacing w:after="0"/>
              <w:rPr>
                <w:sz w:val="20"/>
                <w:szCs w:val="20"/>
                <w:color w:val="auto"/>
              </w:rPr>
            </w:pPr>
            <w:r>
              <w:rPr>
                <w:rFonts w:ascii="Arial" w:cs="Arial" w:eastAsia="Arial" w:hAnsi="Arial"/>
                <w:sz w:val="14"/>
                <w:szCs w:val="14"/>
                <w:color w:val="131E29"/>
              </w:rPr>
              <w:t>43,794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580" w:type="dxa"/>
            <w:vAlign w:val="bottom"/>
          </w:tcPr>
          <w:p>
            <w:pPr>
              <w:jc w:val="right"/>
              <w:spacing w:after="0"/>
              <w:rPr>
                <w:sz w:val="20"/>
                <w:szCs w:val="20"/>
                <w:color w:val="auto"/>
              </w:rPr>
            </w:pPr>
            <w:r>
              <w:rPr>
                <w:rFonts w:ascii="Arial" w:cs="Arial" w:eastAsia="Arial" w:hAnsi="Arial"/>
                <w:sz w:val="14"/>
                <w:szCs w:val="14"/>
                <w:color w:val="131E29"/>
              </w:rPr>
              <w:t>(2,402)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00" w:type="dxa"/>
            <w:vAlign w:val="bottom"/>
          </w:tcPr>
          <w:p>
            <w:pPr>
              <w:jc w:val="right"/>
              <w:spacing w:after="0"/>
              <w:rPr>
                <w:sz w:val="20"/>
                <w:szCs w:val="20"/>
                <w:color w:val="auto"/>
              </w:rPr>
            </w:pPr>
            <w:r>
              <w:rPr>
                <w:rFonts w:ascii="Arial" w:cs="Arial" w:eastAsia="Arial" w:hAnsi="Arial"/>
                <w:sz w:val="14"/>
                <w:szCs w:val="14"/>
                <w:color w:val="131E29"/>
              </w:rPr>
              <w:t>(30,722)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580" w:type="dxa"/>
            <w:vAlign w:val="bottom"/>
          </w:tcPr>
          <w:p>
            <w:pPr>
              <w:jc w:val="right"/>
              <w:spacing w:after="0"/>
              <w:rPr>
                <w:sz w:val="20"/>
                <w:szCs w:val="20"/>
                <w:color w:val="auto"/>
              </w:rPr>
            </w:pPr>
            <w:r>
              <w:rPr>
                <w:rFonts w:ascii="Arial" w:cs="Arial" w:eastAsia="Arial" w:hAnsi="Arial"/>
                <w:sz w:val="14"/>
                <w:szCs w:val="14"/>
                <w:color w:val="131E29"/>
              </w:rPr>
              <w:t>(10,669)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w:t>
            </w: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transactions of Dutch</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Bros OpCo Class A</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60" w:type="dxa"/>
            <w:vAlign w:val="bottom"/>
            <w:shd w:val="clear" w:color="auto" w:fill="D2DCE5"/>
          </w:tcPr>
          <w:p>
            <w:pPr>
              <w:spacing w:after="0"/>
              <w:rPr>
                <w:sz w:val="14"/>
                <w:szCs w:val="14"/>
                <w:color w:val="auto"/>
              </w:rPr>
            </w:pPr>
          </w:p>
        </w:tc>
        <w:tc>
          <w:tcPr>
            <w:tcW w:w="400" w:type="dxa"/>
            <w:vAlign w:val="bottom"/>
            <w:gridSpan w:val="2"/>
            <w:vMerge w:val="restart"/>
            <w:shd w:val="clear" w:color="auto" w:fill="D2DCE5"/>
          </w:tcPr>
          <w:p>
            <w:pPr>
              <w:ind w:left="60"/>
              <w:spacing w:after="0"/>
              <w:rPr>
                <w:sz w:val="20"/>
                <w:szCs w:val="20"/>
                <w:color w:val="auto"/>
              </w:rPr>
            </w:pPr>
            <w:r>
              <w:rPr>
                <w:rFonts w:ascii="Arial" w:cs="Arial" w:eastAsia="Arial" w:hAnsi="Arial"/>
                <w:sz w:val="18"/>
                <w:szCs w:val="18"/>
                <w:color w:val="131E29"/>
              </w:rPr>
              <w:t>—</w:t>
            </w: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common units</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26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gridSpan w:val="2"/>
            <w:vMerge w:val="continue"/>
            <w:shd w:val="clear" w:color="auto" w:fill="D2DCE5"/>
          </w:tcPr>
          <w:p>
            <w:pPr>
              <w:spacing w:after="0"/>
              <w:rPr>
                <w:sz w:val="16"/>
                <w:szCs w:val="16"/>
                <w:color w:val="auto"/>
              </w:rPr>
            </w:pP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110,085</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Borders>
              <w:bottom w:val="single" w:sz="8" w:color="D2DCE5"/>
            </w:tcBorders>
            <w:shd w:val="clear" w:color="auto" w:fill="D2DCE5"/>
          </w:tcPr>
          <w:p>
            <w:pPr>
              <w:spacing w:after="0"/>
              <w:rPr>
                <w:sz w:val="16"/>
                <w:szCs w:val="16"/>
                <w:color w:val="auto"/>
              </w:rPr>
            </w:pPr>
          </w:p>
        </w:tc>
        <w:tc>
          <w:tcPr>
            <w:tcW w:w="8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(110,085)</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3"/>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Impacts of Tax</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Receivable</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260" w:type="dxa"/>
            <w:vAlign w:val="bottom"/>
          </w:tcPr>
          <w:p>
            <w:pPr>
              <w:spacing w:after="0"/>
              <w:rPr>
                <w:sz w:val="15"/>
                <w:szCs w:val="1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8"/>
                <w:szCs w:val="18"/>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280" w:type="dxa"/>
            <w:vAlign w:val="bottom"/>
          </w:tcPr>
          <w:p>
            <w:pPr>
              <w:spacing w:after="0"/>
              <w:rPr>
                <w:sz w:val="15"/>
                <w:szCs w:val="1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10,678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10,678</w:t>
            </w:r>
          </w:p>
        </w:tc>
        <w:tc>
          <w:tcPr>
            <w:tcW w:w="0" w:type="dxa"/>
            <w:vAlign w:val="bottom"/>
          </w:tcPr>
          <w:p>
            <w:pPr>
              <w:spacing w:after="0"/>
              <w:rPr>
                <w:sz w:val="1"/>
                <w:szCs w:val="1"/>
                <w:color w:val="auto"/>
              </w:rPr>
            </w:pPr>
          </w:p>
        </w:tc>
      </w:tr>
      <w:tr>
        <w:trPr>
          <w:trHeight w:val="194"/>
        </w:trPr>
        <w:tc>
          <w:tcPr>
            <w:tcW w:w="150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B common</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7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decoupled from</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6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A common</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units, surrendered</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80" w:type="dxa"/>
            <w:vAlign w:val="bottom"/>
            <w:vMerge w:val="restart"/>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and cancelled</w:t>
            </w: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8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(23,000)</w:t>
            </w:r>
          </w:p>
        </w:tc>
        <w:tc>
          <w:tcPr>
            <w:tcW w:w="10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8"/>
                <w:szCs w:val="18"/>
                <w:color w:val="auto"/>
              </w:rPr>
            </w:pPr>
          </w:p>
        </w:tc>
        <w:tc>
          <w:tcPr>
            <w:tcW w:w="6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700" w:type="dxa"/>
            <w:vAlign w:val="bottom"/>
            <w:tcBorders>
              <w:bottom w:val="single" w:sz="8" w:color="auto"/>
            </w:tcBorders>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780" w:type="dxa"/>
            <w:vAlign w:val="bottom"/>
            <w:tcBorders>
              <w:bottom w:val="single" w:sz="8" w:color="auto"/>
            </w:tcBorders>
            <w:vMerge w:val="continue"/>
            <w:shd w:val="clear" w:color="auto" w:fill="D2DCE5"/>
          </w:tcPr>
          <w:p>
            <w:pPr>
              <w:spacing w:after="0"/>
              <w:rPr>
                <w:sz w:val="18"/>
                <w:szCs w:val="18"/>
                <w:color w:val="auto"/>
              </w:rPr>
            </w:pPr>
          </w:p>
        </w:tc>
        <w:tc>
          <w:tcPr>
            <w:tcW w:w="80" w:type="dxa"/>
            <w:vAlign w:val="bottom"/>
            <w:vMerge w:val="continue"/>
            <w:shd w:val="clear" w:color="auto" w:fill="D2DCE5"/>
          </w:tcPr>
          <w:p>
            <w:pPr>
              <w:spacing w:after="0"/>
              <w:rPr>
                <w:sz w:val="18"/>
                <w:szCs w:val="18"/>
                <w:color w:val="auto"/>
              </w:rPr>
            </w:pP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0" w:type="dxa"/>
            <w:vAlign w:val="bottom"/>
          </w:tcPr>
          <w:p>
            <w:pPr>
              <w:spacing w:after="0"/>
              <w:rPr>
                <w:sz w:val="1"/>
                <w:szCs w:val="1"/>
                <w:color w:val="auto"/>
              </w:rPr>
            </w:pPr>
          </w:p>
        </w:tc>
      </w:tr>
      <w:tr>
        <w:trPr>
          <w:trHeight w:val="173"/>
        </w:trPr>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131E29"/>
                <w:w w:val="98"/>
              </w:rPr>
              <w:t>113,817</w:t>
            </w:r>
          </w:p>
        </w:tc>
        <w:tc>
          <w:tcPr>
            <w:tcW w:w="80" w:type="dxa"/>
            <w:vAlign w:val="bottom"/>
          </w:tcPr>
          <w:p>
            <w:pPr>
              <w:spacing w:after="0"/>
              <w:rPr>
                <w:sz w:val="15"/>
                <w:szCs w:val="15"/>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b w:val="1"/>
                <w:bCs w:val="1"/>
                <w:color w:val="131E29"/>
              </w:rPr>
              <w:t>$</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35,227</w:t>
            </w:r>
          </w:p>
        </w:tc>
        <w:tc>
          <w:tcPr>
            <w:tcW w:w="100" w:type="dxa"/>
            <w:vAlign w:val="bottom"/>
          </w:tcPr>
          <w:p>
            <w:pPr>
              <w:spacing w:after="0"/>
              <w:rPr>
                <w:sz w:val="15"/>
                <w:szCs w:val="15"/>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131E29"/>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131E29"/>
              </w:rPr>
              <w:t>5,142</w:t>
            </w:r>
          </w:p>
        </w:tc>
        <w:tc>
          <w:tcPr>
            <w:tcW w:w="8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131E29"/>
              </w:rPr>
              <w:t>$</w:t>
            </w: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131E2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131E29"/>
              </w:rPr>
              <w:t>—</w:t>
            </w: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131E29"/>
                <w:w w:val="76"/>
              </w:rPr>
              <w:t>$</w:t>
            </w: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131E29"/>
                <w:w w:val="96"/>
              </w:rPr>
              <w:t>$ 504,657</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1,072</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3,410</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$ 220,672</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131E29"/>
                <w:w w:val="99"/>
              </w:rPr>
              <w:t>$ 729,812</w:t>
            </w: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31E29"/>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w:t>
      </w:r>
    </w:p>
    <w:p>
      <w:pPr>
        <w:spacing w:after="0" w:line="200" w:lineRule="exact"/>
        <w:rPr>
          <w:sz w:val="20"/>
          <w:szCs w:val="20"/>
          <w:color w:val="auto"/>
        </w:rPr>
      </w:pPr>
    </w:p>
    <w:p>
      <w:pPr>
        <w:spacing w:after="0" w:line="224"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29210</wp:posOffset>
            </wp:positionV>
            <wp:extent cx="1465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660" w:type="dxa"/>
            <w:vAlign w:val="bottom"/>
            <w:tcBorders>
              <w:bottom w:val="single" w:sz="8" w:color="D2DCE5"/>
            </w:tcBorders>
          </w:tcPr>
          <w:p>
            <w:pPr>
              <w:spacing w:after="0"/>
              <w:rPr>
                <w:sz w:val="19"/>
                <w:szCs w:val="19"/>
                <w:color w:val="auto"/>
              </w:rPr>
            </w:pPr>
          </w:p>
        </w:tc>
        <w:tc>
          <w:tcPr>
            <w:tcW w:w="240" w:type="dxa"/>
            <w:vAlign w:val="bottom"/>
            <w:tcBorders>
              <w:bottom w:val="single" w:sz="8" w:color="D7282F"/>
            </w:tcBorders>
          </w:tcPr>
          <w:p>
            <w:pPr>
              <w:spacing w:after="0"/>
              <w:rPr>
                <w:sz w:val="19"/>
                <w:szCs w:val="19"/>
                <w:color w:val="auto"/>
              </w:rPr>
            </w:pPr>
          </w:p>
        </w:tc>
        <w:tc>
          <w:tcPr>
            <w:tcW w:w="880" w:type="dxa"/>
            <w:vAlign w:val="bottom"/>
            <w:tcBorders>
              <w:bottom w:val="single" w:sz="8" w:color="D7282F"/>
            </w:tcBorders>
          </w:tcPr>
          <w:p>
            <w:pPr>
              <w:jc w:val="right"/>
              <w:ind w:right="299"/>
              <w:spacing w:after="0"/>
              <w:rPr>
                <w:sz w:val="20"/>
                <w:szCs w:val="20"/>
                <w:color w:val="auto"/>
              </w:rPr>
            </w:pPr>
            <w:r>
              <w:rPr>
                <w:rFonts w:ascii="Arial" w:cs="Arial" w:eastAsia="Arial" w:hAnsi="Arial"/>
                <w:sz w:val="16"/>
                <w:szCs w:val="16"/>
                <w:b w:val="1"/>
                <w:bCs w:val="1"/>
                <w:color w:val="131E29"/>
              </w:rPr>
              <w:t>2025</w:t>
            </w:r>
          </w:p>
        </w:tc>
        <w:tc>
          <w:tcPr>
            <w:tcW w:w="80" w:type="dxa"/>
            <w:vAlign w:val="bottom"/>
            <w:tcBorders>
              <w:bottom w:val="single" w:sz="8" w:color="D2DCE5"/>
            </w:tcBorders>
          </w:tcPr>
          <w:p>
            <w:pPr>
              <w:spacing w:after="0"/>
              <w:rPr>
                <w:sz w:val="19"/>
                <w:szCs w:val="19"/>
                <w:color w:val="auto"/>
              </w:rPr>
            </w:pPr>
          </w:p>
        </w:tc>
        <w:tc>
          <w:tcPr>
            <w:tcW w:w="240" w:type="dxa"/>
            <w:vAlign w:val="bottom"/>
            <w:tcBorders>
              <w:bottom w:val="single" w:sz="8" w:color="D7282F"/>
            </w:tcBorders>
          </w:tcPr>
          <w:p>
            <w:pPr>
              <w:spacing w:after="0"/>
              <w:rPr>
                <w:sz w:val="19"/>
                <w:szCs w:val="19"/>
                <w:color w:val="auto"/>
              </w:rPr>
            </w:pPr>
          </w:p>
        </w:tc>
        <w:tc>
          <w:tcPr>
            <w:tcW w:w="880" w:type="dxa"/>
            <w:vAlign w:val="bottom"/>
            <w:tcBorders>
              <w:bottom w:val="single" w:sz="8" w:color="D7282F"/>
            </w:tcBorders>
          </w:tcPr>
          <w:p>
            <w:pPr>
              <w:jc w:val="right"/>
              <w:ind w:right="299"/>
              <w:spacing w:after="0"/>
              <w:rPr>
                <w:sz w:val="20"/>
                <w:szCs w:val="20"/>
                <w:color w:val="auto"/>
              </w:rPr>
            </w:pPr>
            <w:r>
              <w:rPr>
                <w:rFonts w:ascii="Arial" w:cs="Arial" w:eastAsia="Arial" w:hAnsi="Arial"/>
                <w:sz w:val="16"/>
                <w:szCs w:val="16"/>
                <w:b w:val="1"/>
                <w:bCs w:val="1"/>
                <w:color w:val="131E29"/>
              </w:rPr>
              <w:t>2024</w:t>
            </w:r>
          </w:p>
        </w:tc>
      </w:tr>
      <w:tr>
        <w:trPr>
          <w:trHeight w:val="240"/>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flows from operating activities:</w:t>
            </w:r>
          </w:p>
        </w:tc>
        <w:tc>
          <w:tcPr>
            <w:tcW w:w="240" w:type="dxa"/>
            <w:vAlign w:val="bottom"/>
            <w:shd w:val="clear" w:color="auto" w:fill="D2DCE5"/>
          </w:tcPr>
          <w:p>
            <w:pPr>
              <w:spacing w:after="0"/>
              <w:rPr>
                <w:sz w:val="20"/>
                <w:szCs w:val="20"/>
                <w:color w:val="auto"/>
              </w:rPr>
            </w:pPr>
          </w:p>
        </w:tc>
        <w:tc>
          <w:tcPr>
            <w:tcW w:w="8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880" w:type="dxa"/>
            <w:vAlign w:val="bottom"/>
            <w:shd w:val="clear" w:color="auto" w:fill="D2DCE5"/>
          </w:tcPr>
          <w:p>
            <w:pPr>
              <w:spacing w:after="0"/>
              <w:rPr>
                <w:sz w:val="20"/>
                <w:szCs w:val="20"/>
                <w:color w:val="auto"/>
              </w:rPr>
            </w:pP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006098"/>
              </w:rPr>
              <w:t>$</w:t>
            </w:r>
          </w:p>
        </w:tc>
        <w:tc>
          <w:tcPr>
            <w:tcW w:w="880" w:type="dxa"/>
            <w:vAlign w:val="bottom"/>
          </w:tcPr>
          <w:p>
            <w:pPr>
              <w:jc w:val="right"/>
              <w:spacing w:after="0"/>
              <w:rPr>
                <w:sz w:val="20"/>
                <w:szCs w:val="20"/>
                <w:color w:val="auto"/>
              </w:rPr>
            </w:pPr>
            <w:r>
              <w:rPr>
                <w:rFonts w:ascii="Arial" w:cs="Arial" w:eastAsia="Arial" w:hAnsi="Arial"/>
                <w:sz w:val="16"/>
                <w:szCs w:val="16"/>
                <w:color w:val="006098"/>
              </w:rPr>
              <w:t>60,837</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131E29"/>
              </w:rPr>
              <w:t>$</w:t>
            </w:r>
          </w:p>
        </w:tc>
        <w:tc>
          <w:tcPr>
            <w:tcW w:w="880" w:type="dxa"/>
            <w:vAlign w:val="bottom"/>
          </w:tcPr>
          <w:p>
            <w:pPr>
              <w:jc w:val="right"/>
              <w:spacing w:after="0"/>
              <w:rPr>
                <w:sz w:val="20"/>
                <w:szCs w:val="20"/>
                <w:color w:val="auto"/>
              </w:rPr>
            </w:pPr>
            <w:r>
              <w:rPr>
                <w:rFonts w:ascii="Arial" w:cs="Arial" w:eastAsia="Arial" w:hAnsi="Arial"/>
                <w:sz w:val="16"/>
                <w:szCs w:val="16"/>
                <w:color w:val="131E29"/>
              </w:rPr>
              <w:t>38,371</w:t>
            </w:r>
          </w:p>
        </w:tc>
      </w:tr>
      <w:tr>
        <w:trPr>
          <w:trHeight w:val="251"/>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Adjustments to reconcile net income to net cash provided by operating activities: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spacing w:after="0"/>
              <w:rPr>
                <w:sz w:val="21"/>
                <w:szCs w:val="21"/>
                <w:color w:val="auto"/>
              </w:rPr>
            </w:pP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Depreciation and amortization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54,323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43,603</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Non-cash interest expense</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506</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556</w:t>
            </w: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Loss (gain) on disposal of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(765)</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Loss on extinguishment of debt</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809</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Equity-based compensation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8,865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5,259</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Deferred income taxes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7,340</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11,686</w:t>
            </w: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Remeasurement gain on TRAs</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006098"/>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(5,687)</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Non-cash operating lease cost</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9,566</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7,085</w:t>
            </w: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Changes in operating assets and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Accounts receivable, net</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(2,935)</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(3,214)</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Inventories,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(5,931)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302</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Prepaid expenses and other current assets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2,085</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1,079</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Other long-term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(1,634)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(138)</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Accounts payable</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(488)</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4,854</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Accrued compensation and benefits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(8,266)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437</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Other accrued liabilities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(1,120)</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1,264</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Other current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7,107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(550)</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Deferred revenue</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390</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1,495</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Other long-term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244"/>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Operating lease liabilities</w:t>
            </w: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(4,718)</w:t>
            </w:r>
          </w:p>
        </w:tc>
        <w:tc>
          <w:tcPr>
            <w:tcW w:w="8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(4,908)</w:t>
            </w:r>
          </w:p>
        </w:tc>
      </w:tr>
      <w:tr>
        <w:trPr>
          <w:trHeight w:val="237"/>
        </w:trPr>
        <w:tc>
          <w:tcPr>
            <w:tcW w:w="8780" w:type="dxa"/>
            <w:vAlign w:val="bottom"/>
            <w:tcBorders>
              <w:bottom w:val="single" w:sz="8" w:color="D2DCE5"/>
            </w:tcBorders>
            <w:gridSpan w:val="2"/>
          </w:tcPr>
          <w:p>
            <w:pPr>
              <w:ind w:left="660"/>
              <w:spacing w:after="0"/>
              <w:rPr>
                <w:sz w:val="20"/>
                <w:szCs w:val="20"/>
                <w:color w:val="auto"/>
              </w:rPr>
            </w:pPr>
            <w:r>
              <w:rPr>
                <w:rFonts w:ascii="Arial" w:cs="Arial" w:eastAsia="Arial" w:hAnsi="Arial"/>
                <w:sz w:val="16"/>
                <w:szCs w:val="16"/>
                <w:color w:val="131E29"/>
              </w:rPr>
              <w:t>Net cash provided by operating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126,781</w:t>
            </w:r>
          </w:p>
        </w:tc>
        <w:tc>
          <w:tcPr>
            <w:tcW w:w="8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100,729</w:t>
            </w:r>
          </w:p>
        </w:tc>
      </w:tr>
      <w:tr>
        <w:trPr>
          <w:trHeight w:val="230"/>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flows from investing activities:</w:t>
            </w: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Purchases of property and equipment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(99,762)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(121,910)</w:t>
            </w:r>
          </w:p>
        </w:tc>
      </w:tr>
      <w:tr>
        <w:trPr>
          <w:trHeight w:val="244"/>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disposal of fixed assets</w:t>
            </w: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31</w:t>
            </w:r>
          </w:p>
        </w:tc>
        <w:tc>
          <w:tcPr>
            <w:tcW w:w="8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8,670</w:t>
            </w:r>
          </w:p>
        </w:tc>
      </w:tr>
      <w:tr>
        <w:trPr>
          <w:trHeight w:val="237"/>
        </w:trPr>
        <w:tc>
          <w:tcPr>
            <w:tcW w:w="8780" w:type="dxa"/>
            <w:vAlign w:val="bottom"/>
            <w:tcBorders>
              <w:bottom w:val="single" w:sz="8" w:color="D2DCE5"/>
            </w:tcBorders>
            <w:gridSpan w:val="2"/>
          </w:tcPr>
          <w:p>
            <w:pPr>
              <w:ind w:left="660"/>
              <w:spacing w:after="0"/>
              <w:rPr>
                <w:sz w:val="20"/>
                <w:szCs w:val="20"/>
                <w:color w:val="auto"/>
              </w:rPr>
            </w:pPr>
            <w:r>
              <w:rPr>
                <w:rFonts w:ascii="Arial" w:cs="Arial" w:eastAsia="Arial" w:hAnsi="Arial"/>
                <w:sz w:val="16"/>
                <w:szCs w:val="16"/>
                <w:color w:val="131E29"/>
              </w:rPr>
              <w:t>Net cash used in investing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(99,731)</w:t>
            </w:r>
          </w:p>
        </w:tc>
        <w:tc>
          <w:tcPr>
            <w:tcW w:w="8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(113,240)</w:t>
            </w:r>
          </w:p>
        </w:tc>
      </w:tr>
      <w:tr>
        <w:trPr>
          <w:trHeight w:val="230"/>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flows from financing activities:</w:t>
            </w: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Payments on finance lease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(7,111)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(4,493)</w:t>
            </w:r>
          </w:p>
        </w:tc>
      </w:tr>
      <w:tr>
        <w:trPr>
          <w:trHeight w:val="251"/>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long-term debt</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250,000</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150,000</w:t>
            </w: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Payments on long-term debt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(284,748)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(4,744)</w:t>
            </w:r>
          </w:p>
        </w:tc>
      </w:tr>
      <w:tr>
        <w:trPr>
          <w:trHeight w:val="251"/>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of debt issuance costs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(1,547)</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Tax withholding payments upon vesting of equity awards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(11,018)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(875)</w:t>
            </w:r>
          </w:p>
        </w:tc>
      </w:tr>
      <w:tr>
        <w:trPr>
          <w:trHeight w:val="251"/>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Distributions to non-controlling interest holders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(6,867)</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6"/>
        </w:trPr>
        <w:tc>
          <w:tcPr>
            <w:tcW w:w="878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Payments under tax receivable agreements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(4,698)</w:t>
            </w:r>
          </w:p>
        </w:tc>
        <w:tc>
          <w:tcPr>
            <w:tcW w:w="8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w:t>
            </w:r>
          </w:p>
        </w:tc>
      </w:tr>
      <w:tr>
        <w:trPr>
          <w:trHeight w:val="237"/>
        </w:trPr>
        <w:tc>
          <w:tcPr>
            <w:tcW w:w="8780" w:type="dxa"/>
            <w:vAlign w:val="bottom"/>
            <w:gridSpan w:val="2"/>
            <w:shd w:val="clear" w:color="auto" w:fill="D2DCE5"/>
          </w:tcPr>
          <w:p>
            <w:pPr>
              <w:ind w:left="560"/>
              <w:spacing w:after="0"/>
              <w:rPr>
                <w:sz w:val="20"/>
                <w:szCs w:val="20"/>
                <w:color w:val="auto"/>
              </w:rPr>
            </w:pPr>
            <w:r>
              <w:rPr>
                <w:rFonts w:ascii="Arial" w:cs="Arial" w:eastAsia="Arial" w:hAnsi="Arial"/>
                <w:sz w:val="16"/>
                <w:szCs w:val="16"/>
                <w:color w:val="131E29"/>
              </w:rPr>
              <w:t>Net cash provided by (used in) financing activities</w:t>
            </w:r>
          </w:p>
        </w:tc>
        <w:tc>
          <w:tcPr>
            <w:tcW w:w="240" w:type="dxa"/>
            <w:vAlign w:val="bottom"/>
            <w:tcBorders>
              <w:bottom w:val="single" w:sz="8" w:color="auto"/>
            </w:tcBorders>
            <w:shd w:val="clear" w:color="auto" w:fill="D2DCE5"/>
          </w:tcPr>
          <w:p>
            <w:pPr>
              <w:spacing w:after="0"/>
              <w:rPr>
                <w:sz w:val="20"/>
                <w:szCs w:val="20"/>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(65,989)</w:t>
            </w:r>
          </w:p>
        </w:tc>
        <w:tc>
          <w:tcPr>
            <w:tcW w:w="80" w:type="dxa"/>
            <w:vAlign w:val="bottom"/>
            <w:shd w:val="clear" w:color="auto" w:fill="D2DCE5"/>
          </w:tcPr>
          <w:p>
            <w:pPr>
              <w:spacing w:after="0"/>
              <w:rPr>
                <w:sz w:val="20"/>
                <w:szCs w:val="20"/>
                <w:color w:val="auto"/>
              </w:rPr>
            </w:pPr>
          </w:p>
        </w:tc>
        <w:tc>
          <w:tcPr>
            <w:tcW w:w="240" w:type="dxa"/>
            <w:vAlign w:val="bottom"/>
            <w:tcBorders>
              <w:bottom w:val="single" w:sz="8" w:color="auto"/>
            </w:tcBorders>
            <w:shd w:val="clear" w:color="auto" w:fill="D2DCE5"/>
          </w:tcPr>
          <w:p>
            <w:pPr>
              <w:spacing w:after="0"/>
              <w:rPr>
                <w:sz w:val="20"/>
                <w:szCs w:val="20"/>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139,888</w:t>
            </w:r>
          </w:p>
        </w:tc>
      </w:tr>
      <w:tr>
        <w:trPr>
          <w:trHeight w:val="235"/>
        </w:trPr>
        <w:tc>
          <w:tcPr>
            <w:tcW w:w="8780" w:type="dxa"/>
            <w:vAlign w:val="bottom"/>
            <w:gridSpan w:val="2"/>
          </w:tcPr>
          <w:p>
            <w:pPr>
              <w:ind w:left="660"/>
              <w:spacing w:after="0"/>
              <w:rPr>
                <w:sz w:val="20"/>
                <w:szCs w:val="20"/>
                <w:color w:val="auto"/>
              </w:rPr>
            </w:pPr>
            <w:r>
              <w:rPr>
                <w:rFonts w:ascii="Arial" w:cs="Arial" w:eastAsia="Arial" w:hAnsi="Arial"/>
                <w:sz w:val="16"/>
                <w:szCs w:val="16"/>
                <w:color w:val="131E29"/>
              </w:rPr>
              <w:t>Net increase (decrease) in cash and cash equivalents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(38,939)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127,377</w:t>
            </w:r>
          </w:p>
        </w:tc>
      </w:tr>
      <w:tr>
        <w:trPr>
          <w:trHeight w:val="244"/>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and cash equivalents, beginning of period</w:t>
            </w: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293,354</w:t>
            </w:r>
          </w:p>
        </w:tc>
        <w:tc>
          <w:tcPr>
            <w:tcW w:w="8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133,545</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Cash and cash equivalents,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006098"/>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6098"/>
              </w:rPr>
              <w:t>254,415</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131E2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31E29"/>
              </w:rPr>
              <w:t>260,922</w:t>
            </w:r>
          </w:p>
        </w:tc>
      </w:tr>
      <w:tr>
        <w:trPr>
          <w:trHeight w:val="20"/>
        </w:trPr>
        <w:tc>
          <w:tcPr>
            <w:tcW w:w="8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980"/>
        <w:spacing w:after="0"/>
        <w:rPr>
          <w:sz w:val="20"/>
          <w:szCs w:val="20"/>
          <w:color w:val="auto"/>
        </w:rPr>
      </w:pPr>
      <w:r>
        <w:rPr>
          <w:rFonts w:ascii="Arial" w:cs="Arial" w:eastAsia="Arial" w:hAnsi="Arial"/>
          <w:sz w:val="16"/>
          <w:szCs w:val="16"/>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29210</wp:posOffset>
            </wp:positionV>
            <wp:extent cx="1534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19"/>
                <w:szCs w:val="19"/>
                <w:color w:val="auto"/>
              </w:rPr>
            </w:pPr>
          </w:p>
        </w:tc>
        <w:tc>
          <w:tcPr>
            <w:tcW w:w="260" w:type="dxa"/>
            <w:vAlign w:val="bottom"/>
            <w:tcBorders>
              <w:bottom w:val="single" w:sz="8" w:color="D7282F"/>
            </w:tcBorders>
          </w:tcPr>
          <w:p>
            <w:pPr>
              <w:spacing w:after="0"/>
              <w:rPr>
                <w:sz w:val="19"/>
                <w:szCs w:val="19"/>
                <w:color w:val="auto"/>
              </w:rPr>
            </w:pPr>
          </w:p>
        </w:tc>
        <w:tc>
          <w:tcPr>
            <w:tcW w:w="900" w:type="dxa"/>
            <w:vAlign w:val="bottom"/>
            <w:tcBorders>
              <w:bottom w:val="single" w:sz="8" w:color="D7282F"/>
            </w:tcBorders>
          </w:tcPr>
          <w:p>
            <w:pPr>
              <w:jc w:val="right"/>
              <w:ind w:right="319"/>
              <w:spacing w:after="0"/>
              <w:rPr>
                <w:sz w:val="20"/>
                <w:szCs w:val="20"/>
                <w:color w:val="auto"/>
              </w:rPr>
            </w:pPr>
            <w:r>
              <w:rPr>
                <w:rFonts w:ascii="Arial" w:cs="Arial" w:eastAsia="Arial" w:hAnsi="Arial"/>
                <w:sz w:val="16"/>
                <w:szCs w:val="16"/>
                <w:b w:val="1"/>
                <w:bCs w:val="1"/>
                <w:color w:val="131E29"/>
              </w:rPr>
              <w:t>2025</w:t>
            </w:r>
          </w:p>
        </w:tc>
        <w:tc>
          <w:tcPr>
            <w:tcW w:w="100" w:type="dxa"/>
            <w:vAlign w:val="bottom"/>
          </w:tcPr>
          <w:p>
            <w:pPr>
              <w:spacing w:after="0"/>
              <w:rPr>
                <w:sz w:val="19"/>
                <w:szCs w:val="19"/>
                <w:color w:val="auto"/>
              </w:rPr>
            </w:pPr>
          </w:p>
        </w:tc>
        <w:tc>
          <w:tcPr>
            <w:tcW w:w="260" w:type="dxa"/>
            <w:vAlign w:val="bottom"/>
            <w:tcBorders>
              <w:bottom w:val="single" w:sz="8" w:color="D7282F"/>
            </w:tcBorders>
          </w:tcPr>
          <w:p>
            <w:pPr>
              <w:spacing w:after="0"/>
              <w:rPr>
                <w:sz w:val="19"/>
                <w:szCs w:val="19"/>
                <w:color w:val="auto"/>
              </w:rPr>
            </w:pPr>
          </w:p>
        </w:tc>
        <w:tc>
          <w:tcPr>
            <w:tcW w:w="900" w:type="dxa"/>
            <w:vAlign w:val="bottom"/>
            <w:tcBorders>
              <w:bottom w:val="single" w:sz="8" w:color="D7282F"/>
            </w:tcBorders>
          </w:tcPr>
          <w:p>
            <w:pPr>
              <w:jc w:val="right"/>
              <w:ind w:right="319"/>
              <w:spacing w:after="0"/>
              <w:rPr>
                <w:sz w:val="20"/>
                <w:szCs w:val="20"/>
                <w:color w:val="auto"/>
              </w:rPr>
            </w:pPr>
            <w:r>
              <w:rPr>
                <w:rFonts w:ascii="Arial" w:cs="Arial" w:eastAsia="Arial" w:hAnsi="Arial"/>
                <w:sz w:val="16"/>
                <w:szCs w:val="16"/>
                <w:b w:val="1"/>
                <w:bCs w:val="1"/>
                <w:color w:val="131E29"/>
              </w:rPr>
              <w:t>2024</w:t>
            </w:r>
          </w:p>
        </w:tc>
      </w:tr>
      <w:tr>
        <w:trPr>
          <w:trHeight w:val="237"/>
        </w:trPr>
        <w:tc>
          <w:tcPr>
            <w:tcW w:w="8820" w:type="dxa"/>
            <w:vAlign w:val="bottom"/>
            <w:gridSpan w:val="2"/>
          </w:tcPr>
          <w:p>
            <w:pPr>
              <w:ind w:left="20"/>
              <w:spacing w:after="0"/>
              <w:rPr>
                <w:sz w:val="20"/>
                <w:szCs w:val="20"/>
                <w:color w:val="auto"/>
              </w:rPr>
            </w:pPr>
            <w:r>
              <w:rPr>
                <w:rFonts w:ascii="Arial" w:cs="Arial" w:eastAsia="Arial" w:hAnsi="Arial"/>
                <w:sz w:val="16"/>
                <w:szCs w:val="16"/>
                <w:b w:val="1"/>
                <w:bCs w:val="1"/>
                <w:color w:val="131E29"/>
              </w:rPr>
              <w:t>Supplemental disclosure of cash flow information</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7"/>
        </w:trPr>
        <w:tc>
          <w:tcPr>
            <w:tcW w:w="88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Interest paid</w:t>
            </w:r>
          </w:p>
        </w:tc>
        <w:tc>
          <w:tcPr>
            <w:tcW w:w="26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006098"/>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20,154</w:t>
            </w: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jc w:val="right"/>
              <w:ind w:right="79"/>
              <w:spacing w:after="0"/>
              <w:rPr>
                <w:sz w:val="20"/>
                <w:szCs w:val="20"/>
                <w:color w:val="auto"/>
              </w:rPr>
            </w:pPr>
            <w:r>
              <w:rPr>
                <w:rFonts w:ascii="Arial" w:cs="Arial" w:eastAsia="Arial" w:hAnsi="Arial"/>
                <w:sz w:val="16"/>
                <w:szCs w:val="16"/>
                <w:color w:val="131E29"/>
                <w:w w:val="89"/>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18,777</w:t>
            </w:r>
          </w:p>
        </w:tc>
      </w:tr>
      <w:tr>
        <w:trPr>
          <w:trHeight w:val="235"/>
        </w:trPr>
        <w:tc>
          <w:tcPr>
            <w:tcW w:w="8820" w:type="dxa"/>
            <w:vAlign w:val="bottom"/>
            <w:gridSpan w:val="2"/>
          </w:tcPr>
          <w:p>
            <w:pPr>
              <w:ind w:left="180"/>
              <w:spacing w:after="0"/>
              <w:rPr>
                <w:sz w:val="20"/>
                <w:szCs w:val="20"/>
                <w:color w:val="auto"/>
              </w:rPr>
            </w:pPr>
            <w:r>
              <w:rPr>
                <w:rFonts w:ascii="Arial" w:cs="Arial" w:eastAsia="Arial" w:hAnsi="Arial"/>
                <w:sz w:val="16"/>
                <w:szCs w:val="16"/>
                <w:color w:val="131E29"/>
              </w:rPr>
              <w:t>Income taxes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6098"/>
              </w:rPr>
              <w:t>890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31E29"/>
              </w:rPr>
              <w:t>775</w:t>
            </w:r>
          </w:p>
        </w:tc>
      </w:tr>
      <w:tr>
        <w:trPr>
          <w:trHeight w:val="251"/>
        </w:trPr>
        <w:tc>
          <w:tcPr>
            <w:tcW w:w="882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Supplemental disclosure of noncash investing and financing activities</w:t>
            </w:r>
          </w:p>
        </w:tc>
        <w:tc>
          <w:tcPr>
            <w:tcW w:w="260" w:type="dxa"/>
            <w:vAlign w:val="bottom"/>
            <w:shd w:val="clear" w:color="auto" w:fill="D2DCE5"/>
          </w:tcPr>
          <w:p>
            <w:pPr>
              <w:spacing w:after="0"/>
              <w:rPr>
                <w:sz w:val="21"/>
                <w:szCs w:val="21"/>
                <w:color w:val="auto"/>
              </w:rPr>
            </w:pPr>
          </w:p>
        </w:tc>
        <w:tc>
          <w:tcPr>
            <w:tcW w:w="9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00" w:type="dxa"/>
            <w:vAlign w:val="bottom"/>
            <w:shd w:val="clear" w:color="auto" w:fill="D2DCE5"/>
          </w:tcPr>
          <w:p>
            <w:pPr>
              <w:spacing w:after="0"/>
              <w:rPr>
                <w:sz w:val="21"/>
                <w:szCs w:val="21"/>
                <w:color w:val="auto"/>
              </w:rPr>
            </w:pPr>
          </w:p>
        </w:tc>
      </w:tr>
      <w:tr>
        <w:trPr>
          <w:trHeight w:val="227"/>
        </w:trPr>
        <w:tc>
          <w:tcPr>
            <w:tcW w:w="8820" w:type="dxa"/>
            <w:vAlign w:val="bottom"/>
            <w:gridSpan w:val="2"/>
          </w:tcPr>
          <w:p>
            <w:pPr>
              <w:ind w:left="180"/>
              <w:spacing w:after="0"/>
              <w:rPr>
                <w:sz w:val="20"/>
                <w:szCs w:val="20"/>
                <w:color w:val="auto"/>
              </w:rPr>
            </w:pPr>
            <w:r>
              <w:rPr>
                <w:rFonts w:ascii="Arial" w:cs="Arial" w:eastAsia="Arial" w:hAnsi="Arial"/>
                <w:sz w:val="16"/>
                <w:szCs w:val="16"/>
                <w:color w:val="131E29"/>
              </w:rPr>
              <w:t>Additions of property and equipment accrued as of end of period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6098"/>
              </w:rPr>
              <w:t>21,475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31E29"/>
              </w:rPr>
              <w:t>17,421</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540" w:type="dxa"/>
            <w:vAlign w:val="bottom"/>
            <w:gridSpan w:val="2"/>
          </w:tcPr>
          <w:p>
            <w:pPr>
              <w:ind w:left="3020"/>
              <w:spacing w:after="0"/>
              <w:rPr>
                <w:sz w:val="20"/>
                <w:szCs w:val="20"/>
                <w:color w:val="auto"/>
              </w:rPr>
            </w:pPr>
            <w:r>
              <w:rPr>
                <w:rFonts w:ascii="Arial" w:cs="Arial" w:eastAsia="Arial" w:hAnsi="Arial"/>
                <w:sz w:val="18"/>
                <w:szCs w:val="18"/>
                <w:color w:val="131E29"/>
              </w:rPr>
              <w:t>Index for Notes to Condensed Consolidated Financial Statements</w:t>
            </w:r>
          </w:p>
        </w:tc>
        <w:tc>
          <w:tcPr>
            <w:tcW w:w="700" w:type="dxa"/>
            <w:vAlign w:val="bottom"/>
          </w:tcPr>
          <w:p>
            <w:pPr>
              <w:spacing w:after="0"/>
              <w:rPr>
                <w:sz w:val="20"/>
                <w:szCs w:val="20"/>
                <w:color w:val="auto"/>
              </w:rPr>
            </w:pPr>
          </w:p>
        </w:tc>
      </w:tr>
      <w:tr>
        <w:trPr>
          <w:trHeight w:val="286"/>
        </w:trPr>
        <w:tc>
          <w:tcPr>
            <w:tcW w:w="1044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006098"/>
              </w:rPr>
              <w:t>Note</w:t>
            </w:r>
          </w:p>
        </w:tc>
        <w:tc>
          <w:tcPr>
            <w:tcW w:w="100" w:type="dxa"/>
            <w:vAlign w:val="bottom"/>
            <w:tcBorders>
              <w:bottom w:val="single" w:sz="8" w:color="D2DCE5"/>
            </w:tcBorders>
          </w:tcPr>
          <w:p>
            <w:pPr>
              <w:spacing w:after="0"/>
              <w:rPr>
                <w:sz w:val="24"/>
                <w:szCs w:val="24"/>
                <w:color w:val="auto"/>
              </w:rPr>
            </w:pPr>
          </w:p>
        </w:tc>
        <w:tc>
          <w:tcPr>
            <w:tcW w:w="7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006098"/>
                <w:w w:val="97"/>
              </w:rPr>
              <w:t>Page</w:t>
            </w: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 — Organization and Background</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14</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2 — Basis of Presentation and Summary of Significant Accounting Policies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14</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3 — Revenue Recognition</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15</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4 — Organization Realignment and Restructurings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17</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5 — Inventories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18</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6 — Property and Equipment</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18</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7 — Intangible Assets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19</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8 — Leases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19</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9 — Debt</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20</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10 — Derivative Financial Instruments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21</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11 — Income Taxes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22</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12 — Equity-Based Compensation</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24</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13 — Non-Controlling Interests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25</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14 — Income Per Share</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27</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15 — Commitments and Contingencies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28</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16 — Related Party Transactions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29</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7"/>
        </w:trPr>
        <w:tc>
          <w:tcPr>
            <w:tcW w:w="105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NOTE 17 — Segment Reporting</w:t>
            </w:r>
          </w:p>
        </w:tc>
        <w:tc>
          <w:tcPr>
            <w:tcW w:w="70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9"/>
              </w:rPr>
              <w:t>30</w:t>
            </w:r>
          </w:p>
        </w:tc>
      </w:tr>
      <w:tr>
        <w:trPr>
          <w:trHeight w:val="23"/>
        </w:trPr>
        <w:tc>
          <w:tcPr>
            <w:tcW w:w="1044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70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ind w:left="2900"/>
        <w:spacing w:after="0"/>
        <w:rPr>
          <w:sz w:val="20"/>
          <w:szCs w:val="20"/>
          <w:color w:val="auto"/>
        </w:rPr>
      </w:pPr>
      <w:r>
        <w:rPr>
          <w:rFonts w:ascii="Arial" w:cs="Arial" w:eastAsia="Arial" w:hAnsi="Arial"/>
          <w:sz w:val="18"/>
          <w:szCs w:val="18"/>
          <w:color w:val="131E29"/>
        </w:rPr>
        <w:t>Notes to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 — Organization and Background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Business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Dutch Bros Inc., a Delaware corporation, together with its subsidiaries (the Company, we, us, or our, collectively) is in the business of operating and franchising drive-thru coffee shops as well as the wholesale and distribution of coffee, coffee-related products, and accessories. As of June 30, 2025, there were 1,043 shops in operation in 19 U.S. states, of which 725 were company-operated and 318 were franchised.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 As of June 30, 2025, Dutch Bros Inc. held 100.0% of the voting interest and 71.5% of the economic interest of Dutch Bros OpCo. The Continuing Members held no voting interest and the remaining 28.5% of the economic interest of Dutch Bros OpCo.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Dutch Bros OpCo Recapitalization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From time to time, Dutch Bros Inc. receives cash distributions from Dutch Bros OpCo pursuant to the OpCo LLC Agreement. Dutch Bros Inc. may then loan any cash in excess of its liabilities back to Dutch Bros OpCo for operations, under the open-ended balance Subordinated Intercompany Note, between Dutch Bros OpCo and Dutch Bros Inc., dated February 28, 2022 (the Intercompany Note).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On February 7, 2025, Dutch Bros Inc. entered into a subscription agreement with Dutch Bros OpCo, pursuant to which Dutch Bros OpCo issued 51,942 newly authorized Dutch Bros OpCo Class A common units to Dutch Bros Inc. in exchange for satisfaction of the outstanding balance of the Intercompany Note, which at that time was approximately $3.5 million.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accordance with the OpCo LLC Agreement, all outstanding Dutch Bros OpCo Class A common units were then recapitalized through a reverse unit split (the Reverse Split) in order to maintain a one-to-one ratio between the number of Dutch Bros OpCo Class A common units owned by Dutch Bros Inc. and the number of outstanding shares of Class A common stock. Consequently, 15,734 outstanding shares of Class B common stock, and 1,220 outstanding shares of Class C common stock, that were paired with Dutch Bros OpCo Class A common units eliminated as a result of the Reverse Split, were cancelled.</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2 —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Financial Statements Presentation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condensed consolidated financial statements as of June 30, 2025 and for the three and six months ended June 30, 2025 and 2024 have been prepared in accordance with GAAP and pursuant to the rules and regulations of the SEC, consistent in all material respects with those applied in the 2024 Form 10-K and as updated by this Form 10-Q.</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have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2024 Form 10-K that includes additional information on accounting estimates, policies, and the methods and assumptions used in its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the opinion of management, the accompanying condensed consolidated financial statements reflect all adjustments, consisting of normal recurring adjustments, necessary to present fairly our consolidated financial statements for the periods presented. Operating results for the three and six months ended June 30, 2025 are not necessarily indicative of the results that may be expected for the fiscal year ending December 31,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Significant Accounting Policies Updates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material updates to our significant accounting policies during the six months ended June 30, 2025 from those previously reported in the 2024 Form 10-K.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Issued Accounting Standards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December 2023, the FASB issued ASU No. 2023-09, </w:t>
      </w:r>
      <w:r>
        <w:rPr>
          <w:rFonts w:ascii="Arial" w:cs="Arial" w:eastAsia="Arial" w:hAnsi="Arial"/>
          <w:sz w:val="18"/>
          <w:szCs w:val="18"/>
          <w:i w:val="1"/>
          <w:iCs w:val="1"/>
          <w:color w:val="131E29"/>
        </w:rPr>
        <w:t>Income Taxes (Topic 740): Improvements to Income Tax Disclosures</w:t>
      </w:r>
      <w:r>
        <w:rPr>
          <w:rFonts w:ascii="Arial" w:cs="Arial" w:eastAsia="Arial" w:hAnsi="Arial"/>
          <w:sz w:val="18"/>
          <w:szCs w:val="18"/>
          <w:color w:val="131E29"/>
        </w:rPr>
        <w:t>. The amendments in this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These amendments are effective for public business entities' annual periods beginning after December 15, 2024 and interim periods within fiscal years beginning after December 15, 2025, and should be applied on a prospective basis. Early adoption is permitted for annual financial statements that have not yet been issued. We expect to provide additional detail and disclosures under the new guidance in our Form 10-K to be filed for the year ending December 31, 2025.</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November 2024, the FASB issued ASU No. 2024-03, </w:t>
      </w:r>
      <w:r>
        <w:rPr>
          <w:rFonts w:ascii="Arial" w:cs="Arial" w:eastAsia="Arial" w:hAnsi="Arial"/>
          <w:sz w:val="18"/>
          <w:szCs w:val="18"/>
          <w:i w:val="1"/>
          <w:iCs w:val="1"/>
          <w:color w:val="131E29"/>
        </w:rPr>
        <w:t>Income Statement - Reporting Comprehensive Income - Expense Disaggregation</w:t>
      </w:r>
      <w:r>
        <w:rPr>
          <w:rFonts w:ascii="Arial" w:cs="Arial" w:eastAsia="Arial" w:hAnsi="Arial"/>
          <w:sz w:val="18"/>
          <w:szCs w:val="18"/>
          <w:color w:val="131E29"/>
        </w:rPr>
        <w:t xml:space="preserve"> </w:t>
      </w:r>
      <w:r>
        <w:rPr>
          <w:rFonts w:ascii="Arial" w:cs="Arial" w:eastAsia="Arial" w:hAnsi="Arial"/>
          <w:sz w:val="18"/>
          <w:szCs w:val="18"/>
          <w:i w:val="1"/>
          <w:iCs w:val="1"/>
          <w:color w:val="131E29"/>
        </w:rPr>
        <w:t xml:space="preserve">Disclosures (Subtopic 220-40). </w:t>
      </w:r>
      <w:r>
        <w:rPr>
          <w:rFonts w:ascii="Arial" w:cs="Arial" w:eastAsia="Arial" w:hAnsi="Arial"/>
          <w:sz w:val="18"/>
          <w:szCs w:val="18"/>
          <w:color w:val="131E29"/>
        </w:rPr>
        <w:t>The intent of this ASU is to improve public entity financial footnote disclosures around types of expenses in</w:t>
      </w:r>
      <w:r>
        <w:rPr>
          <w:rFonts w:ascii="Arial" w:cs="Arial" w:eastAsia="Arial" w:hAnsi="Arial"/>
          <w:sz w:val="18"/>
          <w:szCs w:val="18"/>
          <w:i w:val="1"/>
          <w:iCs w:val="1"/>
          <w:color w:val="131E29"/>
        </w:rPr>
        <w:t xml:space="preserve"> </w:t>
      </w:r>
      <w:r>
        <w:rPr>
          <w:rFonts w:ascii="Arial" w:cs="Arial" w:eastAsia="Arial" w:hAnsi="Arial"/>
          <w:sz w:val="18"/>
          <w:szCs w:val="18"/>
          <w:color w:val="131E29"/>
        </w:rPr>
        <w:t>commonly presented expense categories (i.e., cost of sales; selling, general, and administrative expense; and research and development expense).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are currently assessing potential impacts of this standard on our business processes and future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3 — 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disaggregates revenue by major component: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006098"/>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380,500</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295,268</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706,921</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543,353</w:t>
            </w:r>
          </w:p>
        </w:tc>
      </w:tr>
      <w:tr>
        <w:trPr>
          <w:trHeight w:val="270"/>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Franchising</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33,574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28,080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60,665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53,851</w:t>
            </w: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300" w:type="dxa"/>
            <w:vAlign w:val="bottom"/>
            <w:tcBorders>
              <w:bottom w:val="single" w:sz="8" w:color="auto"/>
            </w:tcBorders>
            <w:shd w:val="clear" w:color="auto" w:fill="D2DCE5"/>
          </w:tcPr>
          <w:p>
            <w:pPr>
              <w:spacing w:after="0"/>
              <w:rPr>
                <w:sz w:val="23"/>
                <w:szCs w:val="23"/>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1,739</w:t>
            </w:r>
          </w:p>
        </w:tc>
        <w:tc>
          <w:tcPr>
            <w:tcW w:w="100" w:type="dxa"/>
            <w:vAlign w:val="bottom"/>
            <w:shd w:val="clear" w:color="auto" w:fill="D2DCE5"/>
          </w:tcPr>
          <w:p>
            <w:pPr>
              <w:spacing w:after="0"/>
              <w:rPr>
                <w:sz w:val="23"/>
                <w:szCs w:val="23"/>
                <w:color w:val="auto"/>
              </w:rPr>
            </w:pPr>
          </w:p>
        </w:tc>
        <w:tc>
          <w:tcPr>
            <w:tcW w:w="300" w:type="dxa"/>
            <w:vAlign w:val="bottom"/>
            <w:tcBorders>
              <w:bottom w:val="single" w:sz="8" w:color="auto"/>
            </w:tcBorders>
            <w:shd w:val="clear" w:color="auto" w:fill="D2DCE5"/>
          </w:tcPr>
          <w:p>
            <w:pPr>
              <w:spacing w:after="0"/>
              <w:rPr>
                <w:sz w:val="23"/>
                <w:szCs w:val="23"/>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1,570</w:t>
            </w:r>
          </w:p>
        </w:tc>
        <w:tc>
          <w:tcPr>
            <w:tcW w:w="100" w:type="dxa"/>
            <w:vAlign w:val="bottom"/>
            <w:shd w:val="clear" w:color="auto" w:fill="D2DCE5"/>
          </w:tcPr>
          <w:p>
            <w:pPr>
              <w:spacing w:after="0"/>
              <w:rPr>
                <w:sz w:val="23"/>
                <w:szCs w:val="23"/>
                <w:color w:val="auto"/>
              </w:rPr>
            </w:pPr>
          </w:p>
        </w:tc>
        <w:tc>
          <w:tcPr>
            <w:tcW w:w="160" w:type="dxa"/>
            <w:vAlign w:val="bottom"/>
            <w:tcBorders>
              <w:bottom w:val="single" w:sz="8" w:color="auto"/>
            </w:tcBorders>
            <w:shd w:val="clear" w:color="auto" w:fill="D2DCE5"/>
          </w:tcPr>
          <w:p>
            <w:pPr>
              <w:spacing w:after="0"/>
              <w:rPr>
                <w:sz w:val="23"/>
                <w:szCs w:val="23"/>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3,379</w:t>
            </w:r>
          </w:p>
        </w:tc>
        <w:tc>
          <w:tcPr>
            <w:tcW w:w="100" w:type="dxa"/>
            <w:vAlign w:val="bottom"/>
            <w:shd w:val="clear" w:color="auto" w:fill="D2DCE5"/>
          </w:tcPr>
          <w:p>
            <w:pPr>
              <w:spacing w:after="0"/>
              <w:rPr>
                <w:sz w:val="23"/>
                <w:szCs w:val="23"/>
                <w:color w:val="auto"/>
              </w:rPr>
            </w:pPr>
          </w:p>
        </w:tc>
        <w:tc>
          <w:tcPr>
            <w:tcW w:w="280" w:type="dxa"/>
            <w:vAlign w:val="bottom"/>
            <w:tcBorders>
              <w:bottom w:val="single" w:sz="8" w:color="auto"/>
            </w:tcBorders>
            <w:shd w:val="clear" w:color="auto" w:fill="D2DCE5"/>
          </w:tcPr>
          <w:p>
            <w:pPr>
              <w:spacing w:after="0"/>
              <w:rPr>
                <w:sz w:val="23"/>
                <w:szCs w:val="23"/>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2,813</w:t>
            </w:r>
          </w:p>
        </w:tc>
      </w:tr>
      <w:tr>
        <w:trPr>
          <w:trHeight w:val="263"/>
        </w:trPr>
        <w:tc>
          <w:tcPr>
            <w:tcW w:w="5660" w:type="dxa"/>
            <w:vAlign w:val="bottom"/>
            <w:gridSpan w:val="2"/>
          </w:tcPr>
          <w:p>
            <w:pPr>
              <w:ind w:left="140"/>
              <w:spacing w:after="0"/>
              <w:rPr>
                <w:sz w:val="20"/>
                <w:szCs w:val="20"/>
                <w:color w:val="auto"/>
              </w:rPr>
            </w:pPr>
            <w:r>
              <w:rPr>
                <w:rFonts w:ascii="Arial" w:cs="Arial" w:eastAsia="Arial" w:hAnsi="Arial"/>
                <w:sz w:val="18"/>
                <w:szCs w:val="18"/>
                <w:b w:val="1"/>
                <w:bCs w:val="1"/>
                <w:color w:val="131E29"/>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415,813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324,918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770,965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600,017</w:t>
            </w: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8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Deferred Revenue</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16"/>
        </w:trPr>
        <w:tc>
          <w:tcPr>
            <w:tcW w:w="7880" w:type="dxa"/>
            <w:vAlign w:val="bottom"/>
            <w:gridSpan w:val="2"/>
          </w:tcPr>
          <w:p>
            <w:pPr>
              <w:spacing w:after="0"/>
              <w:rPr>
                <w:sz w:val="20"/>
                <w:szCs w:val="20"/>
                <w:color w:val="auto"/>
              </w:rPr>
            </w:pPr>
            <w:r>
              <w:rPr>
                <w:rFonts w:ascii="Arial" w:cs="Arial" w:eastAsia="Arial" w:hAnsi="Arial"/>
                <w:sz w:val="18"/>
                <w:szCs w:val="18"/>
                <w:color w:val="131E29"/>
              </w:rPr>
              <w:t>Components of our deferred revenue liability are as follows: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0"/>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1320" w:type="dxa"/>
            <w:vAlign w:val="bottom"/>
            <w:tcBorders>
              <w:bottom w:val="single" w:sz="8" w:color="D7282F"/>
            </w:tcBorders>
          </w:tcPr>
          <w:p>
            <w:pPr>
              <w:jc w:val="right"/>
              <w:ind w:right="50"/>
              <w:spacing w:after="0"/>
              <w:rPr>
                <w:sz w:val="20"/>
                <w:szCs w:val="20"/>
                <w:color w:val="auto"/>
              </w:rPr>
            </w:pPr>
            <w:r>
              <w:rPr>
                <w:rFonts w:ascii="Arial" w:cs="Arial" w:eastAsia="Arial" w:hAnsi="Arial"/>
                <w:sz w:val="18"/>
                <w:szCs w:val="18"/>
                <w:b w:val="1"/>
                <w:bCs w:val="1"/>
                <w:color w:val="131E29"/>
                <w:w w:val="99"/>
              </w:rPr>
              <w:t>June 30, 2025</w:t>
            </w:r>
          </w:p>
        </w:tc>
        <w:tc>
          <w:tcPr>
            <w:tcW w:w="100" w:type="dxa"/>
            <w:vAlign w:val="bottom"/>
            <w:tcBorders>
              <w:bottom w:val="single" w:sz="8" w:color="D2DCE5"/>
            </w:tcBorders>
          </w:tcPr>
          <w:p>
            <w:pPr>
              <w:spacing w:after="0"/>
              <w:rPr>
                <w:sz w:val="24"/>
                <w:szCs w:val="24"/>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70"/>
        </w:trPr>
        <w:tc>
          <w:tcPr>
            <w:tcW w:w="78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Gift card and loyalty programs</w:t>
            </w:r>
          </w:p>
        </w:tc>
        <w:tc>
          <w:tcPr>
            <w:tcW w:w="12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3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48,777</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48,265</w:t>
            </w:r>
          </w:p>
        </w:tc>
      </w:tr>
      <w:tr>
        <w:trPr>
          <w:trHeight w:val="270"/>
        </w:trPr>
        <w:tc>
          <w:tcPr>
            <w:tcW w:w="78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 xml:space="preserve">Other deferred revenue, net </w:t>
            </w:r>
            <w:r>
              <w:rPr>
                <w:rFonts w:ascii="Arial" w:cs="Arial" w:eastAsia="Arial" w:hAnsi="Arial"/>
                <w:sz w:val="23"/>
                <w:szCs w:val="23"/>
                <w:color w:val="131E29"/>
                <w:vertAlign w:val="superscript"/>
              </w:rPr>
              <w:t>1</w:t>
            </w: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2,496</w:t>
            </w:r>
          </w:p>
        </w:tc>
        <w:tc>
          <w:tcPr>
            <w:tcW w:w="100" w:type="dxa"/>
            <w:vAlign w:val="bottom"/>
            <w:tcBorders>
              <w:bottom w:val="single" w:sz="8" w:color="D2DCE5"/>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2,618</w:t>
            </w:r>
          </w:p>
        </w:tc>
      </w:tr>
      <w:tr>
        <w:trPr>
          <w:trHeight w:val="248"/>
        </w:trPr>
        <w:tc>
          <w:tcPr>
            <w:tcW w:w="78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deferred revenue</w:t>
            </w: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51,273</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auto"/>
            </w:tcBorders>
            <w:shd w:val="clear" w:color="auto" w:fill="D2DCE5"/>
          </w:tcPr>
          <w:p>
            <w:pPr>
              <w:jc w:val="right"/>
              <w:ind w:right="4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50,883</w:t>
            </w:r>
          </w:p>
        </w:tc>
      </w:tr>
      <w:tr>
        <w:trPr>
          <w:trHeight w:val="20"/>
        </w:trPr>
        <w:tc>
          <w:tcPr>
            <w:tcW w:w="77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3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44"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131E29"/>
          <w:vertAlign w:val="superscript"/>
        </w:rPr>
      </w:pPr>
      <w:r>
        <w:rPr>
          <w:rFonts w:ascii="Arial" w:cs="Arial" w:eastAsia="Arial" w:hAnsi="Arial"/>
          <w:sz w:val="14"/>
          <w:szCs w:val="14"/>
          <w:color w:val="131E29"/>
        </w:rPr>
        <w:t>Other deferred revenue, net, includes initial unearned franchise fees and performance obligations that have not been satisfied related to sales to distributors.</w:t>
      </w:r>
    </w:p>
    <w:p>
      <w:pPr>
        <w:sectPr>
          <w:pgSz w:w="11900" w:h="16838" w:orient="portrait"/>
          <w:cols w:equalWidth="0" w:num="1">
            <w:col w:w="11240"/>
          </w:cols>
          <w:pgMar w:left="320" w:top="130"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131E29"/>
        </w:rPr>
        <w:t>Deferred revenue activity was as follows: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Beginning balance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Revenue deferred </w:t>
      </w:r>
      <w:r>
        <w:rPr>
          <w:rFonts w:ascii="Arial" w:cs="Arial" w:eastAsia="Arial" w:hAnsi="Arial"/>
          <w:sz w:val="23"/>
          <w:szCs w:val="23"/>
          <w:color w:val="131E2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Revenue recognized </w:t>
      </w:r>
      <w:r>
        <w:rPr>
          <w:rFonts w:ascii="Arial" w:cs="Arial" w:eastAsia="Arial" w:hAnsi="Arial"/>
          <w:sz w:val="23"/>
          <w:szCs w:val="23"/>
          <w:color w:val="131E29"/>
          <w:vertAlign w:val="superscript"/>
        </w:rPr>
        <w:t>2</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Other deferred 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Ending balance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Deferred revenue,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143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0" w:type="dxa"/>
            <w:vAlign w:val="bottom"/>
            <w:tcBorders>
              <w:bottom w:val="single" w:sz="8" w:color="D7282F"/>
            </w:tcBorders>
          </w:tcPr>
          <w:p>
            <w:pPr>
              <w:spacing w:after="0"/>
              <w:rPr>
                <w:sz w:val="22"/>
                <w:szCs w:val="22"/>
                <w:color w:val="auto"/>
              </w:rPr>
            </w:pPr>
          </w:p>
        </w:tc>
        <w:tc>
          <w:tcPr>
            <w:tcW w:w="1280" w:type="dxa"/>
            <w:vAlign w:val="bottom"/>
            <w:tcBorders>
              <w:bottom w:val="single" w:sz="8" w:color="D7282F"/>
            </w:tcBorders>
          </w:tcPr>
          <w:p>
            <w:pPr>
              <w:jc w:val="right"/>
              <w:ind w:right="530"/>
              <w:spacing w:after="0"/>
              <w:rPr>
                <w:sz w:val="20"/>
                <w:szCs w:val="20"/>
                <w:color w:val="auto"/>
              </w:rPr>
            </w:pPr>
            <w:r>
              <w:rPr>
                <w:rFonts w:ascii="Arial" w:cs="Arial" w:eastAsia="Arial" w:hAnsi="Arial"/>
                <w:sz w:val="18"/>
                <w:szCs w:val="18"/>
                <w:b w:val="1"/>
                <w:bCs w:val="1"/>
                <w:color w:val="131E29"/>
              </w:rPr>
              <w:t>2025</w:t>
            </w:r>
          </w:p>
        </w:tc>
        <w:tc>
          <w:tcPr>
            <w:tcW w:w="100" w:type="dxa"/>
            <w:vAlign w:val="bottom"/>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6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2024</w:t>
            </w:r>
          </w:p>
        </w:tc>
      </w:tr>
      <w:tr>
        <w:trPr>
          <w:trHeight w:val="278"/>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006098"/>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006098"/>
              </w:rPr>
              <w:t>50,883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131E29"/>
              </w:rPr>
              <w:t>37,025</w:t>
            </w:r>
          </w:p>
        </w:tc>
      </w:tr>
      <w:tr>
        <w:trPr>
          <w:trHeight w:val="266"/>
        </w:trPr>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006098"/>
              </w:rPr>
              <w:t>265,623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31E29"/>
              </w:rPr>
              <w:t>194,898</w:t>
            </w:r>
          </w:p>
        </w:tc>
      </w:tr>
      <w:tr>
        <w:trPr>
          <w:trHeight w:val="270"/>
        </w:trPr>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006098"/>
              </w:rPr>
              <w:t>(265,111)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31E29"/>
              </w:rPr>
              <w:t>(193,569)</w:t>
            </w:r>
          </w:p>
        </w:tc>
      </w:tr>
      <w:tr>
        <w:trPr>
          <w:trHeight w:val="266"/>
        </w:trPr>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(122)</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166</w:t>
            </w:r>
          </w:p>
        </w:tc>
      </w:tr>
      <w:tr>
        <w:trPr>
          <w:trHeight w:val="272"/>
        </w:trPr>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006098"/>
              </w:rPr>
              <w:t>51,273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131E29"/>
              </w:rPr>
              <w:t>38,520</w:t>
            </w:r>
          </w:p>
        </w:tc>
      </w:tr>
      <w:tr>
        <w:trPr>
          <w:trHeight w:val="262"/>
        </w:trPr>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(43,533)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(31,405)</w:t>
            </w:r>
          </w:p>
        </w:tc>
      </w:tr>
      <w:tr>
        <w:trPr>
          <w:trHeight w:val="264"/>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006098"/>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7,740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7,115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7140" w:space="720"/>
            <w:col w:w="338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color w:val="131E29"/>
        </w:rPr>
        <w:t>_______________</w:t>
      </w:r>
    </w:p>
    <w:p>
      <w:pPr>
        <w:spacing w:after="0" w:line="44"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color w:val="131E29"/>
          <w:vertAlign w:val="superscript"/>
        </w:rPr>
      </w:pPr>
      <w:r>
        <w:rPr>
          <w:rFonts w:ascii="Arial" w:cs="Arial" w:eastAsia="Arial" w:hAnsi="Arial"/>
          <w:sz w:val="14"/>
          <w:szCs w:val="14"/>
          <w:color w:val="131E29"/>
        </w:rPr>
        <w:t>Revenue deferred includes gift card activations, loyalty app cash loads and loyalty points and rewards earned.</w:t>
      </w:r>
    </w:p>
    <w:p>
      <w:pPr>
        <w:spacing w:after="0" w:line="53" w:lineRule="exact"/>
        <w:rPr>
          <w:rFonts w:ascii="Arial" w:cs="Arial" w:eastAsia="Arial" w:hAnsi="Arial"/>
          <w:sz w:val="19"/>
          <w:szCs w:val="19"/>
          <w:color w:val="131E29"/>
          <w:vertAlign w:val="superscript"/>
        </w:rPr>
      </w:pPr>
    </w:p>
    <w:p>
      <w:pPr>
        <w:spacing w:after="0"/>
        <w:rPr>
          <w:rFonts w:ascii="Arial" w:cs="Arial" w:eastAsia="Arial" w:hAnsi="Arial"/>
          <w:sz w:val="19"/>
          <w:szCs w:val="19"/>
          <w:color w:val="131E29"/>
          <w:vertAlign w:val="superscript"/>
        </w:rPr>
      </w:pPr>
      <w:r>
        <w:rPr>
          <w:rFonts w:ascii="Arial" w:cs="Arial" w:eastAsia="Arial" w:hAnsi="Arial"/>
          <w:sz w:val="18"/>
          <w:szCs w:val="18"/>
          <w:color w:val="131E29"/>
          <w:vertAlign w:val="superscript"/>
        </w:rPr>
        <w:t>2</w:t>
      </w:r>
      <w:r>
        <w:rPr>
          <w:rFonts w:ascii="Arial" w:cs="Arial" w:eastAsia="Arial" w:hAnsi="Arial"/>
          <w:sz w:val="14"/>
          <w:szCs w:val="14"/>
          <w:color w:val="131E29"/>
        </w:rPr>
        <w:t xml:space="preserve"> Revenue recognized includes redemptions of gift cards, loyalty app and loyalty rewards, and breakage.</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Revenue recognized during the three and six months ended June 30, 2025 and 2024, respectively, that was included in the respective deferred revenue liability balances at the beginning of the period are shown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131E29"/>
                <w:w w:val="99"/>
              </w:rPr>
              <w:t>Three Months Ended June</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5"/>
        </w:trPr>
        <w:tc>
          <w:tcPr>
            <w:tcW w:w="5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460" w:type="dxa"/>
            <w:vAlign w:val="bottom"/>
            <w:tcBorders>
              <w:bottom w:val="single" w:sz="8" w:color="D7282F"/>
            </w:tcBorders>
            <w:gridSpan w:val="3"/>
          </w:tcPr>
          <w:p>
            <w:pPr>
              <w:jc w:val="right"/>
              <w:ind w:right="110"/>
              <w:spacing w:after="0"/>
              <w:rPr>
                <w:sz w:val="20"/>
                <w:szCs w:val="20"/>
                <w:color w:val="auto"/>
              </w:rPr>
            </w:pPr>
            <w:r>
              <w:rPr>
                <w:rFonts w:ascii="Arial" w:cs="Arial" w:eastAsia="Arial" w:hAnsi="Arial"/>
                <w:sz w:val="18"/>
                <w:szCs w:val="18"/>
                <w:b w:val="1"/>
                <w:bCs w:val="1"/>
                <w:color w:val="131E29"/>
              </w:rPr>
              <w:t>30,</w:t>
            </w:r>
          </w:p>
        </w:tc>
        <w:tc>
          <w:tcPr>
            <w:tcW w:w="94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2580" w:type="dxa"/>
            <w:vAlign w:val="bottom"/>
            <w:tcBorders>
              <w:bottom w:val="single" w:sz="8" w:color="D7282F"/>
            </w:tcBorders>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10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2DCE5"/>
            </w:tcBorders>
          </w:tcPr>
          <w:p>
            <w:pPr>
              <w:spacing w:after="0"/>
              <w:rPr>
                <w:sz w:val="22"/>
                <w:szCs w:val="22"/>
                <w:color w:val="auto"/>
              </w:rPr>
            </w:pPr>
          </w:p>
        </w:tc>
        <w:tc>
          <w:tcPr>
            <w:tcW w:w="280" w:type="dxa"/>
            <w:vAlign w:val="bottom"/>
            <w:tcBorders>
              <w:bottom w:val="single" w:sz="8" w:color="D7282F"/>
            </w:tcBorders>
          </w:tcPr>
          <w:p>
            <w:pPr>
              <w:spacing w:after="0"/>
              <w:rPr>
                <w:sz w:val="22"/>
                <w:szCs w:val="22"/>
                <w:color w:val="auto"/>
              </w:rPr>
            </w:pPr>
          </w:p>
        </w:tc>
        <w:tc>
          <w:tcPr>
            <w:tcW w:w="94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116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D7282F"/>
            </w:tcBorders>
          </w:tcPr>
          <w:p>
            <w:pPr>
              <w:spacing w:after="0"/>
              <w:rPr>
                <w:sz w:val="22"/>
                <w:szCs w:val="22"/>
                <w:color w:val="auto"/>
              </w:rPr>
            </w:pPr>
          </w:p>
        </w:tc>
        <w:tc>
          <w:tcPr>
            <w:tcW w:w="104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Gift card redemptions </w:t>
            </w:r>
            <w:r>
              <w:rPr>
                <w:rFonts w:ascii="Arial" w:cs="Arial" w:eastAsia="Arial" w:hAnsi="Arial"/>
                <w:sz w:val="23"/>
                <w:szCs w:val="23"/>
                <w:color w:val="131E29"/>
                <w:vertAlign w:val="superscript"/>
              </w:rPr>
              <w:t>1</w:t>
            </w: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1,315</w:t>
            </w:r>
          </w:p>
        </w:tc>
        <w:tc>
          <w:tcPr>
            <w:tcW w:w="8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1,083</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6,407</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5,100</w:t>
            </w:r>
          </w:p>
        </w:tc>
      </w:tr>
      <w:tr>
        <w:trPr>
          <w:trHeight w:val="247"/>
        </w:trPr>
        <w:tc>
          <w:tcPr>
            <w:tcW w:w="5860" w:type="dxa"/>
            <w:vAlign w:val="bottom"/>
            <w:gridSpan w:val="2"/>
          </w:tcPr>
          <w:p>
            <w:pPr>
              <w:ind w:left="20"/>
              <w:spacing w:after="0"/>
              <w:rPr>
                <w:sz w:val="20"/>
                <w:szCs w:val="20"/>
                <w:color w:val="auto"/>
              </w:rPr>
            </w:pPr>
            <w:r>
              <w:rPr>
                <w:rFonts w:ascii="Arial" w:cs="Arial" w:eastAsia="Arial" w:hAnsi="Arial"/>
                <w:sz w:val="18"/>
                <w:szCs w:val="18"/>
                <w:color w:val="131E29"/>
              </w:rPr>
              <w:t>Earned franchise fees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113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224</w:t>
            </w:r>
          </w:p>
        </w:tc>
      </w:tr>
      <w:tr>
        <w:trPr>
          <w:trHeight w:val="324"/>
        </w:trPr>
        <w:tc>
          <w:tcPr>
            <w:tcW w:w="5780" w:type="dxa"/>
            <w:vAlign w:val="bottom"/>
          </w:tcPr>
          <w:p>
            <w:pPr>
              <w:spacing w:after="0"/>
              <w:rPr>
                <w:sz w:val="20"/>
                <w:szCs w:val="20"/>
                <w:color w:val="auto"/>
              </w:rPr>
            </w:pPr>
            <w:r>
              <w:rPr>
                <w:rFonts w:ascii="Arial" w:cs="Arial" w:eastAsia="Arial" w:hAnsi="Arial"/>
                <w:sz w:val="18"/>
                <w:szCs w:val="18"/>
                <w:color w:val="131E29"/>
              </w:rPr>
              <w:t>_____________________</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4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131E29"/>
        </w:rPr>
        <w:t>Amounts exclude cash loads and transactions related to our loyalty rewards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131E29"/>
        </w:rPr>
        <w:t>Future recognition of initial unearned franchise fees as of June 30, 2025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956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1000" w:type="dxa"/>
            <w:vAlign w:val="bottom"/>
            <w:tcBorders>
              <w:bottom w:val="single" w:sz="8" w:color="D7282F"/>
            </w:tcBorders>
          </w:tcPr>
          <w:p>
            <w:pPr>
              <w:spacing w:after="0" w:line="20" w:lineRule="exact"/>
              <w:rPr>
                <w:sz w:val="1"/>
                <w:szCs w:val="1"/>
                <w:color w:val="auto"/>
              </w:rPr>
            </w:pPr>
          </w:p>
        </w:tc>
      </w:tr>
      <w:tr>
        <w:trPr>
          <w:trHeight w:val="263"/>
        </w:trPr>
        <w:tc>
          <w:tcPr>
            <w:tcW w:w="9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2025</w:t>
            </w:r>
          </w:p>
        </w:tc>
        <w:tc>
          <w:tcPr>
            <w:tcW w:w="580" w:type="dxa"/>
            <w:vAlign w:val="bottom"/>
            <w:shd w:val="clear" w:color="auto" w:fill="D2DCE5"/>
          </w:tcPr>
          <w:p>
            <w:pPr>
              <w:jc w:val="right"/>
              <w:ind w:right="370"/>
              <w:spacing w:after="0"/>
              <w:rPr>
                <w:sz w:val="20"/>
                <w:szCs w:val="20"/>
                <w:color w:val="auto"/>
              </w:rPr>
            </w:pPr>
            <w:r>
              <w:rPr>
                <w:rFonts w:ascii="Arial" w:cs="Arial" w:eastAsia="Arial" w:hAnsi="Arial"/>
                <w:sz w:val="18"/>
                <w:szCs w:val="18"/>
                <w:color w:val="006098"/>
                <w:w w:val="99"/>
              </w:rPr>
              <w:t>$</w:t>
            </w:r>
          </w:p>
        </w:tc>
        <w:tc>
          <w:tcPr>
            <w:tcW w:w="10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218</w:t>
            </w:r>
          </w:p>
        </w:tc>
      </w:tr>
      <w:tr>
        <w:trPr>
          <w:trHeight w:val="270"/>
        </w:trPr>
        <w:tc>
          <w:tcPr>
            <w:tcW w:w="9560" w:type="dxa"/>
            <w:vAlign w:val="bottom"/>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6098"/>
              </w:rPr>
              <w:t>406</w:t>
            </w:r>
          </w:p>
        </w:tc>
      </w:tr>
      <w:tr>
        <w:trPr>
          <w:trHeight w:val="270"/>
        </w:trPr>
        <w:tc>
          <w:tcPr>
            <w:tcW w:w="95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shd w:val="clear" w:color="auto" w:fill="D2DCE5"/>
          </w:tcPr>
          <w:p>
            <w:pPr>
              <w:spacing w:after="0"/>
              <w:rPr>
                <w:sz w:val="23"/>
                <w:szCs w:val="23"/>
                <w:color w:val="auto"/>
              </w:rPr>
            </w:pPr>
          </w:p>
        </w:tc>
        <w:tc>
          <w:tcPr>
            <w:tcW w:w="580" w:type="dxa"/>
            <w:vAlign w:val="bottom"/>
            <w:shd w:val="clear" w:color="auto" w:fill="D2DCE5"/>
          </w:tcPr>
          <w:p>
            <w:pPr>
              <w:spacing w:after="0"/>
              <w:rPr>
                <w:sz w:val="23"/>
                <w:szCs w:val="23"/>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361</w:t>
            </w:r>
          </w:p>
        </w:tc>
      </w:tr>
      <w:tr>
        <w:trPr>
          <w:trHeight w:val="270"/>
        </w:trPr>
        <w:tc>
          <w:tcPr>
            <w:tcW w:w="9560" w:type="dxa"/>
            <w:vAlign w:val="bottom"/>
          </w:tcPr>
          <w:p>
            <w:pPr>
              <w:ind w:left="20"/>
              <w:spacing w:after="0"/>
              <w:rPr>
                <w:sz w:val="20"/>
                <w:szCs w:val="20"/>
                <w:color w:val="auto"/>
              </w:rPr>
            </w:pPr>
            <w:r>
              <w:rPr>
                <w:rFonts w:ascii="Arial" w:cs="Arial" w:eastAsia="Arial" w:hAnsi="Arial"/>
                <w:sz w:val="18"/>
                <w:szCs w:val="18"/>
                <w:color w:val="131E29"/>
              </w:rPr>
              <w:t>2028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6098"/>
              </w:rPr>
              <w:t>312</w:t>
            </w:r>
          </w:p>
        </w:tc>
      </w:tr>
      <w:tr>
        <w:trPr>
          <w:trHeight w:val="270"/>
        </w:trPr>
        <w:tc>
          <w:tcPr>
            <w:tcW w:w="95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2029</w:t>
            </w:r>
          </w:p>
        </w:tc>
        <w:tc>
          <w:tcPr>
            <w:tcW w:w="100" w:type="dxa"/>
            <w:vAlign w:val="bottom"/>
            <w:shd w:val="clear" w:color="auto" w:fill="D2DCE5"/>
          </w:tcPr>
          <w:p>
            <w:pPr>
              <w:spacing w:after="0"/>
              <w:rPr>
                <w:sz w:val="23"/>
                <w:szCs w:val="23"/>
                <w:color w:val="auto"/>
              </w:rPr>
            </w:pPr>
          </w:p>
        </w:tc>
        <w:tc>
          <w:tcPr>
            <w:tcW w:w="580" w:type="dxa"/>
            <w:vAlign w:val="bottom"/>
            <w:shd w:val="clear" w:color="auto" w:fill="D2DCE5"/>
          </w:tcPr>
          <w:p>
            <w:pPr>
              <w:spacing w:after="0"/>
              <w:rPr>
                <w:sz w:val="23"/>
                <w:szCs w:val="23"/>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267</w:t>
            </w:r>
          </w:p>
        </w:tc>
      </w:tr>
      <w:tr>
        <w:trPr>
          <w:trHeight w:val="270"/>
        </w:trPr>
        <w:tc>
          <w:tcPr>
            <w:tcW w:w="966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Thereafter</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932</w:t>
            </w:r>
          </w:p>
        </w:tc>
      </w:tr>
      <w:tr>
        <w:trPr>
          <w:trHeight w:val="248"/>
        </w:trPr>
        <w:tc>
          <w:tcPr>
            <w:tcW w:w="9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w:t>
            </w:r>
          </w:p>
        </w:tc>
        <w:tc>
          <w:tcPr>
            <w:tcW w:w="580" w:type="dxa"/>
            <w:vAlign w:val="bottom"/>
            <w:tcBorders>
              <w:bottom w:val="single" w:sz="8" w:color="auto"/>
            </w:tcBorders>
            <w:shd w:val="clear" w:color="auto" w:fill="D2DCE5"/>
          </w:tcPr>
          <w:p>
            <w:pPr>
              <w:jc w:val="right"/>
              <w:ind w:right="370"/>
              <w:spacing w:after="0"/>
              <w:rPr>
                <w:sz w:val="20"/>
                <w:szCs w:val="20"/>
                <w:color w:val="auto"/>
              </w:rPr>
            </w:pPr>
            <w:r>
              <w:rPr>
                <w:rFonts w:ascii="Arial" w:cs="Arial" w:eastAsia="Arial" w:hAnsi="Arial"/>
                <w:sz w:val="18"/>
                <w:szCs w:val="18"/>
                <w:b w:val="1"/>
                <w:bCs w:val="1"/>
                <w:color w:val="006098"/>
                <w:w w:val="9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2,496</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4 — Organization Realignment and Restructurings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January 29, 2024, our Board of Directors approved an organizational realignment and restructuring plan to expand support operations at our Phoenix, Arizona office. As part of this large-scale initiative, we relocated certain support center staff from our Grants Pass, Oregon headquarters to the Phoenix office. As of March 31, 2025, this initiative was substantially complete, including the build-out and move into our new Phoenix office location. We incurred total aggregate charges of approximately $19.1 million related to this initiative, consisting of (i) approximately $16.6 million in employee-related costs, including relocation, retention and transition costs, termination benefits, and duplicate transition wages and benefits; and (ii) approximately $2.5 million in other costs, including the donation of a building, consulting fees, and duplicate rent. Substantially all of the charges have resulted in current or expected future cash expenditures.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On May 13, 2025, our Board of Directors approved the plan for an additional restructuring program, primarily related to the relocation and streamlining of our remaining back-office operations from our former Grants Pass, Oregon headquarters to our newly-designated Phoenix office corporate headquarters. Affected employees were either offered an opportunity to relocate and continue employment in the Phoenix office or were offered a severance package; these communications were largely completed by May 20, 2025. For this program, we expect to incur total aggregate charges of up to $ 8.5 million, consisting of (i) employee-related costs, including relocation, retention and transition costs, termination benefits, and duplicate transition wages and benefits; and (ii) other costs, including consulting fees. Substantially all of the estimated charges are expected to result in current and future cash expenditures. We expect that by December 31, 2025, substantially all of our headquarters employees will be located in our Phoenix office.</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During the three and six months ended June 30, 2025 and 2024, we recorded restructuring charges for employee-related and other costs in selling, general and administrative expenses on the condensed consolidated statements of operations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20" w:type="dxa"/>
            <w:vAlign w:val="bottom"/>
            <w:tcBorders>
              <w:top w:val="single" w:sz="8" w:color="D7282F"/>
              <w:bottom w:val="single" w:sz="8" w:color="D7282F"/>
            </w:tcBorders>
          </w:tcPr>
          <w:p>
            <w:pPr>
              <w:spacing w:after="0"/>
              <w:rPr>
                <w:sz w:val="22"/>
                <w:szCs w:val="22"/>
                <w:color w:val="auto"/>
              </w:rPr>
            </w:pPr>
          </w:p>
        </w:tc>
        <w:tc>
          <w:tcPr>
            <w:tcW w:w="1220" w:type="dxa"/>
            <w:vAlign w:val="bottom"/>
            <w:tcBorders>
              <w:top w:val="single" w:sz="8" w:color="D7282F"/>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12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7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250</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5,064</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781</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7,493</w:t>
            </w:r>
          </w:p>
        </w:tc>
      </w:tr>
      <w:tr>
        <w:trPr>
          <w:trHeight w:val="270"/>
        </w:trPr>
        <w:tc>
          <w:tcPr>
            <w:tcW w:w="562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Termination benefits</w:t>
            </w: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1,484</w:t>
            </w:r>
          </w:p>
        </w:tc>
        <w:tc>
          <w:tcPr>
            <w:tcW w:w="100" w:type="dxa"/>
            <w:vAlign w:val="bottom"/>
            <w:tcBorders>
              <w:bottom w:val="single" w:sz="8" w:color="D2DCE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1,600</w:t>
            </w:r>
          </w:p>
        </w:tc>
        <w:tc>
          <w:tcPr>
            <w:tcW w:w="100" w:type="dxa"/>
            <w:vAlign w:val="bottom"/>
            <w:tcBorders>
              <w:bottom w:val="single" w:sz="8" w:color="D2DC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1,962</w:t>
            </w:r>
          </w:p>
        </w:tc>
        <w:tc>
          <w:tcPr>
            <w:tcW w:w="100" w:type="dxa"/>
            <w:vAlign w:val="bottom"/>
            <w:tcBorders>
              <w:bottom w:val="single" w:sz="8" w:color="D2DCE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1,796</w:t>
            </w:r>
          </w:p>
        </w:tc>
      </w:tr>
      <w:tr>
        <w:trPr>
          <w:trHeight w:val="250"/>
        </w:trPr>
        <w:tc>
          <w:tcPr>
            <w:tcW w:w="5620" w:type="dxa"/>
            <w:vAlign w:val="bottom"/>
            <w:gridSpan w:val="2"/>
            <w:shd w:val="clear" w:color="auto" w:fill="D2DCE5"/>
          </w:tcPr>
          <w:p>
            <w:pPr>
              <w:ind w:left="100"/>
              <w:spacing w:after="0"/>
              <w:rPr>
                <w:sz w:val="20"/>
                <w:szCs w:val="20"/>
                <w:color w:val="auto"/>
              </w:rPr>
            </w:pPr>
            <w:r>
              <w:rPr>
                <w:rFonts w:ascii="Arial" w:cs="Arial" w:eastAsia="Arial" w:hAnsi="Arial"/>
                <w:sz w:val="18"/>
                <w:szCs w:val="18"/>
                <w:color w:val="131E29"/>
              </w:rPr>
              <w:t>Total employee-related costs</w:t>
            </w:r>
          </w:p>
        </w:tc>
        <w:tc>
          <w:tcPr>
            <w:tcW w:w="120" w:type="dxa"/>
            <w:vAlign w:val="bottom"/>
            <w:tcBorders>
              <w:bottom w:val="single" w:sz="8" w:color="auto"/>
            </w:tcBorders>
            <w:shd w:val="clear" w:color="auto" w:fill="D2DCE5"/>
          </w:tcPr>
          <w:p>
            <w:pPr>
              <w:spacing w:after="0"/>
              <w:rPr>
                <w:sz w:val="21"/>
                <w:szCs w:val="21"/>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1,734</w:t>
            </w:r>
          </w:p>
        </w:tc>
        <w:tc>
          <w:tcPr>
            <w:tcW w:w="100" w:type="dxa"/>
            <w:vAlign w:val="bottom"/>
            <w:shd w:val="clear" w:color="auto" w:fill="D2DCE5"/>
          </w:tcPr>
          <w:p>
            <w:pPr>
              <w:spacing w:after="0"/>
              <w:rPr>
                <w:sz w:val="21"/>
                <w:szCs w:val="21"/>
                <w:color w:val="auto"/>
              </w:rPr>
            </w:pPr>
          </w:p>
        </w:tc>
        <w:tc>
          <w:tcPr>
            <w:tcW w:w="300" w:type="dxa"/>
            <w:vAlign w:val="bottom"/>
            <w:tcBorders>
              <w:bottom w:val="single" w:sz="8" w:color="auto"/>
            </w:tcBorders>
            <w:shd w:val="clear" w:color="auto" w:fill="D2DCE5"/>
          </w:tcPr>
          <w:p>
            <w:pPr>
              <w:spacing w:after="0"/>
              <w:rPr>
                <w:sz w:val="21"/>
                <w:szCs w:val="21"/>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6,664</w:t>
            </w:r>
          </w:p>
        </w:tc>
        <w:tc>
          <w:tcPr>
            <w:tcW w:w="100" w:type="dxa"/>
            <w:vAlign w:val="bottom"/>
            <w:shd w:val="clear" w:color="auto" w:fill="D2DCE5"/>
          </w:tcPr>
          <w:p>
            <w:pPr>
              <w:spacing w:after="0"/>
              <w:rPr>
                <w:sz w:val="21"/>
                <w:szCs w:val="21"/>
                <w:color w:val="auto"/>
              </w:rPr>
            </w:pPr>
          </w:p>
        </w:tc>
        <w:tc>
          <w:tcPr>
            <w:tcW w:w="160" w:type="dxa"/>
            <w:vAlign w:val="bottom"/>
            <w:tcBorders>
              <w:bottom w:val="single" w:sz="8" w:color="auto"/>
            </w:tcBorders>
            <w:shd w:val="clear" w:color="auto" w:fill="D2DCE5"/>
          </w:tcPr>
          <w:p>
            <w:pPr>
              <w:spacing w:after="0"/>
              <w:rPr>
                <w:sz w:val="21"/>
                <w:szCs w:val="21"/>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2,743</w:t>
            </w:r>
          </w:p>
        </w:tc>
        <w:tc>
          <w:tcPr>
            <w:tcW w:w="100" w:type="dxa"/>
            <w:vAlign w:val="bottom"/>
            <w:shd w:val="clear" w:color="auto" w:fill="D2DCE5"/>
          </w:tcPr>
          <w:p>
            <w:pPr>
              <w:spacing w:after="0"/>
              <w:rPr>
                <w:sz w:val="21"/>
                <w:szCs w:val="21"/>
                <w:color w:val="auto"/>
              </w:rPr>
            </w:pPr>
          </w:p>
        </w:tc>
        <w:tc>
          <w:tcPr>
            <w:tcW w:w="280" w:type="dxa"/>
            <w:vAlign w:val="bottom"/>
            <w:tcBorders>
              <w:bottom w:val="single" w:sz="8" w:color="auto"/>
            </w:tcBorders>
            <w:shd w:val="clear" w:color="auto" w:fill="D2DCE5"/>
          </w:tcPr>
          <w:p>
            <w:pPr>
              <w:spacing w:after="0"/>
              <w:rPr>
                <w:sz w:val="21"/>
                <w:szCs w:val="21"/>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9,289</w:t>
            </w:r>
          </w:p>
        </w:tc>
      </w:tr>
      <w:tr>
        <w:trPr>
          <w:trHeight w:val="250"/>
        </w:trPr>
        <w:tc>
          <w:tcPr>
            <w:tcW w:w="5620" w:type="dxa"/>
            <w:vAlign w:val="bottom"/>
            <w:gridSpan w:val="2"/>
          </w:tcPr>
          <w:p>
            <w:pPr>
              <w:ind w:left="20"/>
              <w:spacing w:after="0"/>
              <w:rPr>
                <w:sz w:val="20"/>
                <w:szCs w:val="20"/>
                <w:color w:val="auto"/>
              </w:rPr>
            </w:pPr>
            <w:r>
              <w:rPr>
                <w:rFonts w:ascii="Arial" w:cs="Arial" w:eastAsia="Arial" w:hAnsi="Arial"/>
                <w:sz w:val="18"/>
                <w:szCs w:val="18"/>
                <w:color w:val="131E29"/>
              </w:rPr>
              <w:t>Duplicate rent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30</w:t>
            </w:r>
          </w:p>
        </w:tc>
      </w:tr>
      <w:tr>
        <w:trPr>
          <w:trHeight w:val="270"/>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Consulting</w:t>
            </w:r>
          </w:p>
        </w:tc>
        <w:tc>
          <w:tcPr>
            <w:tcW w:w="12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29</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14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60" w:type="dxa"/>
            <w:vAlign w:val="bottom"/>
            <w:shd w:val="clear" w:color="auto" w:fill="D2DCE5"/>
          </w:tcPr>
          <w:p>
            <w:pPr>
              <w:spacing w:after="0"/>
              <w:rPr>
                <w:sz w:val="23"/>
                <w:szCs w:val="23"/>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50"/>
        </w:trPr>
        <w:tc>
          <w:tcPr>
            <w:tcW w:w="5620" w:type="dxa"/>
            <w:vAlign w:val="bottom"/>
            <w:tcBorders>
              <w:bottom w:val="single" w:sz="8" w:color="D2DCE5"/>
            </w:tcBorders>
            <w:gridSpan w:val="2"/>
          </w:tcPr>
          <w:p>
            <w:pPr>
              <w:ind w:left="140"/>
              <w:spacing w:after="0"/>
              <w:rPr>
                <w:sz w:val="20"/>
                <w:szCs w:val="20"/>
                <w:color w:val="auto"/>
              </w:rPr>
            </w:pPr>
            <w:r>
              <w:rPr>
                <w:rFonts w:ascii="Arial" w:cs="Arial" w:eastAsia="Arial" w:hAnsi="Arial"/>
                <w:sz w:val="18"/>
                <w:szCs w:val="18"/>
                <w:color w:val="131E29"/>
              </w:rPr>
              <w:t>Total other costs</w:t>
            </w: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06098"/>
              </w:rPr>
              <w:t>29</w:t>
            </w:r>
          </w:p>
        </w:tc>
        <w:tc>
          <w:tcPr>
            <w:tcW w:w="100" w:type="dxa"/>
            <w:vAlign w:val="bottom"/>
            <w:tcBorders>
              <w:bottom w:val="single" w:sz="8" w:color="D2DCE5"/>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30</w:t>
            </w:r>
          </w:p>
        </w:tc>
        <w:tc>
          <w:tcPr>
            <w:tcW w:w="100" w:type="dxa"/>
            <w:vAlign w:val="bottom"/>
            <w:tcBorders>
              <w:bottom w:val="single" w:sz="8" w:color="D2DCE5"/>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06098"/>
              </w:rPr>
              <w:t>248</w:t>
            </w:r>
          </w:p>
        </w:tc>
        <w:tc>
          <w:tcPr>
            <w:tcW w:w="100" w:type="dxa"/>
            <w:vAlign w:val="bottom"/>
            <w:tcBorders>
              <w:bottom w:val="single" w:sz="8" w:color="D2DCE5"/>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30</w:t>
            </w:r>
          </w:p>
        </w:tc>
      </w:tr>
      <w:tr>
        <w:trPr>
          <w:trHeight w:val="248"/>
        </w:trPr>
        <w:tc>
          <w:tcPr>
            <w:tcW w:w="5620" w:type="dxa"/>
            <w:vAlign w:val="bottom"/>
            <w:tcBorders>
              <w:bottom w:val="single" w:sz="8" w:color="D2DCE5"/>
            </w:tcBorders>
            <w:gridSpan w:val="2"/>
            <w:shd w:val="clear" w:color="auto" w:fill="D2DCE5"/>
          </w:tcPr>
          <w:p>
            <w:pPr>
              <w:ind w:left="220"/>
              <w:spacing w:after="0"/>
              <w:rPr>
                <w:sz w:val="20"/>
                <w:szCs w:val="20"/>
                <w:color w:val="auto"/>
              </w:rPr>
            </w:pPr>
            <w:r>
              <w:rPr>
                <w:rFonts w:ascii="Arial" w:cs="Arial" w:eastAsia="Arial" w:hAnsi="Arial"/>
                <w:sz w:val="18"/>
                <w:szCs w:val="18"/>
                <w:b w:val="1"/>
                <w:bCs w:val="1"/>
                <w:color w:val="131E29"/>
              </w:rPr>
              <w:t>Total restructuring costs incurred</w:t>
            </w: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7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1,763</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6,694</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2,991</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9,319</w:t>
            </w:r>
          </w:p>
        </w:tc>
      </w:tr>
      <w:tr>
        <w:trPr>
          <w:trHeight w:val="20"/>
        </w:trPr>
        <w:tc>
          <w:tcPr>
            <w:tcW w:w="55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of June 30, 2025 and December 31, 2024, the accruals for corporate restructuring costs are included in accounts payable, accrued compensation and benefits, and accrued expenses on the condensed consolidated balance sheets. The following tables summarize the activity for the restructuring liabilities during the six months ended June 30,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131E29"/>
              </w:rPr>
              <w:t>Liability, December</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131E29"/>
                <w:w w:val="99"/>
              </w:rPr>
              <w:t>Liability, June 30,</w:t>
            </w:r>
          </w:p>
        </w:tc>
      </w:tr>
      <w:tr>
        <w:trPr>
          <w:trHeight w:val="25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480" w:type="dxa"/>
            <w:vAlign w:val="bottom"/>
            <w:tcBorders>
              <w:bottom w:val="single" w:sz="8" w:color="D7282F"/>
            </w:tcBorders>
          </w:tcPr>
          <w:p>
            <w:pPr>
              <w:jc w:val="right"/>
              <w:ind w:right="470"/>
              <w:spacing w:after="0"/>
              <w:rPr>
                <w:sz w:val="20"/>
                <w:szCs w:val="20"/>
                <w:color w:val="auto"/>
              </w:rPr>
            </w:pPr>
            <w:r>
              <w:rPr>
                <w:rFonts w:ascii="Arial" w:cs="Arial" w:eastAsia="Arial" w:hAnsi="Arial"/>
                <w:sz w:val="18"/>
                <w:szCs w:val="18"/>
                <w:b w:val="1"/>
                <w:bCs w:val="1"/>
                <w:color w:val="131E29"/>
              </w:rPr>
              <w:t>31, 2024</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Charges</w:t>
            </w: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gridSpan w:val="2"/>
          </w:tcPr>
          <w:p>
            <w:pPr>
              <w:jc w:val="right"/>
              <w:ind w:right="30"/>
              <w:spacing w:after="0"/>
              <w:rPr>
                <w:sz w:val="20"/>
                <w:szCs w:val="20"/>
                <w:color w:val="auto"/>
              </w:rPr>
            </w:pPr>
            <w:r>
              <w:rPr>
                <w:rFonts w:ascii="Arial" w:cs="Arial" w:eastAsia="Arial" w:hAnsi="Arial"/>
                <w:sz w:val="18"/>
                <w:szCs w:val="18"/>
                <w:b w:val="1"/>
                <w:bCs w:val="1"/>
                <w:color w:val="131E29"/>
              </w:rPr>
              <w:t>Cash Payments</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r>
      <w:tr>
        <w:trPr>
          <w:trHeight w:val="270"/>
        </w:trPr>
        <w:tc>
          <w:tcPr>
            <w:tcW w:w="4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34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698</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781</w:t>
            </w:r>
          </w:p>
        </w:tc>
        <w:tc>
          <w:tcPr>
            <w:tcW w:w="100" w:type="dxa"/>
            <w:vAlign w:val="bottom"/>
            <w:shd w:val="clear" w:color="auto" w:fill="D2DCE5"/>
          </w:tcPr>
          <w:p>
            <w:pPr>
              <w:spacing w:after="0"/>
              <w:rPr>
                <w:sz w:val="23"/>
                <w:szCs w:val="23"/>
                <w:color w:val="auto"/>
              </w:rPr>
            </w:pPr>
          </w:p>
        </w:tc>
        <w:tc>
          <w:tcPr>
            <w:tcW w:w="540" w:type="dxa"/>
            <w:vAlign w:val="bottom"/>
            <w:shd w:val="clear" w:color="auto" w:fill="D2DCE5"/>
          </w:tcPr>
          <w:p>
            <w:pPr>
              <w:jc w:val="right"/>
              <w:ind w:right="330"/>
              <w:spacing w:after="0"/>
              <w:rPr>
                <w:sz w:val="20"/>
                <w:szCs w:val="20"/>
                <w:color w:val="auto"/>
              </w:rPr>
            </w:pPr>
            <w:r>
              <w:rPr>
                <w:rFonts w:ascii="Arial" w:cs="Arial" w:eastAsia="Arial" w:hAnsi="Arial"/>
                <w:sz w:val="18"/>
                <w:szCs w:val="18"/>
                <w:color w:val="006098"/>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(1,328)</w:t>
            </w: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ind w:left="20"/>
              <w:spacing w:after="0"/>
              <w:rPr>
                <w:sz w:val="20"/>
                <w:szCs w:val="20"/>
                <w:color w:val="auto"/>
              </w:rPr>
            </w:pPr>
            <w:r>
              <w:rPr>
                <w:rFonts w:ascii="Arial" w:cs="Arial" w:eastAsia="Arial" w:hAnsi="Arial"/>
                <w:sz w:val="18"/>
                <w:szCs w:val="18"/>
                <w:color w:val="006098"/>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151</w:t>
            </w:r>
          </w:p>
        </w:tc>
      </w:tr>
      <w:tr>
        <w:trPr>
          <w:trHeight w:val="270"/>
        </w:trPr>
        <w:tc>
          <w:tcPr>
            <w:tcW w:w="44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Termination benefits</w:t>
            </w: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2,028</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1,962</w:t>
            </w:r>
          </w:p>
        </w:tc>
        <w:tc>
          <w:tcPr>
            <w:tcW w:w="100" w:type="dxa"/>
            <w:vAlign w:val="bottom"/>
            <w:tcBorders>
              <w:bottom w:val="single" w:sz="8" w:color="D2DCE5"/>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(2,159)</w:t>
            </w:r>
          </w:p>
        </w:tc>
        <w:tc>
          <w:tcPr>
            <w:tcW w:w="100" w:type="dxa"/>
            <w:vAlign w:val="bottom"/>
            <w:tcBorders>
              <w:bottom w:val="single" w:sz="8" w:color="D2DC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1,831</w:t>
            </w:r>
          </w:p>
        </w:tc>
      </w:tr>
      <w:tr>
        <w:trPr>
          <w:trHeight w:val="263"/>
        </w:trPr>
        <w:tc>
          <w:tcPr>
            <w:tcW w:w="4440" w:type="dxa"/>
            <w:vAlign w:val="bottom"/>
            <w:gridSpan w:val="2"/>
            <w:shd w:val="clear" w:color="auto" w:fill="D2DCE5"/>
          </w:tcPr>
          <w:p>
            <w:pPr>
              <w:ind w:left="100"/>
              <w:spacing w:after="0"/>
              <w:rPr>
                <w:sz w:val="20"/>
                <w:szCs w:val="20"/>
                <w:color w:val="auto"/>
              </w:rPr>
            </w:pPr>
            <w:r>
              <w:rPr>
                <w:rFonts w:ascii="Arial" w:cs="Arial" w:eastAsia="Arial" w:hAnsi="Arial"/>
                <w:sz w:val="18"/>
                <w:szCs w:val="18"/>
                <w:color w:val="131E29"/>
              </w:rPr>
              <w:t>Total employee-related costs</w:t>
            </w:r>
          </w:p>
        </w:tc>
        <w:tc>
          <w:tcPr>
            <w:tcW w:w="340" w:type="dxa"/>
            <w:vAlign w:val="bottom"/>
            <w:tcBorders>
              <w:bottom w:val="single" w:sz="8" w:color="auto"/>
            </w:tcBorders>
            <w:shd w:val="clear" w:color="auto" w:fill="D2DCE5"/>
          </w:tcPr>
          <w:p>
            <w:pPr>
              <w:spacing w:after="0"/>
              <w:rPr>
                <w:sz w:val="22"/>
                <w:szCs w:val="22"/>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2,726</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2,743</w:t>
            </w:r>
          </w:p>
        </w:tc>
        <w:tc>
          <w:tcPr>
            <w:tcW w:w="100" w:type="dxa"/>
            <w:vAlign w:val="bottom"/>
            <w:shd w:val="clear" w:color="auto" w:fill="D2DCE5"/>
          </w:tcPr>
          <w:p>
            <w:pPr>
              <w:spacing w:after="0"/>
              <w:rPr>
                <w:sz w:val="22"/>
                <w:szCs w:val="22"/>
                <w:color w:val="auto"/>
              </w:rPr>
            </w:pPr>
          </w:p>
        </w:tc>
        <w:tc>
          <w:tcPr>
            <w:tcW w:w="54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(3,487)</w:t>
            </w:r>
          </w:p>
        </w:tc>
        <w:tc>
          <w:tcPr>
            <w:tcW w:w="100" w:type="dxa"/>
            <w:vAlign w:val="bottom"/>
            <w:shd w:val="clear" w:color="auto" w:fill="D2DCE5"/>
          </w:tcPr>
          <w:p>
            <w:pPr>
              <w:spacing w:after="0"/>
              <w:rPr>
                <w:sz w:val="22"/>
                <w:szCs w:val="22"/>
                <w:color w:val="auto"/>
              </w:rPr>
            </w:pPr>
          </w:p>
        </w:tc>
        <w:tc>
          <w:tcPr>
            <w:tcW w:w="340" w:type="dxa"/>
            <w:vAlign w:val="bottom"/>
            <w:tcBorders>
              <w:bottom w:val="single" w:sz="8" w:color="auto"/>
            </w:tcBorders>
            <w:shd w:val="clear" w:color="auto" w:fill="D2DCE5"/>
          </w:tcPr>
          <w:p>
            <w:pPr>
              <w:spacing w:after="0"/>
              <w:rPr>
                <w:sz w:val="22"/>
                <w:szCs w:val="22"/>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1,982</w:t>
            </w:r>
          </w:p>
        </w:tc>
      </w:tr>
      <w:tr>
        <w:trPr>
          <w:trHeight w:val="263"/>
        </w:trPr>
        <w:tc>
          <w:tcPr>
            <w:tcW w:w="4440" w:type="dxa"/>
            <w:vAlign w:val="bottom"/>
            <w:gridSpan w:val="2"/>
          </w:tcPr>
          <w:p>
            <w:pPr>
              <w:ind w:left="20"/>
              <w:spacing w:after="0"/>
              <w:rPr>
                <w:sz w:val="20"/>
                <w:szCs w:val="20"/>
                <w:color w:val="auto"/>
              </w:rPr>
            </w:pPr>
            <w:r>
              <w:rPr>
                <w:rFonts w:ascii="Arial" w:cs="Arial" w:eastAsia="Arial" w:hAnsi="Arial"/>
                <w:sz w:val="18"/>
                <w:szCs w:val="18"/>
                <w:color w:val="131E29"/>
              </w:rPr>
              <w:t>Duplicate rent</w:t>
            </w:r>
          </w:p>
        </w:tc>
        <w:tc>
          <w:tcPr>
            <w:tcW w:w="34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244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(244)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w:t>
            </w:r>
          </w:p>
        </w:tc>
      </w:tr>
      <w:tr>
        <w:trPr>
          <w:trHeight w:val="270"/>
        </w:trPr>
        <w:tc>
          <w:tcPr>
            <w:tcW w:w="4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Consulting</w:t>
            </w:r>
          </w:p>
        </w:tc>
        <w:tc>
          <w:tcPr>
            <w:tcW w:w="340" w:type="dxa"/>
            <w:vAlign w:val="bottom"/>
            <w:tcBorders>
              <w:bottom w:val="single" w:sz="8" w:color="auto"/>
            </w:tcBorders>
            <w:shd w:val="clear" w:color="auto" w:fill="D2DCE5"/>
          </w:tcPr>
          <w:p>
            <w:pPr>
              <w:spacing w:after="0"/>
              <w:rPr>
                <w:sz w:val="23"/>
                <w:szCs w:val="23"/>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55</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4</w:t>
            </w:r>
          </w:p>
        </w:tc>
        <w:tc>
          <w:tcPr>
            <w:tcW w:w="100" w:type="dxa"/>
            <w:vAlign w:val="bottom"/>
            <w:shd w:val="clear" w:color="auto" w:fill="D2DCE5"/>
          </w:tcPr>
          <w:p>
            <w:pPr>
              <w:spacing w:after="0"/>
              <w:rPr>
                <w:sz w:val="23"/>
                <w:szCs w:val="23"/>
                <w:color w:val="auto"/>
              </w:rPr>
            </w:pPr>
          </w:p>
        </w:tc>
        <w:tc>
          <w:tcPr>
            <w:tcW w:w="540" w:type="dxa"/>
            <w:vAlign w:val="bottom"/>
            <w:tcBorders>
              <w:bottom w:val="single" w:sz="8" w:color="auto"/>
            </w:tcBorders>
            <w:shd w:val="clear" w:color="auto" w:fill="D2DCE5"/>
          </w:tcPr>
          <w:p>
            <w:pPr>
              <w:spacing w:after="0"/>
              <w:rPr>
                <w:sz w:val="23"/>
                <w:szCs w:val="23"/>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(40)</w:t>
            </w:r>
          </w:p>
        </w:tc>
        <w:tc>
          <w:tcPr>
            <w:tcW w:w="100" w:type="dxa"/>
            <w:vAlign w:val="bottom"/>
            <w:shd w:val="clear" w:color="auto" w:fill="D2DCE5"/>
          </w:tcPr>
          <w:p>
            <w:pPr>
              <w:spacing w:after="0"/>
              <w:rPr>
                <w:sz w:val="23"/>
                <w:szCs w:val="23"/>
                <w:color w:val="auto"/>
              </w:rPr>
            </w:pPr>
          </w:p>
        </w:tc>
        <w:tc>
          <w:tcPr>
            <w:tcW w:w="34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19</w:t>
            </w:r>
          </w:p>
        </w:tc>
      </w:tr>
      <w:tr>
        <w:trPr>
          <w:trHeight w:val="263"/>
        </w:trPr>
        <w:tc>
          <w:tcPr>
            <w:tcW w:w="4440" w:type="dxa"/>
            <w:vAlign w:val="bottom"/>
            <w:tcBorders>
              <w:bottom w:val="single" w:sz="8" w:color="D2DCE5"/>
            </w:tcBorders>
            <w:gridSpan w:val="2"/>
          </w:tcPr>
          <w:p>
            <w:pPr>
              <w:ind w:left="100"/>
              <w:spacing w:after="0"/>
              <w:rPr>
                <w:sz w:val="20"/>
                <w:szCs w:val="20"/>
                <w:color w:val="auto"/>
              </w:rPr>
            </w:pPr>
            <w:r>
              <w:rPr>
                <w:rFonts w:ascii="Arial" w:cs="Arial" w:eastAsia="Arial" w:hAnsi="Arial"/>
                <w:sz w:val="18"/>
                <w:szCs w:val="18"/>
                <w:color w:val="131E29"/>
              </w:rPr>
              <w:t>Total other costs</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248</w:t>
            </w:r>
          </w:p>
        </w:tc>
        <w:tc>
          <w:tcPr>
            <w:tcW w:w="100" w:type="dxa"/>
            <w:vAlign w:val="bottom"/>
            <w:tcBorders>
              <w:bottom w:val="single" w:sz="8" w:color="D2DCE5"/>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(284)</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19</w:t>
            </w:r>
          </w:p>
        </w:tc>
      </w:tr>
      <w:tr>
        <w:trPr>
          <w:trHeight w:val="289"/>
        </w:trPr>
        <w:tc>
          <w:tcPr>
            <w:tcW w:w="4440" w:type="dxa"/>
            <w:vAlign w:val="bottom"/>
            <w:tcBorders>
              <w:bottom w:val="single" w:sz="8" w:color="D2DCE5"/>
            </w:tcBorders>
            <w:gridSpan w:val="2"/>
            <w:shd w:val="clear" w:color="auto" w:fill="D2DCE5"/>
          </w:tcPr>
          <w:p>
            <w:pPr>
              <w:ind w:left="220"/>
              <w:spacing w:after="0"/>
              <w:rPr>
                <w:sz w:val="20"/>
                <w:szCs w:val="20"/>
                <w:color w:val="auto"/>
              </w:rPr>
            </w:pPr>
            <w:r>
              <w:rPr>
                <w:rFonts w:ascii="Arial" w:cs="Arial" w:eastAsia="Arial" w:hAnsi="Arial"/>
                <w:sz w:val="18"/>
                <w:szCs w:val="18"/>
                <w:b w:val="1"/>
                <w:bCs w:val="1"/>
                <w:color w:val="131E29"/>
              </w:rPr>
              <w:t>Totals</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2,781</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2,991</w:t>
            </w:r>
          </w:p>
        </w:tc>
        <w:tc>
          <w:tcPr>
            <w:tcW w:w="100" w:type="dxa"/>
            <w:vAlign w:val="bottom"/>
            <w:tcBorders>
              <w:bottom w:val="single" w:sz="8" w:color="D2DCE5"/>
            </w:tcBorders>
            <w:shd w:val="clear" w:color="auto" w:fill="D2DCE5"/>
          </w:tcPr>
          <w:p>
            <w:pPr>
              <w:spacing w:after="0"/>
              <w:rPr>
                <w:sz w:val="24"/>
                <w:szCs w:val="24"/>
                <w:color w:val="auto"/>
              </w:rPr>
            </w:pP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(3,771)</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ind w:left="20"/>
              <w:spacing w:after="0"/>
              <w:rPr>
                <w:sz w:val="20"/>
                <w:szCs w:val="20"/>
                <w:color w:val="auto"/>
              </w:rPr>
            </w:pPr>
            <w:r>
              <w:rPr>
                <w:rFonts w:ascii="Arial" w:cs="Arial" w:eastAsia="Arial" w:hAnsi="Arial"/>
                <w:sz w:val="18"/>
                <w:szCs w:val="18"/>
                <w:b w:val="1"/>
                <w:bCs w:val="1"/>
                <w:color w:val="006098"/>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2,001</w:t>
            </w:r>
          </w:p>
        </w:tc>
      </w:tr>
      <w:tr>
        <w:trPr>
          <w:trHeight w:val="20"/>
        </w:trPr>
        <w:tc>
          <w:tcPr>
            <w:tcW w:w="43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4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5 — Inventories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gridSpan w:val="2"/>
          </w:tcPr>
          <w:p>
            <w:pPr>
              <w:spacing w:after="0"/>
              <w:rPr>
                <w:sz w:val="20"/>
                <w:szCs w:val="20"/>
                <w:color w:val="auto"/>
              </w:rPr>
            </w:pPr>
            <w:r>
              <w:rPr>
                <w:rFonts w:ascii="Arial" w:cs="Arial" w:eastAsia="Arial" w:hAnsi="Arial"/>
                <w:sz w:val="18"/>
                <w:szCs w:val="18"/>
                <w:color w:val="131E29"/>
              </w:rPr>
              <w:t>Inventories, net consist of the following:</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6"/>
        </w:trPr>
        <w:tc>
          <w:tcPr>
            <w:tcW w:w="7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1420" w:type="dxa"/>
            <w:vAlign w:val="bottom"/>
            <w:tcBorders>
              <w:bottom w:val="single" w:sz="8" w:color="D7282F"/>
            </w:tcBorders>
          </w:tcPr>
          <w:p>
            <w:pPr>
              <w:jc w:val="right"/>
              <w:ind w:right="110"/>
              <w:spacing w:after="0"/>
              <w:rPr>
                <w:sz w:val="20"/>
                <w:szCs w:val="20"/>
                <w:color w:val="auto"/>
              </w:rPr>
            </w:pPr>
            <w:r>
              <w:rPr>
                <w:rFonts w:ascii="Arial" w:cs="Arial" w:eastAsia="Arial" w:hAnsi="Arial"/>
                <w:sz w:val="18"/>
                <w:szCs w:val="18"/>
                <w:b w:val="1"/>
                <w:bCs w:val="1"/>
                <w:color w:val="131E29"/>
              </w:rPr>
              <w:t>June 30, 2025</w:t>
            </w:r>
          </w:p>
        </w:tc>
        <w:tc>
          <w:tcPr>
            <w:tcW w:w="100" w:type="dxa"/>
            <w:vAlign w:val="bottom"/>
            <w:tcBorders>
              <w:bottom w:val="single" w:sz="8" w:color="D2DCE5"/>
            </w:tcBorders>
          </w:tcPr>
          <w:p>
            <w:pPr>
              <w:spacing w:after="0"/>
              <w:rPr>
                <w:sz w:val="24"/>
                <w:szCs w:val="24"/>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70"/>
        </w:trPr>
        <w:tc>
          <w:tcPr>
            <w:tcW w:w="77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Raw materials</w:t>
            </w: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20,848</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14,594</w:t>
            </w:r>
          </w:p>
        </w:tc>
      </w:tr>
      <w:tr>
        <w:trPr>
          <w:trHeight w:val="270"/>
        </w:trPr>
        <w:tc>
          <w:tcPr>
            <w:tcW w:w="77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Finished goods</w:t>
            </w: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21,571</w:t>
            </w:r>
          </w:p>
        </w:tc>
        <w:tc>
          <w:tcPr>
            <w:tcW w:w="100" w:type="dxa"/>
            <w:vAlign w:val="bottom"/>
            <w:tcBorders>
              <w:bottom w:val="single" w:sz="8" w:color="D2DCE5"/>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21,894</w:t>
            </w:r>
          </w:p>
        </w:tc>
      </w:tr>
      <w:tr>
        <w:trPr>
          <w:trHeight w:val="289"/>
        </w:trPr>
        <w:tc>
          <w:tcPr>
            <w:tcW w:w="77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inventories</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42,419</w:t>
            </w:r>
          </w:p>
        </w:tc>
        <w:tc>
          <w:tcPr>
            <w:tcW w:w="10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ind w:right="4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36,488</w:t>
            </w:r>
          </w:p>
        </w:tc>
      </w:tr>
      <w:tr>
        <w:trPr>
          <w:trHeight w:val="20"/>
        </w:trPr>
        <w:tc>
          <w:tcPr>
            <w:tcW w:w="76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4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6 —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Property and equipment, net consists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w:t>
            </w:r>
          </w:p>
        </w:tc>
        <w:tc>
          <w:tcPr>
            <w:tcW w:w="100" w:type="dxa"/>
            <w:vAlign w:val="bottom"/>
            <w:tcBorders>
              <w:bottom w:val="single" w:sz="8" w:color="D2DCE5"/>
            </w:tcBorders>
          </w:tcPr>
          <w:p>
            <w:pPr>
              <w:spacing w:after="0"/>
              <w:rPr>
                <w:sz w:val="22"/>
                <w:szCs w:val="22"/>
                <w:color w:val="auto"/>
              </w:rPr>
            </w:pPr>
          </w:p>
        </w:tc>
        <w:tc>
          <w:tcPr>
            <w:tcW w:w="1640" w:type="dxa"/>
            <w:vAlign w:val="bottom"/>
            <w:tcBorders>
              <w:bottom w:val="single" w:sz="8" w:color="D7282F"/>
            </w:tcBorders>
            <w:gridSpan w:val="3"/>
          </w:tcPr>
          <w:p>
            <w:pPr>
              <w:jc w:val="center"/>
              <w:spacing w:after="0"/>
              <w:rPr>
                <w:sz w:val="20"/>
                <w:szCs w:val="20"/>
                <w:color w:val="auto"/>
              </w:rPr>
            </w:pPr>
            <w:r>
              <w:rPr>
                <w:rFonts w:ascii="Arial" w:cs="Arial" w:eastAsia="Arial" w:hAnsi="Arial"/>
                <w:sz w:val="18"/>
                <w:szCs w:val="18"/>
                <w:b w:val="1"/>
                <w:bCs w:val="1"/>
                <w:color w:val="131E29"/>
              </w:rPr>
              <w:t xml:space="preserve">Useful Life </w:t>
            </w:r>
            <w:r>
              <w:rPr>
                <w:rFonts w:ascii="Arial" w:cs="Arial" w:eastAsia="Arial" w:hAnsi="Arial"/>
                <w:sz w:val="14"/>
                <w:szCs w:val="14"/>
                <w:color w:val="131E29"/>
              </w:rPr>
              <w:t>(Years)</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420" w:type="dxa"/>
            <w:vAlign w:val="bottom"/>
            <w:tcBorders>
              <w:bottom w:val="single" w:sz="8" w:color="D7282F"/>
            </w:tcBorders>
          </w:tcPr>
          <w:p>
            <w:pPr>
              <w:jc w:val="right"/>
              <w:ind w:right="110"/>
              <w:spacing w:after="0"/>
              <w:rPr>
                <w:sz w:val="20"/>
                <w:szCs w:val="20"/>
                <w:color w:val="auto"/>
              </w:rPr>
            </w:pPr>
            <w:r>
              <w:rPr>
                <w:rFonts w:ascii="Arial" w:cs="Arial" w:eastAsia="Arial" w:hAnsi="Arial"/>
                <w:sz w:val="18"/>
                <w:szCs w:val="18"/>
                <w:b w:val="1"/>
                <w:bCs w:val="1"/>
                <w:color w:val="131E29"/>
              </w:rPr>
              <w:t>June 30, 2025</w:t>
            </w:r>
          </w:p>
        </w:tc>
        <w:tc>
          <w:tcPr>
            <w:tcW w:w="100" w:type="dxa"/>
            <w:vAlign w:val="bottom"/>
            <w:tcBorders>
              <w:bottom w:val="single" w:sz="8" w:color="D2DCE5"/>
            </w:tcBorders>
          </w:tcPr>
          <w:p>
            <w:pPr>
              <w:spacing w:after="0"/>
              <w:rPr>
                <w:sz w:val="22"/>
                <w:szCs w:val="22"/>
                <w:color w:val="auto"/>
              </w:rPr>
            </w:pPr>
          </w:p>
        </w:tc>
        <w:tc>
          <w:tcPr>
            <w:tcW w:w="180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50"/>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Software</w:t>
            </w:r>
          </w:p>
        </w:tc>
        <w:tc>
          <w:tcPr>
            <w:tcW w:w="56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9"/>
              </w:rPr>
              <w:t>3</w:t>
            </w:r>
          </w:p>
        </w:tc>
        <w:tc>
          <w:tcPr>
            <w:tcW w:w="800" w:type="dxa"/>
            <w:vAlign w:val="bottom"/>
            <w:tcBorders>
              <w:bottom w:val="single" w:sz="8" w:color="D2DCE5"/>
            </w:tcBorders>
            <w:gridSpan w:val="3"/>
            <w:shd w:val="clear" w:color="auto" w:fill="D2DCE5"/>
          </w:tcPr>
          <w:p>
            <w:pPr>
              <w:jc w:val="right"/>
              <w:ind w:right="40"/>
              <w:spacing w:after="0"/>
              <w:rPr>
                <w:sz w:val="20"/>
                <w:szCs w:val="20"/>
                <w:color w:val="auto"/>
              </w:rPr>
            </w:pPr>
            <w:r>
              <w:rPr>
                <w:rFonts w:ascii="Arial" w:cs="Arial" w:eastAsia="Arial" w:hAnsi="Arial"/>
                <w:sz w:val="18"/>
                <w:szCs w:val="18"/>
                <w:color w:val="006098"/>
              </w:rPr>
              <w:t>$</w:t>
            </w: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11,666</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ind w:right="370"/>
              <w:spacing w:after="0"/>
              <w:rPr>
                <w:sz w:val="20"/>
                <w:szCs w:val="20"/>
                <w:color w:val="auto"/>
              </w:rPr>
            </w:pPr>
            <w:r>
              <w:rPr>
                <w:rFonts w:ascii="Arial" w:cs="Arial" w:eastAsia="Arial" w:hAnsi="Arial"/>
                <w:sz w:val="18"/>
                <w:szCs w:val="18"/>
                <w:color w:val="131E29"/>
                <w:w w:val="79"/>
              </w:rPr>
              <w:t>$</w:t>
            </w: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10,666</w:t>
            </w:r>
          </w:p>
        </w:tc>
      </w:tr>
      <w:tr>
        <w:trPr>
          <w:trHeight w:val="247"/>
        </w:trPr>
        <w:tc>
          <w:tcPr>
            <w:tcW w:w="6040" w:type="dxa"/>
            <w:vAlign w:val="bottom"/>
            <w:gridSpan w:val="2"/>
          </w:tcPr>
          <w:p>
            <w:pPr>
              <w:ind w:left="20"/>
              <w:spacing w:after="0"/>
              <w:rPr>
                <w:sz w:val="20"/>
                <w:szCs w:val="20"/>
                <w:color w:val="auto"/>
              </w:rPr>
            </w:pPr>
            <w:r>
              <w:rPr>
                <w:rFonts w:ascii="Arial" w:cs="Arial" w:eastAsia="Arial" w:hAnsi="Arial"/>
                <w:sz w:val="18"/>
                <w:szCs w:val="18"/>
                <w:color w:val="131E29"/>
              </w:rPr>
              <w:t>Equipment and fixtures</w:t>
            </w:r>
          </w:p>
        </w:tc>
        <w:tc>
          <w:tcPr>
            <w:tcW w:w="560" w:type="dxa"/>
            <w:vAlign w:val="bottom"/>
          </w:tcPr>
          <w:p>
            <w:pPr>
              <w:jc w:val="center"/>
              <w:ind w:left="90"/>
              <w:spacing w:after="0"/>
              <w:rPr>
                <w:sz w:val="20"/>
                <w:szCs w:val="20"/>
                <w:color w:val="auto"/>
              </w:rPr>
            </w:pPr>
            <w:r>
              <w:rPr>
                <w:rFonts w:ascii="Arial" w:cs="Arial" w:eastAsia="Arial" w:hAnsi="Arial"/>
                <w:sz w:val="18"/>
                <w:szCs w:val="18"/>
                <w:color w:val="006098"/>
                <w:w w:val="99"/>
              </w:rPr>
              <w:t>3</w:t>
            </w:r>
          </w:p>
        </w:tc>
        <w:tc>
          <w:tcPr>
            <w:tcW w:w="520" w:type="dxa"/>
            <w:vAlign w:val="bottom"/>
          </w:tcPr>
          <w:p>
            <w:pPr>
              <w:jc w:val="center"/>
              <w:spacing w:after="0"/>
              <w:rPr>
                <w:sz w:val="20"/>
                <w:szCs w:val="20"/>
                <w:color w:val="auto"/>
              </w:rPr>
            </w:pPr>
            <w:r>
              <w:rPr>
                <w:rFonts w:ascii="Arial" w:cs="Arial" w:eastAsia="Arial" w:hAnsi="Arial"/>
                <w:sz w:val="11"/>
                <w:szCs w:val="11"/>
                <w:color w:val="006098"/>
              </w:rPr>
              <w:t>—</w:t>
            </w:r>
          </w:p>
        </w:tc>
        <w:tc>
          <w:tcPr>
            <w:tcW w:w="560" w:type="dxa"/>
            <w:vAlign w:val="bottom"/>
          </w:tcPr>
          <w:p>
            <w:pPr>
              <w:jc w:val="center"/>
              <w:ind w:right="90"/>
              <w:spacing w:after="0"/>
              <w:rPr>
                <w:sz w:val="20"/>
                <w:szCs w:val="20"/>
                <w:color w:val="auto"/>
              </w:rPr>
            </w:pPr>
            <w:r>
              <w:rPr>
                <w:rFonts w:ascii="Arial" w:cs="Arial" w:eastAsia="Arial" w:hAnsi="Arial"/>
                <w:sz w:val="18"/>
                <w:szCs w:val="18"/>
                <w:color w:val="006098"/>
                <w:w w:val="99"/>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006098"/>
              </w:rPr>
              <w:t>243,192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229,307</w:t>
            </w:r>
          </w:p>
        </w:tc>
      </w:tr>
      <w:tr>
        <w:trPr>
          <w:trHeight w:val="23"/>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Leasehold improvements</w:t>
            </w:r>
          </w:p>
        </w:tc>
        <w:tc>
          <w:tcPr>
            <w:tcW w:w="560" w:type="dxa"/>
            <w:vAlign w:val="bottom"/>
            <w:tcBorders>
              <w:bottom w:val="single" w:sz="8" w:color="D2DCE5"/>
            </w:tcBorders>
            <w:shd w:val="clear" w:color="auto" w:fill="D2DCE5"/>
          </w:tcPr>
          <w:p>
            <w:pPr>
              <w:jc w:val="center"/>
              <w:ind w:left="90"/>
              <w:spacing w:after="0"/>
              <w:rPr>
                <w:sz w:val="20"/>
                <w:szCs w:val="20"/>
                <w:color w:val="auto"/>
              </w:rPr>
            </w:pPr>
            <w:r>
              <w:rPr>
                <w:rFonts w:ascii="Arial" w:cs="Arial" w:eastAsia="Arial" w:hAnsi="Arial"/>
                <w:sz w:val="18"/>
                <w:szCs w:val="18"/>
                <w:color w:val="006098"/>
                <w:w w:val="99"/>
              </w:rPr>
              <w:t>5</w:t>
            </w: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1"/>
                <w:szCs w:val="11"/>
                <w:color w:val="006098"/>
              </w:rPr>
              <w:t>—</w:t>
            </w:r>
          </w:p>
        </w:tc>
        <w:tc>
          <w:tcPr>
            <w:tcW w:w="560" w:type="dxa"/>
            <w:vAlign w:val="bottom"/>
            <w:tcBorders>
              <w:bottom w:val="single" w:sz="8" w:color="D2DCE5"/>
            </w:tcBorders>
            <w:shd w:val="clear" w:color="auto" w:fill="D2DCE5"/>
          </w:tcPr>
          <w:p>
            <w:pPr>
              <w:jc w:val="center"/>
              <w:ind w:right="70"/>
              <w:spacing w:after="0"/>
              <w:rPr>
                <w:sz w:val="20"/>
                <w:szCs w:val="20"/>
                <w:color w:val="auto"/>
              </w:rPr>
            </w:pPr>
            <w:r>
              <w:rPr>
                <w:rFonts w:ascii="Arial" w:cs="Arial" w:eastAsia="Arial" w:hAnsi="Arial"/>
                <w:sz w:val="18"/>
                <w:szCs w:val="18"/>
                <w:color w:val="006098"/>
                <w:w w:val="99"/>
              </w:rPr>
              <w:t>15</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60,494</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54,535</w:t>
            </w:r>
          </w:p>
        </w:tc>
      </w:tr>
      <w:tr>
        <w:trPr>
          <w:trHeight w:val="247"/>
        </w:trPr>
        <w:tc>
          <w:tcPr>
            <w:tcW w:w="6040" w:type="dxa"/>
            <w:vAlign w:val="bottom"/>
            <w:gridSpan w:val="2"/>
          </w:tcPr>
          <w:p>
            <w:pPr>
              <w:ind w:left="20"/>
              <w:spacing w:after="0"/>
              <w:rPr>
                <w:sz w:val="20"/>
                <w:szCs w:val="20"/>
                <w:color w:val="auto"/>
              </w:rPr>
            </w:pPr>
            <w:r>
              <w:rPr>
                <w:rFonts w:ascii="Arial" w:cs="Arial" w:eastAsia="Arial" w:hAnsi="Arial"/>
                <w:sz w:val="18"/>
                <w:szCs w:val="18"/>
                <w:color w:val="131E29"/>
              </w:rPr>
              <w:t>Buildings</w:t>
            </w:r>
          </w:p>
        </w:tc>
        <w:tc>
          <w:tcPr>
            <w:tcW w:w="560" w:type="dxa"/>
            <w:vAlign w:val="bottom"/>
          </w:tcPr>
          <w:p>
            <w:pPr>
              <w:jc w:val="center"/>
              <w:ind w:left="70"/>
              <w:spacing w:after="0"/>
              <w:rPr>
                <w:sz w:val="20"/>
                <w:szCs w:val="20"/>
                <w:color w:val="auto"/>
              </w:rPr>
            </w:pPr>
            <w:r>
              <w:rPr>
                <w:rFonts w:ascii="Arial" w:cs="Arial" w:eastAsia="Arial" w:hAnsi="Arial"/>
                <w:sz w:val="18"/>
                <w:szCs w:val="18"/>
                <w:color w:val="006098"/>
                <w:w w:val="99"/>
              </w:rPr>
              <w:t>10</w:t>
            </w:r>
          </w:p>
        </w:tc>
        <w:tc>
          <w:tcPr>
            <w:tcW w:w="520" w:type="dxa"/>
            <w:vAlign w:val="bottom"/>
          </w:tcPr>
          <w:p>
            <w:pPr>
              <w:jc w:val="center"/>
              <w:spacing w:after="0"/>
              <w:rPr>
                <w:sz w:val="20"/>
                <w:szCs w:val="20"/>
                <w:color w:val="auto"/>
              </w:rPr>
            </w:pPr>
            <w:r>
              <w:rPr>
                <w:rFonts w:ascii="Arial" w:cs="Arial" w:eastAsia="Arial" w:hAnsi="Arial"/>
                <w:sz w:val="11"/>
                <w:szCs w:val="11"/>
                <w:color w:val="006098"/>
              </w:rPr>
              <w:t>—</w:t>
            </w:r>
          </w:p>
        </w:tc>
        <w:tc>
          <w:tcPr>
            <w:tcW w:w="560" w:type="dxa"/>
            <w:vAlign w:val="bottom"/>
          </w:tcPr>
          <w:p>
            <w:pPr>
              <w:jc w:val="center"/>
              <w:ind w:right="70"/>
              <w:spacing w:after="0"/>
              <w:rPr>
                <w:sz w:val="20"/>
                <w:szCs w:val="20"/>
                <w:color w:val="auto"/>
              </w:rPr>
            </w:pPr>
            <w:r>
              <w:rPr>
                <w:rFonts w:ascii="Arial" w:cs="Arial" w:eastAsia="Arial" w:hAnsi="Arial"/>
                <w:sz w:val="18"/>
                <w:szCs w:val="18"/>
                <w:color w:val="006098"/>
                <w:w w:val="99"/>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006098"/>
              </w:rPr>
              <w:t>547,857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487,060</w:t>
            </w:r>
          </w:p>
        </w:tc>
      </w:tr>
      <w:tr>
        <w:trPr>
          <w:trHeight w:val="23"/>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Land</w:t>
            </w:r>
          </w:p>
        </w:tc>
        <w:tc>
          <w:tcPr>
            <w:tcW w:w="56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9"/>
              </w:rPr>
              <w:t>N/A</w:t>
            </w:r>
          </w:p>
        </w:tc>
        <w:tc>
          <w:tcPr>
            <w:tcW w:w="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7,022</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7,022</w:t>
            </w:r>
          </w:p>
        </w:tc>
      </w:tr>
      <w:tr>
        <w:trPr>
          <w:trHeight w:val="270"/>
        </w:trPr>
        <w:tc>
          <w:tcPr>
            <w:tcW w:w="60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 xml:space="preserve">Construction-in-progress </w:t>
            </w:r>
            <w:r>
              <w:rPr>
                <w:rFonts w:ascii="Arial" w:cs="Arial" w:eastAsia="Arial" w:hAnsi="Arial"/>
                <w:sz w:val="23"/>
                <w:szCs w:val="23"/>
                <w:color w:val="131E29"/>
                <w:vertAlign w:val="superscript"/>
              </w:rPr>
              <w:t>1</w:t>
            </w:r>
          </w:p>
        </w:tc>
        <w:tc>
          <w:tcPr>
            <w:tcW w:w="560" w:type="dxa"/>
            <w:vAlign w:val="bottom"/>
            <w:tcBorders>
              <w:bottom w:val="single" w:sz="8" w:color="D2DCE5"/>
            </w:tcBorders>
          </w:tcPr>
          <w:p>
            <w:pPr>
              <w:spacing w:after="0"/>
              <w:rPr>
                <w:sz w:val="23"/>
                <w:szCs w:val="23"/>
                <w:color w:val="auto"/>
              </w:rPr>
            </w:pPr>
          </w:p>
        </w:tc>
        <w:tc>
          <w:tcPr>
            <w:tcW w:w="520" w:type="dxa"/>
            <w:vAlign w:val="bottom"/>
            <w:tcBorders>
              <w:bottom w:val="single" w:sz="8" w:color="D2DCE5"/>
            </w:tcBorders>
          </w:tcPr>
          <w:p>
            <w:pPr>
              <w:jc w:val="center"/>
              <w:spacing w:after="0"/>
              <w:rPr>
                <w:sz w:val="20"/>
                <w:szCs w:val="20"/>
                <w:color w:val="auto"/>
              </w:rPr>
            </w:pPr>
            <w:r>
              <w:rPr>
                <w:rFonts w:ascii="Arial" w:cs="Arial" w:eastAsia="Arial" w:hAnsi="Arial"/>
                <w:sz w:val="18"/>
                <w:szCs w:val="18"/>
                <w:color w:val="006098"/>
                <w:w w:val="99"/>
              </w:rPr>
              <w:t>N/A</w:t>
            </w:r>
          </w:p>
        </w:tc>
        <w:tc>
          <w:tcPr>
            <w:tcW w:w="56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93,871</w:t>
            </w:r>
          </w:p>
        </w:tc>
        <w:tc>
          <w:tcPr>
            <w:tcW w:w="100" w:type="dxa"/>
            <w:vAlign w:val="bottom"/>
            <w:tcBorders>
              <w:bottom w:val="single" w:sz="8" w:color="D2DCE5"/>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71,951</w:t>
            </w:r>
          </w:p>
        </w:tc>
      </w:tr>
      <w:tr>
        <w:trPr>
          <w:trHeight w:val="243"/>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Property and equipment, gross</w:t>
            </w:r>
          </w:p>
        </w:tc>
        <w:tc>
          <w:tcPr>
            <w:tcW w:w="56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964,102</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860,541</w:t>
            </w:r>
          </w:p>
        </w:tc>
      </w:tr>
      <w:tr>
        <w:trPr>
          <w:trHeight w:val="247"/>
        </w:trPr>
        <w:tc>
          <w:tcPr>
            <w:tcW w:w="6040" w:type="dxa"/>
            <w:vAlign w:val="bottom"/>
            <w:gridSpan w:val="2"/>
          </w:tcPr>
          <w:p>
            <w:pPr>
              <w:ind w:left="20"/>
              <w:spacing w:after="0"/>
              <w:rPr>
                <w:sz w:val="20"/>
                <w:szCs w:val="20"/>
                <w:color w:val="auto"/>
              </w:rPr>
            </w:pPr>
            <w:r>
              <w:rPr>
                <w:rFonts w:ascii="Arial" w:cs="Arial" w:eastAsia="Arial" w:hAnsi="Arial"/>
                <w:sz w:val="18"/>
                <w:szCs w:val="18"/>
                <w:color w:val="131E29"/>
              </w:rPr>
              <w:t>Less: accumulated depreciation</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006098"/>
              </w:rPr>
              <w:t>(216,271)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(176,570)</w:t>
            </w:r>
          </w:p>
        </w:tc>
      </w:tr>
      <w:tr>
        <w:trPr>
          <w:trHeight w:val="23"/>
        </w:trPr>
        <w:tc>
          <w:tcPr>
            <w:tcW w:w="59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60" w:type="dxa"/>
            <w:vAlign w:val="bottom"/>
            <w:tcBorders>
              <w:bottom w:val="single" w:sz="8" w:color="D2DCE5"/>
            </w:tcBorders>
          </w:tcPr>
          <w:p>
            <w:pPr>
              <w:spacing w:after="0"/>
              <w:rPr>
                <w:sz w:val="2"/>
                <w:szCs w:val="2"/>
                <w:color w:val="auto"/>
              </w:rPr>
            </w:pPr>
          </w:p>
        </w:tc>
        <w:tc>
          <w:tcPr>
            <w:tcW w:w="520" w:type="dxa"/>
            <w:vAlign w:val="bottom"/>
            <w:tcBorders>
              <w:bottom w:val="single" w:sz="8" w:color="D2DCE5"/>
            </w:tcBorders>
          </w:tcPr>
          <w:p>
            <w:pPr>
              <w:spacing w:after="0"/>
              <w:rPr>
                <w:sz w:val="2"/>
                <w:szCs w:val="2"/>
                <w:color w:val="auto"/>
              </w:rPr>
            </w:pPr>
          </w:p>
        </w:tc>
        <w:tc>
          <w:tcPr>
            <w:tcW w:w="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6040" w:type="dxa"/>
            <w:vAlign w:val="bottom"/>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Property and equipment, net</w:t>
            </w:r>
          </w:p>
        </w:tc>
        <w:tc>
          <w:tcPr>
            <w:tcW w:w="560" w:type="dxa"/>
            <w:vAlign w:val="bottom"/>
            <w:shd w:val="clear" w:color="auto" w:fill="D2DCE5"/>
          </w:tcPr>
          <w:p>
            <w:pPr>
              <w:spacing w:after="0"/>
              <w:rPr>
                <w:sz w:val="24"/>
                <w:szCs w:val="24"/>
                <w:color w:val="auto"/>
              </w:rPr>
            </w:pPr>
          </w:p>
        </w:tc>
        <w:tc>
          <w:tcPr>
            <w:tcW w:w="520" w:type="dxa"/>
            <w:vAlign w:val="bottom"/>
            <w:shd w:val="clear" w:color="auto" w:fill="D2DCE5"/>
          </w:tcPr>
          <w:p>
            <w:pPr>
              <w:spacing w:after="0"/>
              <w:rPr>
                <w:sz w:val="24"/>
                <w:szCs w:val="24"/>
                <w:color w:val="auto"/>
              </w:rPr>
            </w:pPr>
          </w:p>
        </w:tc>
        <w:tc>
          <w:tcPr>
            <w:tcW w:w="800" w:type="dxa"/>
            <w:vAlign w:val="bottom"/>
            <w:gridSpan w:val="3"/>
            <w:shd w:val="clear" w:color="auto" w:fill="D2DCE5"/>
          </w:tcPr>
          <w:p>
            <w:pPr>
              <w:jc w:val="right"/>
              <w:ind w:right="40"/>
              <w:spacing w:after="0"/>
              <w:rPr>
                <w:sz w:val="20"/>
                <w:szCs w:val="20"/>
                <w:color w:val="auto"/>
              </w:rPr>
            </w:pPr>
            <w:r>
              <w:rPr>
                <w:rFonts w:ascii="Arial" w:cs="Arial" w:eastAsia="Arial" w:hAnsi="Arial"/>
                <w:sz w:val="18"/>
                <w:szCs w:val="18"/>
                <w:b w:val="1"/>
                <w:bCs w:val="1"/>
                <w:color w:val="006098"/>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747,831</w:t>
            </w:r>
          </w:p>
        </w:tc>
        <w:tc>
          <w:tcPr>
            <w:tcW w:w="100" w:type="dxa"/>
            <w:vAlign w:val="bottom"/>
            <w:shd w:val="clear" w:color="auto" w:fill="D2DCE5"/>
          </w:tcPr>
          <w:p>
            <w:pPr>
              <w:spacing w:after="0"/>
              <w:rPr>
                <w:sz w:val="24"/>
                <w:szCs w:val="24"/>
                <w:color w:val="auto"/>
              </w:rPr>
            </w:pPr>
          </w:p>
        </w:tc>
        <w:tc>
          <w:tcPr>
            <w:tcW w:w="560" w:type="dxa"/>
            <w:vAlign w:val="bottom"/>
            <w:shd w:val="clear" w:color="auto" w:fill="D2DCE5"/>
          </w:tcPr>
          <w:p>
            <w:pPr>
              <w:jc w:val="right"/>
              <w:ind w:right="370"/>
              <w:spacing w:after="0"/>
              <w:rPr>
                <w:sz w:val="20"/>
                <w:szCs w:val="20"/>
                <w:color w:val="auto"/>
              </w:rPr>
            </w:pPr>
            <w:r>
              <w:rPr>
                <w:rFonts w:ascii="Arial" w:cs="Arial" w:eastAsia="Arial" w:hAnsi="Arial"/>
                <w:sz w:val="18"/>
                <w:szCs w:val="18"/>
                <w:b w:val="1"/>
                <w:bCs w:val="1"/>
                <w:color w:val="131E29"/>
                <w:w w:val="79"/>
              </w:rPr>
              <w:t>$</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683,971</w:t>
            </w:r>
          </w:p>
        </w:tc>
      </w:tr>
      <w:tr>
        <w:trPr>
          <w:trHeight w:val="20"/>
        </w:trPr>
        <w:tc>
          <w:tcPr>
            <w:tcW w:w="59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D2DCE5"/>
            </w:tcBorders>
          </w:tcPr>
          <w:p>
            <w:pPr>
              <w:spacing w:after="0" w:line="20" w:lineRule="exact"/>
              <w:rPr>
                <w:sz w:val="1"/>
                <w:szCs w:val="1"/>
                <w:color w:val="auto"/>
              </w:rPr>
            </w:pPr>
          </w:p>
        </w:tc>
        <w:tc>
          <w:tcPr>
            <w:tcW w:w="52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7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131E29"/>
        </w:rPr>
      </w:pPr>
      <w:r>
        <w:rPr>
          <w:rFonts w:ascii="Arial" w:cs="Arial" w:eastAsia="Arial" w:hAnsi="Arial"/>
          <w:sz w:val="14"/>
          <w:szCs w:val="14"/>
          <w:color w:val="131E29"/>
        </w:rPr>
        <w:t>Construction-in-progress primarily consists of construction and equipment costs for new and existing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Depreciation expense included in our condensed consolidated statements of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gridSpan w:val="6"/>
          </w:tcPr>
          <w:p>
            <w:pPr>
              <w:ind w:left="80"/>
              <w:spacing w:after="0"/>
              <w:rPr>
                <w:sz w:val="20"/>
                <w:szCs w:val="20"/>
                <w:color w:val="auto"/>
              </w:rPr>
            </w:pPr>
            <w:r>
              <w:rPr>
                <w:rFonts w:ascii="Arial" w:cs="Arial" w:eastAsia="Arial" w:hAnsi="Arial"/>
                <w:sz w:val="18"/>
                <w:szCs w:val="18"/>
                <w:b w:val="1"/>
                <w:bCs w:val="1"/>
                <w:color w:val="131E29"/>
              </w:rPr>
              <w:t>Three Months Ended June 30,</w:t>
            </w:r>
          </w:p>
        </w:tc>
        <w:tc>
          <w:tcPr>
            <w:tcW w:w="180" w:type="dxa"/>
            <w:vAlign w:val="bottom"/>
          </w:tcPr>
          <w:p>
            <w:pPr>
              <w:spacing w:after="0"/>
              <w:rPr>
                <w:sz w:val="22"/>
                <w:szCs w:val="22"/>
                <w:color w:val="auto"/>
              </w:rPr>
            </w:pPr>
          </w:p>
        </w:tc>
        <w:tc>
          <w:tcPr>
            <w:tcW w:w="26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2024</w:t>
            </w:r>
          </w:p>
        </w:tc>
        <w:tc>
          <w:tcPr>
            <w:tcW w:w="80" w:type="dxa"/>
            <w:vAlign w:val="bottom"/>
            <w:tcBorders>
              <w:bottom w:val="single" w:sz="8" w:color="D2DCE5"/>
            </w:tcBorders>
          </w:tcPr>
          <w:p>
            <w:pPr>
              <w:spacing w:after="0"/>
              <w:rPr>
                <w:sz w:val="22"/>
                <w:szCs w:val="22"/>
                <w:color w:val="auto"/>
              </w:rPr>
            </w:pPr>
          </w:p>
        </w:tc>
        <w:tc>
          <w:tcPr>
            <w:tcW w:w="180" w:type="dxa"/>
            <w:vAlign w:val="bottom"/>
            <w:tcBorders>
              <w:top w:val="single" w:sz="8" w:color="D7282F"/>
              <w:bottom w:val="single" w:sz="8" w:color="D7282F"/>
            </w:tcBorders>
          </w:tcPr>
          <w:p>
            <w:pPr>
              <w:spacing w:after="0"/>
              <w:rPr>
                <w:sz w:val="22"/>
                <w:szCs w:val="22"/>
                <w:color w:val="auto"/>
              </w:rPr>
            </w:pPr>
          </w:p>
        </w:tc>
        <w:tc>
          <w:tcPr>
            <w:tcW w:w="1180" w:type="dxa"/>
            <w:vAlign w:val="bottom"/>
            <w:tcBorders>
              <w:top w:val="single" w:sz="8" w:color="D7282F"/>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60" w:type="dxa"/>
            <w:vAlign w:val="bottom"/>
            <w:tcBorders>
              <w:top w:val="single" w:sz="8" w:color="D7282F"/>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006098"/>
                <w:w w:val="7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19,942</w:t>
            </w:r>
          </w:p>
        </w:tc>
        <w:tc>
          <w:tcPr>
            <w:tcW w:w="8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15,105</w:t>
            </w:r>
          </w:p>
        </w:tc>
        <w:tc>
          <w:tcPr>
            <w:tcW w:w="80" w:type="dxa"/>
            <w:vAlign w:val="bottom"/>
            <w:shd w:val="clear" w:color="auto" w:fill="D2DCE5"/>
          </w:tcPr>
          <w:p>
            <w:pPr>
              <w:spacing w:after="0"/>
              <w:rPr>
                <w:sz w:val="23"/>
                <w:szCs w:val="23"/>
                <w:color w:val="auto"/>
              </w:rPr>
            </w:pPr>
          </w:p>
        </w:tc>
        <w:tc>
          <w:tcPr>
            <w:tcW w:w="18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38,907</w:t>
            </w:r>
          </w:p>
        </w:tc>
        <w:tc>
          <w:tcPr>
            <w:tcW w:w="8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29,023</w:t>
            </w:r>
          </w:p>
        </w:tc>
      </w:tr>
      <w:tr>
        <w:trPr>
          <w:trHeight w:val="270"/>
        </w:trPr>
        <w:tc>
          <w:tcPr>
            <w:tcW w:w="562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801</w:t>
            </w:r>
          </w:p>
        </w:tc>
        <w:tc>
          <w:tcPr>
            <w:tcW w:w="80" w:type="dxa"/>
            <w:vAlign w:val="bottom"/>
            <w:tcBorders>
              <w:bottom w:val="single" w:sz="8" w:color="D2DCE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220</w:t>
            </w:r>
          </w:p>
        </w:tc>
        <w:tc>
          <w:tcPr>
            <w:tcW w:w="80" w:type="dxa"/>
            <w:vAlign w:val="bottom"/>
            <w:tcBorders>
              <w:bottom w:val="single" w:sz="8" w:color="D2DCE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1,188</w:t>
            </w:r>
          </w:p>
        </w:tc>
        <w:tc>
          <w:tcPr>
            <w:tcW w:w="80" w:type="dxa"/>
            <w:vAlign w:val="bottom"/>
            <w:tcBorders>
              <w:bottom w:val="single" w:sz="8" w:color="D2DCE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468</w:t>
            </w:r>
          </w:p>
        </w:tc>
      </w:tr>
      <w:tr>
        <w:trPr>
          <w:trHeight w:val="288"/>
        </w:trPr>
        <w:tc>
          <w:tcPr>
            <w:tcW w:w="56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depreciation expense</w:t>
            </w:r>
          </w:p>
        </w:tc>
        <w:tc>
          <w:tcPr>
            <w:tcW w:w="28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006098"/>
                <w:w w:val="7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20,743</w:t>
            </w:r>
          </w:p>
        </w:tc>
        <w:tc>
          <w:tcPr>
            <w:tcW w:w="8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15,325</w:t>
            </w:r>
          </w:p>
        </w:tc>
        <w:tc>
          <w:tcPr>
            <w:tcW w:w="80" w:type="dxa"/>
            <w:vAlign w:val="bottom"/>
            <w:tcBorders>
              <w:bottom w:val="single" w:sz="8" w:color="D2DCE5"/>
            </w:tcBorders>
            <w:shd w:val="clear" w:color="auto" w:fill="D2DCE5"/>
          </w:tcPr>
          <w:p>
            <w:pPr>
              <w:spacing w:after="0"/>
              <w:rPr>
                <w:sz w:val="24"/>
                <w:szCs w:val="24"/>
                <w:color w:val="auto"/>
              </w:rPr>
            </w:pPr>
          </w:p>
        </w:tc>
        <w:tc>
          <w:tcPr>
            <w:tcW w:w="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40,095</w:t>
            </w:r>
          </w:p>
        </w:tc>
        <w:tc>
          <w:tcPr>
            <w:tcW w:w="8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29,491</w:t>
            </w:r>
          </w:p>
        </w:tc>
      </w:tr>
      <w:tr>
        <w:trPr>
          <w:trHeight w:val="20"/>
        </w:trPr>
        <w:tc>
          <w:tcPr>
            <w:tcW w:w="55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7 — Intangible Assets</w:t>
      </w:r>
    </w:p>
    <w:p>
      <w:pPr>
        <w:sectPr>
          <w:pgSz w:w="11900" w:h="16838" w:orient="portrait"/>
          <w:cols w:equalWidth="0" w:num="1">
            <w:col w:w="11240"/>
          </w:cols>
          <w:pgMar w:left="320" w:top="130" w:right="3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details of the intangible assets are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(dollars in thousands)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Reacquired franchise rights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accumulated amortization</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31E29"/>
        </w:rPr>
        <w:t>Intangibles,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131E29"/>
                <w:w w:val="99"/>
              </w:rPr>
              <w:t>Weighted-average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rPr>
              <w:t xml:space="preserve">amortization period </w:t>
            </w:r>
            <w:r>
              <w:rPr>
                <w:rFonts w:ascii="Arial" w:cs="Arial" w:eastAsia="Arial" w:hAnsi="Arial"/>
                <w:sz w:val="14"/>
                <w:szCs w:val="14"/>
                <w:color w:val="131E29"/>
              </w:rPr>
              <w:t>(in</w:t>
            </w:r>
          </w:p>
        </w:tc>
        <w:tc>
          <w:tcPr>
            <w:tcW w:w="160" w:type="dxa"/>
            <w:vAlign w:val="bottom"/>
          </w:tcPr>
          <w:p>
            <w:pPr>
              <w:spacing w:after="0"/>
              <w:rPr>
                <w:sz w:val="19"/>
                <w:szCs w:val="19"/>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131E29"/>
              </w:rPr>
              <w:t>June 30, 2025</w:t>
            </w:r>
          </w:p>
        </w:tc>
        <w:tc>
          <w:tcPr>
            <w:tcW w:w="18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131E29"/>
              </w:rPr>
              <w:t>December 31, 2024</w:t>
            </w:r>
          </w:p>
        </w:tc>
        <w:tc>
          <w:tcPr>
            <w:tcW w:w="0" w:type="dxa"/>
            <w:vAlign w:val="bottom"/>
          </w:tcPr>
          <w:p>
            <w:pPr>
              <w:spacing w:after="0"/>
              <w:rPr>
                <w:sz w:val="1"/>
                <w:szCs w:val="1"/>
                <w:color w:val="auto"/>
              </w:rPr>
            </w:pPr>
          </w:p>
        </w:tc>
      </w:tr>
      <w:tr>
        <w:trPr>
          <w:trHeight w:val="205"/>
        </w:trPr>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131E29"/>
              </w:rPr>
              <w:t>years)</w:t>
            </w: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200" w:type="dxa"/>
            <w:vAlign w:val="bottom"/>
            <w:tcBorders>
              <w:top w:val="single" w:sz="8" w:color="D7282F"/>
            </w:tcBorders>
          </w:tcPr>
          <w:p>
            <w:pPr>
              <w:jc w:val="center"/>
              <w:spacing w:after="0"/>
              <w:rPr>
                <w:sz w:val="20"/>
                <w:szCs w:val="20"/>
                <w:color w:val="auto"/>
              </w:rPr>
            </w:pPr>
            <w:r>
              <w:rPr>
                <w:rFonts w:ascii="Arial" w:cs="Arial" w:eastAsia="Arial" w:hAnsi="Arial"/>
                <w:sz w:val="18"/>
                <w:szCs w:val="18"/>
                <w:color w:val="006098"/>
              </w:rPr>
              <w:t>3.1</w:t>
            </w:r>
          </w:p>
        </w:tc>
        <w:tc>
          <w:tcPr>
            <w:tcW w:w="100" w:type="dxa"/>
            <w:vAlign w:val="bottom"/>
          </w:tcPr>
          <w:p>
            <w:pPr>
              <w:spacing w:after="0"/>
              <w:rPr>
                <w:sz w:val="23"/>
                <w:szCs w:val="23"/>
                <w:color w:val="auto"/>
              </w:rPr>
            </w:pPr>
          </w:p>
        </w:tc>
        <w:tc>
          <w:tcPr>
            <w:tcW w:w="16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w w:val="99"/>
              </w:rPr>
              <w:t>$</w:t>
            </w:r>
          </w:p>
        </w:tc>
        <w:tc>
          <w:tcPr>
            <w:tcW w:w="140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rPr>
              <w:t>27,049</w:t>
            </w:r>
          </w:p>
        </w:tc>
        <w:tc>
          <w:tcPr>
            <w:tcW w:w="100" w:type="dxa"/>
            <w:vAlign w:val="bottom"/>
          </w:tcPr>
          <w:p>
            <w:pPr>
              <w:spacing w:after="0"/>
              <w:rPr>
                <w:sz w:val="23"/>
                <w:szCs w:val="23"/>
                <w:color w:val="auto"/>
              </w:rPr>
            </w:pPr>
          </w:p>
        </w:tc>
        <w:tc>
          <w:tcPr>
            <w:tcW w:w="640" w:type="dxa"/>
            <w:vAlign w:val="bottom"/>
            <w:tcBorders>
              <w:top w:val="single" w:sz="8" w:color="D7282F"/>
            </w:tcBorders>
          </w:tcPr>
          <w:p>
            <w:pPr>
              <w:jc w:val="right"/>
              <w:ind w:right="430"/>
              <w:spacing w:after="0"/>
              <w:rPr>
                <w:sz w:val="20"/>
                <w:szCs w:val="20"/>
                <w:color w:val="auto"/>
              </w:rPr>
            </w:pPr>
            <w:r>
              <w:rPr>
                <w:rFonts w:ascii="Arial" w:cs="Arial" w:eastAsia="Arial" w:hAnsi="Arial"/>
                <w:sz w:val="18"/>
                <w:szCs w:val="18"/>
                <w:color w:val="131E29"/>
                <w:w w:val="99"/>
              </w:rPr>
              <w:t>$</w:t>
            </w:r>
          </w:p>
        </w:tc>
        <w:tc>
          <w:tcPr>
            <w:tcW w:w="120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131E29"/>
              </w:rPr>
              <w:t>27,049</w:t>
            </w:r>
          </w:p>
        </w:tc>
        <w:tc>
          <w:tcPr>
            <w:tcW w:w="0" w:type="dxa"/>
            <w:vAlign w:val="bottom"/>
          </w:tcPr>
          <w:p>
            <w:pPr>
              <w:spacing w:after="0"/>
              <w:rPr>
                <w:sz w:val="1"/>
                <w:szCs w:val="1"/>
                <w:color w:val="auto"/>
              </w:rPr>
            </w:pPr>
          </w:p>
        </w:tc>
      </w:tr>
      <w:tr>
        <w:trPr>
          <w:trHeight w:val="266"/>
        </w:trPr>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(25,014)</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(24,102)</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2,035</w:t>
            </w:r>
          </w:p>
        </w:tc>
        <w:tc>
          <w:tcPr>
            <w:tcW w:w="10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2,947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-213995</wp:posOffset>
            </wp:positionV>
            <wp:extent cx="713232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-565150</wp:posOffset>
            </wp:positionV>
            <wp:extent cx="71323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13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131E29"/>
        </w:rPr>
        <w:t>Amortization expense included in our condensed consolidated statements of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9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2025</w:t>
            </w:r>
          </w:p>
        </w:tc>
        <w:tc>
          <w:tcPr>
            <w:tcW w:w="420" w:type="dxa"/>
            <w:vAlign w:val="bottom"/>
            <w:tcBorders>
              <w:top w:val="single" w:sz="8" w:color="D7282F"/>
              <w:bottom w:val="single" w:sz="8" w:color="D7282F"/>
            </w:tcBorders>
          </w:tcPr>
          <w:p>
            <w:pPr>
              <w:spacing w:after="0"/>
              <w:rPr>
                <w:sz w:val="22"/>
                <w:szCs w:val="22"/>
                <w:color w:val="auto"/>
              </w:rPr>
            </w:pPr>
          </w:p>
        </w:tc>
        <w:tc>
          <w:tcPr>
            <w:tcW w:w="10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900" w:type="dxa"/>
            <w:vAlign w:val="bottom"/>
            <w:shd w:val="clear" w:color="auto" w:fill="D2DCE5"/>
          </w:tcPr>
          <w:p>
            <w:pPr>
              <w:jc w:val="right"/>
              <w:ind w:right="690"/>
              <w:spacing w:after="0"/>
              <w:rPr>
                <w:sz w:val="20"/>
                <w:szCs w:val="20"/>
                <w:color w:val="auto"/>
              </w:rPr>
            </w:pPr>
            <w:r>
              <w:rPr>
                <w:rFonts w:ascii="Arial" w:cs="Arial" w:eastAsia="Arial" w:hAnsi="Arial"/>
                <w:sz w:val="18"/>
                <w:szCs w:val="18"/>
                <w:color w:val="006098"/>
                <w:w w:val="99"/>
              </w:rPr>
              <w:t>$</w:t>
            </w:r>
          </w:p>
        </w:tc>
        <w:tc>
          <w:tcPr>
            <w:tcW w:w="4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409</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652</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912</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1,452</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8 — Leases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components of lease costs, excluding short-term lease costs and sublease income (both immaterial for the periods presented),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b w:val="1"/>
                <w:bCs w:val="1"/>
                <w:color w:val="131E29"/>
              </w:rPr>
              <w:t>Statements of Operations</w:t>
            </w: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57"/>
        </w:trPr>
        <w:tc>
          <w:tcPr>
            <w:tcW w:w="312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2440" w:type="dxa"/>
            <w:vAlign w:val="bottom"/>
            <w:gridSpan w:val="2"/>
          </w:tcPr>
          <w:p>
            <w:pPr>
              <w:ind w:left="600"/>
              <w:spacing w:after="0"/>
              <w:rPr>
                <w:sz w:val="20"/>
                <w:szCs w:val="20"/>
                <w:color w:val="auto"/>
              </w:rPr>
            </w:pPr>
            <w:r>
              <w:rPr>
                <w:rFonts w:ascii="Arial" w:cs="Arial" w:eastAsia="Arial" w:hAnsi="Arial"/>
                <w:sz w:val="18"/>
                <w:szCs w:val="18"/>
                <w:b w:val="1"/>
                <w:bCs w:val="1"/>
                <w:color w:val="131E29"/>
              </w:rPr>
              <w:t>Classification</w:t>
            </w:r>
          </w:p>
        </w:tc>
        <w:tc>
          <w:tcPr>
            <w:tcW w:w="300" w:type="dxa"/>
            <w:vAlign w:val="bottom"/>
            <w:tcBorders>
              <w:top w:val="single" w:sz="8" w:color="D7282F"/>
            </w:tcBorders>
          </w:tcPr>
          <w:p>
            <w:pPr>
              <w:spacing w:after="0"/>
              <w:rPr>
                <w:sz w:val="22"/>
                <w:szCs w:val="22"/>
                <w:color w:val="auto"/>
              </w:rPr>
            </w:pPr>
          </w:p>
        </w:tc>
        <w:tc>
          <w:tcPr>
            <w:tcW w:w="1020" w:type="dxa"/>
            <w:vAlign w:val="bottom"/>
            <w:tcBorders>
              <w:top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tcBorders>
          </w:tcPr>
          <w:p>
            <w:pPr>
              <w:spacing w:after="0"/>
              <w:rPr>
                <w:sz w:val="22"/>
                <w:szCs w:val="22"/>
                <w:color w:val="auto"/>
              </w:rPr>
            </w:pPr>
          </w:p>
        </w:tc>
        <w:tc>
          <w:tcPr>
            <w:tcW w:w="300" w:type="dxa"/>
            <w:vAlign w:val="bottom"/>
            <w:tcBorders>
              <w:top w:val="single" w:sz="8" w:color="D7282F"/>
            </w:tcBorders>
          </w:tcPr>
          <w:p>
            <w:pPr>
              <w:spacing w:after="0"/>
              <w:rPr>
                <w:sz w:val="22"/>
                <w:szCs w:val="22"/>
                <w:color w:val="auto"/>
              </w:rPr>
            </w:pPr>
          </w:p>
        </w:tc>
        <w:tc>
          <w:tcPr>
            <w:tcW w:w="1020" w:type="dxa"/>
            <w:vAlign w:val="bottom"/>
            <w:tcBorders>
              <w:top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Pr>
          <w:p>
            <w:pPr>
              <w:spacing w:after="0"/>
              <w:rPr>
                <w:sz w:val="22"/>
                <w:szCs w:val="22"/>
                <w:color w:val="auto"/>
              </w:rPr>
            </w:pPr>
          </w:p>
        </w:tc>
        <w:tc>
          <w:tcPr>
            <w:tcW w:w="160" w:type="dxa"/>
            <w:vAlign w:val="bottom"/>
            <w:tcBorders>
              <w:top w:val="single" w:sz="8" w:color="D7282F"/>
            </w:tcBorders>
          </w:tcPr>
          <w:p>
            <w:pPr>
              <w:spacing w:after="0"/>
              <w:rPr>
                <w:sz w:val="22"/>
                <w:szCs w:val="22"/>
                <w:color w:val="auto"/>
              </w:rPr>
            </w:pPr>
          </w:p>
        </w:tc>
        <w:tc>
          <w:tcPr>
            <w:tcW w:w="1160" w:type="dxa"/>
            <w:vAlign w:val="bottom"/>
            <w:tcBorders>
              <w:top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tcBorders>
          </w:tcPr>
          <w:p>
            <w:pPr>
              <w:spacing w:after="0"/>
              <w:rPr>
                <w:sz w:val="22"/>
                <w:szCs w:val="22"/>
                <w:color w:val="auto"/>
              </w:rPr>
            </w:pPr>
          </w:p>
        </w:tc>
        <w:tc>
          <w:tcPr>
            <w:tcW w:w="280" w:type="dxa"/>
            <w:vAlign w:val="bottom"/>
            <w:tcBorders>
              <w:top w:val="single" w:sz="8" w:color="D7282F"/>
            </w:tcBorders>
          </w:tcPr>
          <w:p>
            <w:pPr>
              <w:spacing w:after="0"/>
              <w:rPr>
                <w:sz w:val="22"/>
                <w:szCs w:val="22"/>
                <w:color w:val="auto"/>
              </w:rPr>
            </w:pPr>
          </w:p>
        </w:tc>
        <w:tc>
          <w:tcPr>
            <w:tcW w:w="1040" w:type="dxa"/>
            <w:vAlign w:val="bottom"/>
            <w:tcBorders>
              <w:top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3120" w:type="dxa"/>
            <w:vAlign w:val="bottom"/>
            <w:tcBorders>
              <w:top w:val="single" w:sz="8" w:color="D7282F"/>
            </w:tcBorders>
            <w:shd w:val="clear" w:color="auto" w:fill="D2DCE5"/>
          </w:tcPr>
          <w:p>
            <w:pPr>
              <w:ind w:left="20"/>
              <w:spacing w:after="0"/>
              <w:rPr>
                <w:sz w:val="20"/>
                <w:szCs w:val="20"/>
                <w:color w:val="auto"/>
              </w:rPr>
            </w:pPr>
            <w:r>
              <w:rPr>
                <w:rFonts w:ascii="Arial" w:cs="Arial" w:eastAsia="Arial" w:hAnsi="Arial"/>
                <w:sz w:val="18"/>
                <w:szCs w:val="18"/>
                <w:b w:val="1"/>
                <w:bCs w:val="1"/>
                <w:color w:val="131E29"/>
              </w:rPr>
              <w:t>Finance lease costs</w:t>
            </w:r>
          </w:p>
        </w:tc>
        <w:tc>
          <w:tcPr>
            <w:tcW w:w="100" w:type="dxa"/>
            <w:vAlign w:val="bottom"/>
            <w:tcBorders>
              <w:top w:val="single" w:sz="8" w:color="D2DCE5"/>
            </w:tcBorders>
            <w:shd w:val="clear" w:color="auto" w:fill="D2DCE5"/>
          </w:tcPr>
          <w:p>
            <w:pPr>
              <w:spacing w:after="0"/>
              <w:rPr>
                <w:sz w:val="23"/>
                <w:szCs w:val="23"/>
                <w:color w:val="auto"/>
              </w:rPr>
            </w:pPr>
          </w:p>
        </w:tc>
        <w:tc>
          <w:tcPr>
            <w:tcW w:w="2340" w:type="dxa"/>
            <w:vAlign w:val="bottom"/>
            <w:tcBorders>
              <w:top w:val="single" w:sz="8" w:color="D7282F"/>
            </w:tcBorders>
            <w:shd w:val="clear" w:color="auto" w:fill="D2DCE5"/>
          </w:tcPr>
          <w:p>
            <w:pPr>
              <w:spacing w:after="0"/>
              <w:rPr>
                <w:sz w:val="23"/>
                <w:szCs w:val="23"/>
                <w:color w:val="auto"/>
              </w:rPr>
            </w:pPr>
          </w:p>
        </w:tc>
        <w:tc>
          <w:tcPr>
            <w:tcW w:w="100" w:type="dxa"/>
            <w:vAlign w:val="bottom"/>
            <w:tcBorders>
              <w:top w:val="single" w:sz="8" w:color="D2DCE5"/>
            </w:tcBorders>
            <w:shd w:val="clear" w:color="auto" w:fill="D2DCE5"/>
          </w:tcPr>
          <w:p>
            <w:pPr>
              <w:spacing w:after="0"/>
              <w:rPr>
                <w:sz w:val="23"/>
                <w:szCs w:val="23"/>
                <w:color w:val="auto"/>
              </w:rPr>
            </w:pPr>
          </w:p>
        </w:tc>
        <w:tc>
          <w:tcPr>
            <w:tcW w:w="300" w:type="dxa"/>
            <w:vAlign w:val="bottom"/>
            <w:tcBorders>
              <w:top w:val="single" w:sz="8" w:color="D7282F"/>
            </w:tcBorders>
            <w:shd w:val="clear" w:color="auto" w:fill="D2DCE5"/>
          </w:tcPr>
          <w:p>
            <w:pPr>
              <w:spacing w:after="0"/>
              <w:rPr>
                <w:sz w:val="23"/>
                <w:szCs w:val="23"/>
                <w:color w:val="auto"/>
              </w:rPr>
            </w:pPr>
          </w:p>
        </w:tc>
        <w:tc>
          <w:tcPr>
            <w:tcW w:w="1020" w:type="dxa"/>
            <w:vAlign w:val="bottom"/>
            <w:tcBorders>
              <w:top w:val="single" w:sz="8" w:color="D7282F"/>
            </w:tcBorders>
            <w:shd w:val="clear" w:color="auto" w:fill="D2DCE5"/>
          </w:tcPr>
          <w:p>
            <w:pPr>
              <w:spacing w:after="0"/>
              <w:rPr>
                <w:sz w:val="23"/>
                <w:szCs w:val="23"/>
                <w:color w:val="auto"/>
              </w:rPr>
            </w:pPr>
          </w:p>
        </w:tc>
        <w:tc>
          <w:tcPr>
            <w:tcW w:w="100" w:type="dxa"/>
            <w:vAlign w:val="bottom"/>
            <w:tcBorders>
              <w:top w:val="single" w:sz="8" w:color="D2DCE5"/>
            </w:tcBorders>
            <w:shd w:val="clear" w:color="auto" w:fill="D2DCE5"/>
          </w:tcPr>
          <w:p>
            <w:pPr>
              <w:spacing w:after="0"/>
              <w:rPr>
                <w:sz w:val="23"/>
                <w:szCs w:val="23"/>
                <w:color w:val="auto"/>
              </w:rPr>
            </w:pPr>
          </w:p>
        </w:tc>
        <w:tc>
          <w:tcPr>
            <w:tcW w:w="300" w:type="dxa"/>
            <w:vAlign w:val="bottom"/>
            <w:tcBorders>
              <w:top w:val="single" w:sz="8" w:color="D7282F"/>
            </w:tcBorders>
            <w:shd w:val="clear" w:color="auto" w:fill="D2DCE5"/>
          </w:tcPr>
          <w:p>
            <w:pPr>
              <w:spacing w:after="0"/>
              <w:rPr>
                <w:sz w:val="23"/>
                <w:szCs w:val="23"/>
                <w:color w:val="auto"/>
              </w:rPr>
            </w:pPr>
          </w:p>
        </w:tc>
        <w:tc>
          <w:tcPr>
            <w:tcW w:w="1020" w:type="dxa"/>
            <w:vAlign w:val="bottom"/>
            <w:tcBorders>
              <w:top w:val="single" w:sz="8" w:color="D7282F"/>
            </w:tcBorders>
            <w:shd w:val="clear" w:color="auto" w:fill="D2DCE5"/>
          </w:tcPr>
          <w:p>
            <w:pPr>
              <w:spacing w:after="0"/>
              <w:rPr>
                <w:sz w:val="23"/>
                <w:szCs w:val="23"/>
                <w:color w:val="auto"/>
              </w:rPr>
            </w:pPr>
          </w:p>
        </w:tc>
        <w:tc>
          <w:tcPr>
            <w:tcW w:w="100" w:type="dxa"/>
            <w:vAlign w:val="bottom"/>
            <w:tcBorders>
              <w:top w:val="single" w:sz="8" w:color="D2DCE5"/>
            </w:tcBorders>
            <w:shd w:val="clear" w:color="auto" w:fill="D2DCE5"/>
          </w:tcPr>
          <w:p>
            <w:pPr>
              <w:spacing w:after="0"/>
              <w:rPr>
                <w:sz w:val="23"/>
                <w:szCs w:val="23"/>
                <w:color w:val="auto"/>
              </w:rPr>
            </w:pPr>
          </w:p>
        </w:tc>
        <w:tc>
          <w:tcPr>
            <w:tcW w:w="160" w:type="dxa"/>
            <w:vAlign w:val="bottom"/>
            <w:tcBorders>
              <w:top w:val="single" w:sz="8" w:color="D7282F"/>
            </w:tcBorders>
            <w:shd w:val="clear" w:color="auto" w:fill="D2DCE5"/>
          </w:tcPr>
          <w:p>
            <w:pPr>
              <w:spacing w:after="0"/>
              <w:rPr>
                <w:sz w:val="23"/>
                <w:szCs w:val="23"/>
                <w:color w:val="auto"/>
              </w:rPr>
            </w:pPr>
          </w:p>
        </w:tc>
        <w:tc>
          <w:tcPr>
            <w:tcW w:w="1160" w:type="dxa"/>
            <w:vAlign w:val="bottom"/>
            <w:tcBorders>
              <w:top w:val="single" w:sz="8" w:color="D7282F"/>
            </w:tcBorders>
            <w:shd w:val="clear" w:color="auto" w:fill="D2DCE5"/>
          </w:tcPr>
          <w:p>
            <w:pPr>
              <w:spacing w:after="0"/>
              <w:rPr>
                <w:sz w:val="23"/>
                <w:szCs w:val="23"/>
                <w:color w:val="auto"/>
              </w:rPr>
            </w:pPr>
          </w:p>
        </w:tc>
        <w:tc>
          <w:tcPr>
            <w:tcW w:w="100" w:type="dxa"/>
            <w:vAlign w:val="bottom"/>
            <w:tcBorders>
              <w:top w:val="single" w:sz="8" w:color="D2DCE5"/>
            </w:tcBorders>
            <w:shd w:val="clear" w:color="auto" w:fill="D2DCE5"/>
          </w:tcPr>
          <w:p>
            <w:pPr>
              <w:spacing w:after="0"/>
              <w:rPr>
                <w:sz w:val="23"/>
                <w:szCs w:val="23"/>
                <w:color w:val="auto"/>
              </w:rPr>
            </w:pPr>
          </w:p>
        </w:tc>
        <w:tc>
          <w:tcPr>
            <w:tcW w:w="280" w:type="dxa"/>
            <w:vAlign w:val="bottom"/>
            <w:tcBorders>
              <w:top w:val="single" w:sz="8" w:color="D7282F"/>
            </w:tcBorders>
            <w:shd w:val="clear" w:color="auto" w:fill="D2DCE5"/>
          </w:tcPr>
          <w:p>
            <w:pPr>
              <w:spacing w:after="0"/>
              <w:rPr>
                <w:sz w:val="23"/>
                <w:szCs w:val="23"/>
                <w:color w:val="auto"/>
              </w:rPr>
            </w:pPr>
          </w:p>
        </w:tc>
        <w:tc>
          <w:tcPr>
            <w:tcW w:w="1040" w:type="dxa"/>
            <w:vAlign w:val="bottom"/>
            <w:tcBorders>
              <w:top w:val="single" w:sz="8" w:color="D7282F"/>
            </w:tcBorders>
            <w:shd w:val="clear" w:color="auto" w:fill="D2DCE5"/>
          </w:tcPr>
          <w:p>
            <w:pPr>
              <w:spacing w:after="0"/>
              <w:rPr>
                <w:sz w:val="23"/>
                <w:szCs w:val="23"/>
                <w:color w:val="auto"/>
              </w:rPr>
            </w:pPr>
          </w:p>
        </w:tc>
      </w:tr>
      <w:tr>
        <w:trPr>
          <w:trHeight w:val="270"/>
        </w:trPr>
        <w:tc>
          <w:tcPr>
            <w:tcW w:w="3120" w:type="dxa"/>
            <w:vAlign w:val="bottom"/>
          </w:tcPr>
          <w:p>
            <w:pPr>
              <w:ind w:left="180"/>
              <w:spacing w:after="0"/>
              <w:rPr>
                <w:sz w:val="20"/>
                <w:szCs w:val="20"/>
                <w:color w:val="auto"/>
              </w:rPr>
            </w:pPr>
            <w:r>
              <w:rPr>
                <w:rFonts w:ascii="Arial" w:cs="Arial" w:eastAsia="Arial" w:hAnsi="Arial"/>
                <w:sz w:val="18"/>
                <w:szCs w:val="18"/>
                <w:color w:val="131E29"/>
              </w:rPr>
              <w:t>Amortization of right-of-use assets</w:t>
            </w:r>
          </w:p>
        </w:tc>
        <w:tc>
          <w:tcPr>
            <w:tcW w:w="10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006098"/>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006098"/>
              </w:rPr>
              <w:t>6,725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6,358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6098"/>
              </w:rPr>
              <w:t>13,285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12,630</w:t>
            </w:r>
          </w:p>
        </w:tc>
      </w:tr>
      <w:tr>
        <w:trPr>
          <w:trHeight w:val="224"/>
        </w:trPr>
        <w:tc>
          <w:tcPr>
            <w:tcW w:w="31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r>
      <w:tr>
        <w:trPr>
          <w:trHeight w:val="262"/>
        </w:trPr>
        <w:tc>
          <w:tcPr>
            <w:tcW w:w="312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Amortization of right-of-use assets</w:t>
            </w:r>
          </w:p>
        </w:tc>
        <w:tc>
          <w:tcPr>
            <w:tcW w:w="100" w:type="dxa"/>
            <w:vAlign w:val="bottom"/>
            <w:shd w:val="clear" w:color="auto" w:fill="D2DCE5"/>
          </w:tcPr>
          <w:p>
            <w:pPr>
              <w:spacing w:after="0"/>
              <w:rPr>
                <w:sz w:val="22"/>
                <w:szCs w:val="22"/>
                <w:color w:val="auto"/>
              </w:rPr>
            </w:pPr>
          </w:p>
        </w:tc>
        <w:tc>
          <w:tcPr>
            <w:tcW w:w="2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administrative</w:t>
            </w:r>
          </w:p>
        </w:tc>
        <w:tc>
          <w:tcPr>
            <w:tcW w:w="300" w:type="dxa"/>
            <w:vAlign w:val="bottom"/>
            <w:shd w:val="clear" w:color="auto" w:fill="D2DCE5"/>
          </w:tcPr>
          <w:p>
            <w:pPr>
              <w:spacing w:after="0"/>
              <w:rPr>
                <w:sz w:val="22"/>
                <w:szCs w:val="22"/>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w:t>
            </w:r>
          </w:p>
        </w:tc>
        <w:tc>
          <w:tcPr>
            <w:tcW w:w="100" w:type="dxa"/>
            <w:vAlign w:val="bottom"/>
            <w:shd w:val="clear" w:color="auto" w:fill="D2DCE5"/>
          </w:tcPr>
          <w:p>
            <w:pPr>
              <w:spacing w:after="0"/>
              <w:rPr>
                <w:sz w:val="22"/>
                <w:szCs w:val="22"/>
                <w:color w:val="auto"/>
              </w:rPr>
            </w:pPr>
          </w:p>
        </w:tc>
        <w:tc>
          <w:tcPr>
            <w:tcW w:w="300" w:type="dxa"/>
            <w:vAlign w:val="bottom"/>
            <w:shd w:val="clear" w:color="auto" w:fill="D2DCE5"/>
          </w:tcPr>
          <w:p>
            <w:pPr>
              <w:spacing w:after="0"/>
              <w:rPr>
                <w:sz w:val="22"/>
                <w:szCs w:val="22"/>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w:t>
            </w: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30</w:t>
            </w: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w:t>
            </w:r>
          </w:p>
        </w:tc>
      </w:tr>
      <w:tr>
        <w:trPr>
          <w:trHeight w:val="270"/>
        </w:trPr>
        <w:tc>
          <w:tcPr>
            <w:tcW w:w="3120" w:type="dxa"/>
            <w:vAlign w:val="bottom"/>
            <w:tcBorders>
              <w:bottom w:val="single" w:sz="8" w:color="D2DCE5"/>
            </w:tcBorders>
          </w:tcPr>
          <w:p>
            <w:pPr>
              <w:ind w:left="180"/>
              <w:spacing w:after="0"/>
              <w:rPr>
                <w:sz w:val="20"/>
                <w:szCs w:val="20"/>
                <w:color w:val="auto"/>
              </w:rPr>
            </w:pPr>
            <w:r>
              <w:rPr>
                <w:rFonts w:ascii="Arial" w:cs="Arial" w:eastAsia="Arial" w:hAnsi="Arial"/>
                <w:sz w:val="18"/>
                <w:szCs w:val="18"/>
                <w:color w:val="131E29"/>
              </w:rPr>
              <w:t>Interest on lease liabilities</w:t>
            </w:r>
          </w:p>
        </w:tc>
        <w:tc>
          <w:tcPr>
            <w:tcW w:w="100" w:type="dxa"/>
            <w:vAlign w:val="bottom"/>
            <w:tcBorders>
              <w:bottom w:val="single" w:sz="8" w:color="D2DCE5"/>
            </w:tcBorders>
          </w:tcPr>
          <w:p>
            <w:pPr>
              <w:spacing w:after="0"/>
              <w:rPr>
                <w:sz w:val="23"/>
                <w:szCs w:val="23"/>
                <w:color w:val="auto"/>
              </w:rPr>
            </w:pPr>
          </w:p>
        </w:tc>
        <w:tc>
          <w:tcPr>
            <w:tcW w:w="24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Interest expense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5,729</w:t>
            </w:r>
          </w:p>
        </w:tc>
        <w:tc>
          <w:tcPr>
            <w:tcW w:w="100" w:type="dxa"/>
            <w:vAlign w:val="bottom"/>
            <w:tcBorders>
              <w:bottom w:val="single" w:sz="8" w:color="D2DCE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5,506</w:t>
            </w:r>
          </w:p>
        </w:tc>
        <w:tc>
          <w:tcPr>
            <w:tcW w:w="100" w:type="dxa"/>
            <w:vAlign w:val="bottom"/>
            <w:tcBorders>
              <w:bottom w:val="single" w:sz="8" w:color="D2DC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11,338</w:t>
            </w:r>
          </w:p>
        </w:tc>
        <w:tc>
          <w:tcPr>
            <w:tcW w:w="100" w:type="dxa"/>
            <w:vAlign w:val="bottom"/>
            <w:tcBorders>
              <w:bottom w:val="single" w:sz="8" w:color="D2DCE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10,958</w:t>
            </w:r>
          </w:p>
        </w:tc>
      </w:tr>
      <w:tr>
        <w:trPr>
          <w:trHeight w:val="263"/>
        </w:trPr>
        <w:tc>
          <w:tcPr>
            <w:tcW w:w="3120" w:type="dxa"/>
            <w:vAlign w:val="bottom"/>
            <w:shd w:val="clear" w:color="auto" w:fill="D2DCE5"/>
          </w:tcPr>
          <w:p>
            <w:pPr>
              <w:ind w:left="360"/>
              <w:spacing w:after="0"/>
              <w:rPr>
                <w:sz w:val="20"/>
                <w:szCs w:val="20"/>
                <w:color w:val="auto"/>
              </w:rPr>
            </w:pPr>
            <w:r>
              <w:rPr>
                <w:rFonts w:ascii="Arial" w:cs="Arial" w:eastAsia="Arial" w:hAnsi="Arial"/>
                <w:sz w:val="18"/>
                <w:szCs w:val="18"/>
                <w:color w:val="131E29"/>
              </w:rPr>
              <w:t>Total finance lease costs</w:t>
            </w:r>
          </w:p>
        </w:tc>
        <w:tc>
          <w:tcPr>
            <w:tcW w:w="100" w:type="dxa"/>
            <w:vAlign w:val="bottom"/>
            <w:shd w:val="clear" w:color="auto" w:fill="D2DCE5"/>
          </w:tcPr>
          <w:p>
            <w:pPr>
              <w:spacing w:after="0"/>
              <w:rPr>
                <w:sz w:val="22"/>
                <w:szCs w:val="22"/>
                <w:color w:val="auto"/>
              </w:rPr>
            </w:pPr>
          </w:p>
        </w:tc>
        <w:tc>
          <w:tcPr>
            <w:tcW w:w="23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00" w:type="dxa"/>
            <w:vAlign w:val="bottom"/>
            <w:shd w:val="clear" w:color="auto" w:fill="D2DCE5"/>
          </w:tcPr>
          <w:p>
            <w:pPr>
              <w:spacing w:after="0"/>
              <w:rPr>
                <w:sz w:val="22"/>
                <w:szCs w:val="22"/>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12,469</w:t>
            </w:r>
          </w:p>
        </w:tc>
        <w:tc>
          <w:tcPr>
            <w:tcW w:w="100" w:type="dxa"/>
            <w:vAlign w:val="bottom"/>
            <w:shd w:val="clear" w:color="auto" w:fill="D2DCE5"/>
          </w:tcPr>
          <w:p>
            <w:pPr>
              <w:spacing w:after="0"/>
              <w:rPr>
                <w:sz w:val="22"/>
                <w:szCs w:val="22"/>
                <w:color w:val="auto"/>
              </w:rPr>
            </w:pPr>
          </w:p>
        </w:tc>
        <w:tc>
          <w:tcPr>
            <w:tcW w:w="300" w:type="dxa"/>
            <w:vAlign w:val="bottom"/>
            <w:shd w:val="clear" w:color="auto" w:fill="D2DCE5"/>
          </w:tcPr>
          <w:p>
            <w:pPr>
              <w:spacing w:after="0"/>
              <w:rPr>
                <w:sz w:val="22"/>
                <w:szCs w:val="22"/>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11,879</w:t>
            </w: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24,653</w:t>
            </w: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23,618</w:t>
            </w:r>
          </w:p>
        </w:tc>
      </w:tr>
      <w:tr>
        <w:trPr>
          <w:trHeight w:val="95"/>
        </w:trPr>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70"/>
        </w:trPr>
        <w:tc>
          <w:tcPr>
            <w:tcW w:w="312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Operating lease costs</w:t>
            </w:r>
          </w:p>
        </w:tc>
        <w:tc>
          <w:tcPr>
            <w:tcW w:w="100" w:type="dxa"/>
            <w:vAlign w:val="bottom"/>
            <w:shd w:val="clear" w:color="auto" w:fill="D2DCE5"/>
          </w:tcPr>
          <w:p>
            <w:pPr>
              <w:spacing w:after="0"/>
              <w:rPr>
                <w:sz w:val="23"/>
                <w:szCs w:val="23"/>
                <w:color w:val="auto"/>
              </w:rPr>
            </w:pPr>
          </w:p>
        </w:tc>
        <w:tc>
          <w:tcPr>
            <w:tcW w:w="23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70"/>
        </w:trPr>
        <w:tc>
          <w:tcPr>
            <w:tcW w:w="3120" w:type="dxa"/>
            <w:vAlign w:val="bottom"/>
          </w:tcPr>
          <w:p>
            <w:pPr>
              <w:ind w:left="180"/>
              <w:spacing w:after="0"/>
              <w:rPr>
                <w:sz w:val="20"/>
                <w:szCs w:val="20"/>
                <w:color w:val="auto"/>
              </w:rPr>
            </w:pPr>
            <w:r>
              <w:rPr>
                <w:rFonts w:ascii="Arial" w:cs="Arial" w:eastAsia="Arial" w:hAnsi="Arial"/>
                <w:sz w:val="18"/>
                <w:szCs w:val="18"/>
                <w:color w:val="131E29"/>
              </w:rPr>
              <w:t>Lease expenses</w:t>
            </w:r>
          </w:p>
        </w:tc>
        <w:tc>
          <w:tcPr>
            <w:tcW w:w="10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9,656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6,968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18,319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12,912</w:t>
            </w:r>
          </w:p>
        </w:tc>
      </w:tr>
      <w:tr>
        <w:trPr>
          <w:trHeight w:val="224"/>
        </w:trPr>
        <w:tc>
          <w:tcPr>
            <w:tcW w:w="31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r>
      <w:tr>
        <w:trPr>
          <w:trHeight w:val="262"/>
        </w:trPr>
        <w:tc>
          <w:tcPr>
            <w:tcW w:w="3120" w:type="dxa"/>
            <w:vAlign w:val="bottom"/>
            <w:shd w:val="clear" w:color="auto" w:fill="D2DCE5"/>
          </w:tcPr>
          <w:p>
            <w:pPr>
              <w:ind w:left="180"/>
              <w:spacing w:after="0"/>
              <w:rPr>
                <w:sz w:val="20"/>
                <w:szCs w:val="20"/>
                <w:color w:val="auto"/>
              </w:rPr>
            </w:pPr>
            <w:r>
              <w:rPr>
                <w:rFonts w:ascii="Arial" w:cs="Arial" w:eastAsia="Arial" w:hAnsi="Arial"/>
                <w:sz w:val="18"/>
                <w:szCs w:val="18"/>
                <w:color w:val="131E29"/>
              </w:rPr>
              <w:t>Lease expenses</w:t>
            </w:r>
          </w:p>
        </w:tc>
        <w:tc>
          <w:tcPr>
            <w:tcW w:w="100" w:type="dxa"/>
            <w:vAlign w:val="bottom"/>
            <w:shd w:val="clear" w:color="auto" w:fill="D2DCE5"/>
          </w:tcPr>
          <w:p>
            <w:pPr>
              <w:spacing w:after="0"/>
              <w:rPr>
                <w:sz w:val="22"/>
                <w:szCs w:val="22"/>
                <w:color w:val="auto"/>
              </w:rPr>
            </w:pPr>
          </w:p>
        </w:tc>
        <w:tc>
          <w:tcPr>
            <w:tcW w:w="2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administrative</w:t>
            </w:r>
          </w:p>
        </w:tc>
        <w:tc>
          <w:tcPr>
            <w:tcW w:w="30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699</w:t>
            </w:r>
          </w:p>
        </w:tc>
        <w:tc>
          <w:tcPr>
            <w:tcW w:w="100" w:type="dxa"/>
            <w:vAlign w:val="bottom"/>
            <w:shd w:val="clear" w:color="auto" w:fill="D2DCE5"/>
          </w:tcPr>
          <w:p>
            <w:pPr>
              <w:spacing w:after="0"/>
              <w:rPr>
                <w:sz w:val="22"/>
                <w:szCs w:val="22"/>
                <w:color w:val="auto"/>
              </w:rPr>
            </w:pPr>
          </w:p>
        </w:tc>
        <w:tc>
          <w:tcPr>
            <w:tcW w:w="30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232</w:t>
            </w:r>
          </w:p>
        </w:tc>
        <w:tc>
          <w:tcPr>
            <w:tcW w:w="100" w:type="dxa"/>
            <w:vAlign w:val="bottom"/>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1,399</w:t>
            </w:r>
          </w:p>
        </w:tc>
        <w:tc>
          <w:tcPr>
            <w:tcW w:w="100" w:type="dxa"/>
            <w:vAlign w:val="bottom"/>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279</w:t>
            </w:r>
          </w:p>
        </w:tc>
      </w:tr>
      <w:tr>
        <w:trPr>
          <w:trHeight w:val="263"/>
        </w:trPr>
        <w:tc>
          <w:tcPr>
            <w:tcW w:w="3120" w:type="dxa"/>
            <w:vAlign w:val="bottom"/>
          </w:tcPr>
          <w:p>
            <w:pPr>
              <w:ind w:left="360"/>
              <w:spacing w:after="0"/>
              <w:rPr>
                <w:sz w:val="20"/>
                <w:szCs w:val="20"/>
                <w:color w:val="auto"/>
              </w:rPr>
            </w:pPr>
            <w:r>
              <w:rPr>
                <w:rFonts w:ascii="Arial" w:cs="Arial" w:eastAsia="Arial" w:hAnsi="Arial"/>
                <w:sz w:val="18"/>
                <w:szCs w:val="18"/>
                <w:color w:val="131E29"/>
              </w:rPr>
              <w:t>Total operating lease costs</w:t>
            </w: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10,355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19,718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13,191</w:t>
            </w:r>
          </w:p>
        </w:tc>
      </w:tr>
      <w:tr>
        <w:trPr>
          <w:trHeight w:val="270"/>
        </w:trPr>
        <w:tc>
          <w:tcPr>
            <w:tcW w:w="31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3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70"/>
        </w:trPr>
        <w:tc>
          <w:tcPr>
            <w:tcW w:w="312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Variable lease costs</w:t>
            </w:r>
          </w:p>
        </w:tc>
        <w:tc>
          <w:tcPr>
            <w:tcW w:w="100" w:type="dxa"/>
            <w:vAlign w:val="bottom"/>
            <w:tcBorders>
              <w:bottom w:val="single" w:sz="8" w:color="D2DCE5"/>
            </w:tcBorders>
          </w:tcPr>
          <w:p>
            <w:pPr>
              <w:spacing w:after="0"/>
              <w:rPr>
                <w:sz w:val="23"/>
                <w:szCs w:val="23"/>
                <w:color w:val="auto"/>
              </w:rPr>
            </w:pPr>
          </w:p>
        </w:tc>
        <w:tc>
          <w:tcPr>
            <w:tcW w:w="24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2,310</w:t>
            </w:r>
          </w:p>
        </w:tc>
        <w:tc>
          <w:tcPr>
            <w:tcW w:w="100" w:type="dxa"/>
            <w:vAlign w:val="bottom"/>
            <w:tcBorders>
              <w:bottom w:val="single" w:sz="8" w:color="D2DCE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1,565</w:t>
            </w:r>
          </w:p>
        </w:tc>
        <w:tc>
          <w:tcPr>
            <w:tcW w:w="100" w:type="dxa"/>
            <w:vAlign w:val="bottom"/>
            <w:tcBorders>
              <w:bottom w:val="single" w:sz="8" w:color="D2DC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4,425</w:t>
            </w:r>
          </w:p>
        </w:tc>
        <w:tc>
          <w:tcPr>
            <w:tcW w:w="100" w:type="dxa"/>
            <w:vAlign w:val="bottom"/>
            <w:tcBorders>
              <w:bottom w:val="single" w:sz="8" w:color="D2DCE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3,124</w:t>
            </w:r>
          </w:p>
        </w:tc>
      </w:tr>
      <w:tr>
        <w:trPr>
          <w:trHeight w:val="289"/>
        </w:trPr>
        <w:tc>
          <w:tcPr>
            <w:tcW w:w="31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b w:val="1"/>
                <w:bCs w:val="1"/>
                <w:color w:val="131E29"/>
              </w:rPr>
              <w:t>Total lease costs</w:t>
            </w:r>
          </w:p>
        </w:tc>
        <w:tc>
          <w:tcPr>
            <w:tcW w:w="100" w:type="dxa"/>
            <w:vAlign w:val="bottom"/>
            <w:tcBorders>
              <w:bottom w:val="single" w:sz="8" w:color="D2DCE5"/>
            </w:tcBorders>
            <w:shd w:val="clear" w:color="auto" w:fill="D2DCE5"/>
          </w:tcPr>
          <w:p>
            <w:pPr>
              <w:spacing w:after="0"/>
              <w:rPr>
                <w:sz w:val="24"/>
                <w:szCs w:val="24"/>
                <w:color w:val="auto"/>
              </w:rPr>
            </w:pPr>
          </w:p>
        </w:tc>
        <w:tc>
          <w:tcPr>
            <w:tcW w:w="2340" w:type="dxa"/>
            <w:vAlign w:val="bottom"/>
            <w:tcBorders>
              <w:bottom w:val="single" w:sz="8" w:color="D2DCE5"/>
            </w:tcBorders>
            <w:shd w:val="clear" w:color="auto" w:fill="D2DCE5"/>
          </w:tcPr>
          <w:p>
            <w:pPr>
              <w:spacing w:after="0"/>
              <w:rPr>
                <w:sz w:val="24"/>
                <w:szCs w:val="24"/>
                <w:color w:val="auto"/>
              </w:rPr>
            </w:pP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25,134</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20,644</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48,796</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39,933</w:t>
            </w:r>
          </w:p>
        </w:tc>
      </w:tr>
      <w:tr>
        <w:trPr>
          <w:trHeight w:val="20"/>
        </w:trPr>
        <w:tc>
          <w:tcPr>
            <w:tcW w:w="31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3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Supplemental cash flow information related to leases is as follows for the periods presented:</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Cash paid for amounts included in the measurement of lease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Operating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Operating cash flows from operating leases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Right-of-use assets obtained in exchange for lease obligations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34925</wp:posOffset>
            </wp:positionV>
            <wp:extent cx="17576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860" w:val="left"/>
        </w:tabs>
        <w:rPr>
          <w:sz w:val="20"/>
          <w:szCs w:val="20"/>
          <w:color w:val="auto"/>
        </w:rPr>
      </w:pPr>
      <w:r>
        <w:rPr>
          <w:rFonts w:ascii="Arial" w:cs="Arial" w:eastAsia="Arial" w:hAnsi="Arial"/>
          <w:sz w:val="18"/>
          <w:szCs w:val="18"/>
          <w:b w:val="1"/>
          <w:bCs w:val="1"/>
          <w:color w:val="131E29"/>
        </w:rPr>
        <w:t>2025</w:t>
      </w:r>
      <w:r>
        <w:rPr>
          <w:sz w:val="20"/>
          <w:szCs w:val="20"/>
          <w:color w:val="auto"/>
        </w:rPr>
        <w:tab/>
      </w:r>
      <w:r>
        <w:rPr>
          <w:rFonts w:ascii="Arial" w:cs="Arial" w:eastAsia="Arial" w:hAnsi="Arial"/>
          <w:sz w:val="18"/>
          <w:szCs w:val="18"/>
          <w:b w:val="1"/>
          <w:bCs w:val="1"/>
          <w:color w:val="131E29"/>
        </w:rPr>
        <w:t>2024</w:t>
      </w:r>
    </w:p>
    <w:p>
      <w:pPr>
        <w:spacing w:after="0" w:line="347" w:lineRule="exact"/>
        <w:rPr>
          <w:sz w:val="20"/>
          <w:szCs w:val="20"/>
          <w:color w:val="auto"/>
        </w:rPr>
      </w:pPr>
    </w:p>
    <w:p>
      <w:pPr>
        <w:spacing w:after="0"/>
        <w:tabs>
          <w:tab w:leader="none" w:pos="680" w:val="left"/>
          <w:tab w:leader="none" w:pos="1400" w:val="left"/>
          <w:tab w:leader="none" w:pos="2100" w:val="left"/>
        </w:tabs>
        <w:rPr>
          <w:sz w:val="20"/>
          <w:szCs w:val="20"/>
          <w:color w:val="auto"/>
        </w:rPr>
      </w:pPr>
      <w:r>
        <w:rPr>
          <w:rFonts w:ascii="Arial" w:cs="Arial" w:eastAsia="Arial" w:hAnsi="Arial"/>
          <w:sz w:val="18"/>
          <w:szCs w:val="18"/>
          <w:color w:val="006098"/>
        </w:rPr>
        <w:t>$</w:t>
      </w:r>
      <w:r>
        <w:rPr>
          <w:sz w:val="20"/>
          <w:szCs w:val="20"/>
          <w:color w:val="auto"/>
        </w:rPr>
        <w:tab/>
      </w:r>
      <w:r>
        <w:rPr>
          <w:rFonts w:ascii="Arial" w:cs="Arial" w:eastAsia="Arial" w:hAnsi="Arial"/>
          <w:sz w:val="18"/>
          <w:szCs w:val="18"/>
          <w:color w:val="006098"/>
        </w:rPr>
        <w:t>11,337</w:t>
      </w:r>
      <w:r>
        <w:rPr>
          <w:rFonts w:ascii="Arial" w:cs="Arial" w:eastAsia="Arial" w:hAnsi="Arial"/>
          <w:sz w:val="18"/>
          <w:szCs w:val="18"/>
          <w:color w:val="131E29"/>
        </w:rPr>
        <w:tab/>
        <w:t>$</w:t>
      </w:r>
      <w:r>
        <w:rPr>
          <w:sz w:val="20"/>
          <w:szCs w:val="20"/>
          <w:color w:val="auto"/>
        </w:rPr>
        <w:tab/>
      </w:r>
      <w:r>
        <w:rPr>
          <w:rFonts w:ascii="Arial" w:cs="Arial" w:eastAsia="Arial" w:hAnsi="Arial"/>
          <w:sz w:val="17"/>
          <w:szCs w:val="17"/>
          <w:color w:val="131E29"/>
        </w:rPr>
        <w:t>10,958</w:t>
      </w:r>
    </w:p>
    <w:p>
      <w:pPr>
        <w:spacing w:after="0" w:line="63" w:lineRule="exact"/>
        <w:rPr>
          <w:sz w:val="20"/>
          <w:szCs w:val="20"/>
          <w:color w:val="auto"/>
        </w:rPr>
      </w:pPr>
    </w:p>
    <w:p>
      <w:pPr>
        <w:jc w:val="both"/>
        <w:ind w:left="680"/>
        <w:spacing w:after="0"/>
        <w:tabs>
          <w:tab w:leader="none" w:pos="2100" w:val="left"/>
        </w:tabs>
        <w:rPr>
          <w:sz w:val="20"/>
          <w:szCs w:val="20"/>
          <w:color w:val="auto"/>
        </w:rPr>
      </w:pPr>
      <w:r>
        <w:rPr>
          <w:rFonts w:ascii="Arial" w:cs="Arial" w:eastAsia="Arial" w:hAnsi="Arial"/>
          <w:sz w:val="18"/>
          <w:szCs w:val="18"/>
          <w:color w:val="006098"/>
        </w:rPr>
        <w:t>14,872</w:t>
      </w:r>
      <w:r>
        <w:rPr>
          <w:sz w:val="20"/>
          <w:szCs w:val="20"/>
          <w:color w:val="auto"/>
        </w:rPr>
        <w:tab/>
      </w:r>
      <w:r>
        <w:rPr>
          <w:rFonts w:ascii="Arial" w:cs="Arial" w:eastAsia="Arial" w:hAnsi="Arial"/>
          <w:sz w:val="18"/>
          <w:szCs w:val="18"/>
          <w:color w:val="131E29"/>
        </w:rPr>
        <w:t>11,012</w:t>
      </w:r>
    </w:p>
    <w:p>
      <w:pPr>
        <w:spacing w:after="0" w:line="63" w:lineRule="exact"/>
        <w:rPr>
          <w:sz w:val="20"/>
          <w:szCs w:val="20"/>
          <w:color w:val="auto"/>
        </w:rPr>
      </w:pPr>
    </w:p>
    <w:p>
      <w:pPr>
        <w:jc w:val="both"/>
        <w:ind w:left="800"/>
        <w:spacing w:after="0"/>
        <w:tabs>
          <w:tab w:leader="none" w:pos="2200" w:val="left"/>
        </w:tabs>
        <w:rPr>
          <w:sz w:val="20"/>
          <w:szCs w:val="20"/>
          <w:color w:val="auto"/>
        </w:rPr>
      </w:pPr>
      <w:r>
        <w:rPr>
          <w:rFonts w:ascii="Arial" w:cs="Arial" w:eastAsia="Arial" w:hAnsi="Arial"/>
          <w:sz w:val="18"/>
          <w:szCs w:val="18"/>
          <w:color w:val="006098"/>
        </w:rPr>
        <w:t>7,111</w:t>
      </w:r>
      <w:r>
        <w:rPr>
          <w:sz w:val="20"/>
          <w:szCs w:val="20"/>
          <w:color w:val="auto"/>
        </w:rPr>
        <w:tab/>
      </w:r>
      <w:r>
        <w:rPr>
          <w:rFonts w:ascii="Arial" w:cs="Arial" w:eastAsia="Arial" w:hAnsi="Arial"/>
          <w:sz w:val="18"/>
          <w:szCs w:val="18"/>
          <w:color w:val="131E29"/>
        </w:rPr>
        <w:t>4,493</w:t>
      </w:r>
    </w:p>
    <w:p>
      <w:pPr>
        <w:spacing w:after="0" w:line="333" w:lineRule="exact"/>
        <w:rPr>
          <w:sz w:val="20"/>
          <w:szCs w:val="20"/>
          <w:color w:val="auto"/>
        </w:rPr>
      </w:pPr>
    </w:p>
    <w:p>
      <w:pPr>
        <w:jc w:val="both"/>
        <w:ind w:left="680"/>
        <w:spacing w:after="0"/>
        <w:tabs>
          <w:tab w:leader="none" w:pos="2200" w:val="left"/>
        </w:tabs>
        <w:rPr>
          <w:sz w:val="20"/>
          <w:szCs w:val="20"/>
          <w:color w:val="auto"/>
        </w:rPr>
      </w:pPr>
      <w:r>
        <w:rPr>
          <w:rFonts w:ascii="Arial" w:cs="Arial" w:eastAsia="Arial" w:hAnsi="Arial"/>
          <w:sz w:val="18"/>
          <w:szCs w:val="18"/>
          <w:color w:val="006098"/>
        </w:rPr>
        <w:t>18,982</w:t>
      </w:r>
      <w:r>
        <w:rPr>
          <w:sz w:val="20"/>
          <w:szCs w:val="20"/>
          <w:color w:val="auto"/>
        </w:rPr>
        <w:tab/>
      </w:r>
      <w:r>
        <w:rPr>
          <w:rFonts w:ascii="Arial" w:cs="Arial" w:eastAsia="Arial" w:hAnsi="Arial"/>
          <w:sz w:val="18"/>
          <w:szCs w:val="18"/>
          <w:color w:val="131E29"/>
        </w:rPr>
        <w:t>9,575</w:t>
      </w:r>
    </w:p>
    <w:p>
      <w:pPr>
        <w:spacing w:after="0" w:line="63" w:lineRule="exact"/>
        <w:rPr>
          <w:sz w:val="20"/>
          <w:szCs w:val="20"/>
          <w:color w:val="auto"/>
        </w:rPr>
      </w:pPr>
    </w:p>
    <w:p>
      <w:pPr>
        <w:jc w:val="both"/>
        <w:ind w:left="680"/>
        <w:spacing w:after="0"/>
        <w:tabs>
          <w:tab w:leader="none" w:pos="2100" w:val="left"/>
        </w:tabs>
        <w:rPr>
          <w:sz w:val="20"/>
          <w:szCs w:val="20"/>
          <w:color w:val="auto"/>
        </w:rPr>
      </w:pPr>
      <w:r>
        <w:rPr>
          <w:rFonts w:ascii="Arial" w:cs="Arial" w:eastAsia="Arial" w:hAnsi="Arial"/>
          <w:sz w:val="18"/>
          <w:szCs w:val="18"/>
          <w:color w:val="006098"/>
        </w:rPr>
        <w:t>67,354</w:t>
      </w:r>
      <w:r>
        <w:rPr>
          <w:sz w:val="20"/>
          <w:szCs w:val="20"/>
          <w:color w:val="auto"/>
        </w:rPr>
        <w:tab/>
      </w:r>
      <w:r>
        <w:rPr>
          <w:rFonts w:ascii="Arial" w:cs="Arial" w:eastAsia="Arial" w:hAnsi="Arial"/>
          <w:sz w:val="18"/>
          <w:szCs w:val="18"/>
          <w:color w:val="131E29"/>
        </w:rPr>
        <w:t>89,368</w:t>
      </w:r>
    </w:p>
    <w:p>
      <w:pPr>
        <w:spacing w:after="0" w:line="200" w:lineRule="exact"/>
        <w:rPr>
          <w:sz w:val="20"/>
          <w:szCs w:val="20"/>
          <w:color w:val="auto"/>
        </w:rPr>
      </w:pPr>
    </w:p>
    <w:p>
      <w:pPr>
        <w:sectPr>
          <w:pgSz w:w="11900" w:h="16838" w:orient="portrait"/>
          <w:cols w:equalWidth="0" w:num="2">
            <w:col w:w="7780" w:space="720"/>
            <w:col w:w="2740"/>
          </w:cols>
          <w:pgMar w:left="320" w:top="130" w:right="3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9 —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May 29, 2025 (the Effective Date), we amended and restated our existing $650 million senior secured credit facility, dated February 28, 2022 (as previously amended, the 2022 Credit Facility), with JPMorgan Chase Bank, N.A. as administrative agent (Administrative Agent) and other financial institutions as the lenders party thereto (the 2025 Credit Facility). The 2025 Credit Facility consists of a $ 500 million revolving credit facility and a term loan facility of up to $150 million. The 2025 Credit Facility also includes sublimits for letters of credit and swingline loans of up to $100 million and $20 million, respectively. The 2025 Credit Facility expires on May 29, 2030 (the Maturity Date). It also contains an option allowing the Loan Parties to increase the size of the 2025 Credit Facility by up to an additional (i) $230 million or (ii) 80% of EBITDAR, whichever is greater, with the agreement of the Administrative Agent and the applicable lenders party thereto.</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the Effective Date, we drew the full $150 million in term loan and $ 50 million in revolving loans under the 2025 Credit Facility, and all outstanding debt under the 2022 Credit Facility was repaid. As a result of the amendment and restatement, we recognized a loss on debt extinguishment of approximately $2.0 million, comprised of: (i) approximately $1.2 million of fees to intermediaries and other costs related to the 2025 Credit Facility, and (ii) the write-off of approximately $0.8 million unamortized loan costs related to the 2022 Credit Facility. These expenses were recognized in Other income (expense), net on our condensed consolidated statements of operations. In addition, we capitalized approximately $1.5 million of debt issuance costs related to the 2025 Credit Facility in Long-term debt, net of current portion on our condensed consolidated balance sheets.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Interest on borrowings under the 2025 Credit Facility is based on (i) the Alternate Base Rate plus an applicable margin, or (ii) the Term SOFR Rate plus an applicable margin (each as defined in the 2025 Credit Facility), and is payable in accordance with the selected interest rate period and upon maturity. Principal payments for the term loans are required on a quarterly basis in accordance with an amortization schedule up through and including the Maturity Date.</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are required to pay a commitment fee on a quarterly basis, at a per annum rate of between 0.20% and 0.45%, depending on the Net Lease-Adjusted Total Leverage Ratio (as defined in the 2025 Credit Facility), based on the average daily unused portion of the revolving credit facility. These fees are recorded as interest expense on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2025 Credit Facility contains financial covenants that require us to not exceed a maximum Net Lease-Adjusted Total Leverage Ratio and maintain a minimum Coverage Ratio (as defined in the 2025 Credit Facility). The 2025 Credit Facility also contains certain negative covenants that, among other things, restrict our ability to incur additional debt, grant liens on assets, merge with or acquire other companies, make other investments, dispose of assets, and make restricted payments. Obligations under the 2025 Credit Facility are guaranteed by Dutch Bros OpCo and its subsidiaries, and secured by a first priority perfected security interest in substantially all of the assets of the guarantors.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June 30, 2025, $50.0 million was outstanding on our revolving credit facility, and $439.4 million was available for borrowing, net of $10.6 million in letters of credit, and approximately $150.0 million of principal was outstanding on the term loan facility. The revolving loan and term loan both bear interest at approximately 5.83% as of June 30, 2025, excluding any impacts from our interest rate swap. We were in compliance with our financial covenants as of that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Long-Term Debt</w:t>
      </w:r>
    </w:p>
    <w:p>
      <w:pPr>
        <w:sectPr>
          <w:pgSz w:w="11900" w:h="16838" w:orient="portrait"/>
          <w:cols w:equalWidth="0" w:num="1">
            <w:col w:w="11240"/>
          </w:cols>
          <w:pgMar w:left="320" w:top="130" w:right="3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Our long-term debt consisted of the following for the periods presented:</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Term loan under credit facility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Revolving loan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Finance obligations</w:t>
      </w:r>
      <w:r>
        <w:rPr>
          <w:rFonts w:ascii="Arial" w:cs="Arial" w:eastAsia="Arial" w:hAnsi="Arial"/>
          <w:sz w:val="23"/>
          <w:szCs w:val="23"/>
          <w:color w:val="131E29"/>
          <w:vertAlign w:val="superscript"/>
        </w:rPr>
        <w:t>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Unsecured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Total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loan origination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180"/>
        <w:spacing w:after="0"/>
        <w:tabs>
          <w:tab w:leader="none" w:pos="1740" w:val="left"/>
        </w:tabs>
        <w:rPr>
          <w:sz w:val="20"/>
          <w:szCs w:val="20"/>
          <w:color w:val="auto"/>
        </w:rPr>
      </w:pPr>
      <w:r>
        <w:rPr>
          <w:rFonts w:ascii="Arial" w:cs="Arial" w:eastAsia="Arial" w:hAnsi="Arial"/>
          <w:sz w:val="18"/>
          <w:szCs w:val="18"/>
          <w:b w:val="1"/>
          <w:bCs w:val="1"/>
          <w:color w:val="131E29"/>
        </w:rPr>
        <w:t>June 30, 2025</w:t>
      </w:r>
      <w:r>
        <w:rPr>
          <w:sz w:val="20"/>
          <w:szCs w:val="20"/>
          <w:color w:val="auto"/>
        </w:rPr>
        <w:tab/>
      </w:r>
      <w:r>
        <w:rPr>
          <w:rFonts w:ascii="Arial" w:cs="Arial" w:eastAsia="Arial" w:hAnsi="Arial"/>
          <w:sz w:val="17"/>
          <w:szCs w:val="17"/>
          <w:b w:val="1"/>
          <w:bCs w:val="1"/>
          <w:color w:val="131E29"/>
        </w:rPr>
        <w:t>December 31, 2024</w:t>
      </w:r>
    </w:p>
    <w:p>
      <w:pPr>
        <w:spacing w:after="0" w:line="77" w:lineRule="exact"/>
        <w:rPr>
          <w:sz w:val="20"/>
          <w:szCs w:val="20"/>
          <w:color w:val="auto"/>
        </w:rPr>
      </w:pPr>
    </w:p>
    <w:p>
      <w:pPr>
        <w:spacing w:after="0"/>
        <w:tabs>
          <w:tab w:leader="none" w:pos="820" w:val="left"/>
          <w:tab w:leader="none" w:pos="1660" w:val="left"/>
          <w:tab w:leader="none" w:pos="2740" w:val="left"/>
        </w:tabs>
        <w:rPr>
          <w:sz w:val="20"/>
          <w:szCs w:val="20"/>
          <w:color w:val="auto"/>
        </w:rPr>
      </w:pPr>
      <w:r>
        <w:rPr>
          <w:rFonts w:ascii="Arial" w:cs="Arial" w:eastAsia="Arial" w:hAnsi="Arial"/>
          <w:sz w:val="18"/>
          <w:szCs w:val="18"/>
          <w:color w:val="006098"/>
        </w:rPr>
        <w:t>$</w:t>
      </w:r>
      <w:r>
        <w:rPr>
          <w:sz w:val="20"/>
          <w:szCs w:val="20"/>
          <w:color w:val="auto"/>
        </w:rPr>
        <w:tab/>
      </w:r>
      <w:r>
        <w:rPr>
          <w:rFonts w:ascii="Arial" w:cs="Arial" w:eastAsia="Arial" w:hAnsi="Arial"/>
          <w:sz w:val="18"/>
          <w:szCs w:val="18"/>
          <w:color w:val="006098"/>
        </w:rPr>
        <w:t>150,000</w:t>
      </w:r>
      <w:r>
        <w:rPr>
          <w:rFonts w:ascii="Arial" w:cs="Arial" w:eastAsia="Arial" w:hAnsi="Arial"/>
          <w:sz w:val="18"/>
          <w:szCs w:val="18"/>
          <w:color w:val="131E29"/>
        </w:rPr>
        <w:tab/>
        <w:t>$</w:t>
      </w:r>
      <w:r>
        <w:rPr>
          <w:sz w:val="20"/>
          <w:szCs w:val="20"/>
          <w:color w:val="auto"/>
        </w:rPr>
        <w:tab/>
      </w:r>
      <w:r>
        <w:rPr>
          <w:rFonts w:ascii="Arial" w:cs="Arial" w:eastAsia="Arial" w:hAnsi="Arial"/>
          <w:sz w:val="17"/>
          <w:szCs w:val="17"/>
          <w:color w:val="131E29"/>
        </w:rPr>
        <w:t>234,688</w:t>
      </w:r>
    </w:p>
    <w:p>
      <w:pPr>
        <w:spacing w:after="0" w:line="90" w:lineRule="exact"/>
        <w:rPr>
          <w:sz w:val="20"/>
          <w:szCs w:val="20"/>
          <w:color w:val="auto"/>
        </w:rPr>
      </w:pPr>
    </w:p>
    <w:p>
      <w:pPr>
        <w:ind w:left="940"/>
        <w:spacing w:after="0"/>
        <w:tabs>
          <w:tab w:leader="none" w:pos="3200" w:val="left"/>
        </w:tabs>
        <w:rPr>
          <w:sz w:val="20"/>
          <w:szCs w:val="20"/>
          <w:color w:val="auto"/>
        </w:rPr>
      </w:pPr>
      <w:r>
        <w:rPr>
          <w:rFonts w:ascii="Arial" w:cs="Arial" w:eastAsia="Arial" w:hAnsi="Arial"/>
          <w:sz w:val="18"/>
          <w:szCs w:val="18"/>
          <w:color w:val="006098"/>
        </w:rPr>
        <w:t>50,000</w:t>
      </w:r>
      <w:r>
        <w:rPr>
          <w:sz w:val="20"/>
          <w:szCs w:val="20"/>
          <w:color w:val="auto"/>
        </w:rPr>
        <w:tab/>
      </w:r>
      <w:r>
        <w:rPr>
          <w:rFonts w:ascii="Arial" w:cs="Arial" w:eastAsia="Arial" w:hAnsi="Arial"/>
          <w:sz w:val="18"/>
          <w:szCs w:val="18"/>
          <w:color w:val="006098"/>
        </w:rPr>
        <w:t>—</w:t>
      </w:r>
    </w:p>
    <w:p>
      <w:pPr>
        <w:spacing w:after="0" w:line="36" w:lineRule="exact"/>
        <w:rPr>
          <w:sz w:val="20"/>
          <w:szCs w:val="20"/>
          <w:color w:val="auto"/>
        </w:rPr>
      </w:pPr>
    </w:p>
    <w:p>
      <w:pPr>
        <w:ind w:left="1040"/>
        <w:spacing w:after="0"/>
        <w:tabs>
          <w:tab w:leader="none" w:pos="2940" w:val="left"/>
        </w:tabs>
        <w:rPr>
          <w:sz w:val="20"/>
          <w:szCs w:val="20"/>
          <w:color w:val="auto"/>
        </w:rPr>
      </w:pPr>
      <w:r>
        <w:rPr>
          <w:rFonts w:ascii="Arial" w:cs="Arial" w:eastAsia="Arial" w:hAnsi="Arial"/>
          <w:sz w:val="18"/>
          <w:szCs w:val="18"/>
          <w:color w:val="006098"/>
        </w:rPr>
        <w:t>3,022</w:t>
      </w:r>
      <w:r>
        <w:rPr>
          <w:sz w:val="20"/>
          <w:szCs w:val="20"/>
          <w:color w:val="auto"/>
        </w:rPr>
        <w:tab/>
      </w:r>
      <w:r>
        <w:rPr>
          <w:rFonts w:ascii="Arial" w:cs="Arial" w:eastAsia="Arial" w:hAnsi="Arial"/>
          <w:sz w:val="18"/>
          <w:szCs w:val="18"/>
          <w:color w:val="131E29"/>
        </w:rPr>
        <w:t>3,022</w:t>
      </w:r>
    </w:p>
    <w:p>
      <w:pPr>
        <w:spacing w:after="0" w:line="63" w:lineRule="exact"/>
        <w:rPr>
          <w:sz w:val="20"/>
          <w:szCs w:val="20"/>
          <w:color w:val="auto"/>
        </w:rPr>
      </w:pPr>
    </w:p>
    <w:p>
      <w:pPr>
        <w:ind w:left="3100" w:hanging="1914"/>
        <w:spacing w:after="0"/>
        <w:tabs>
          <w:tab w:leader="none" w:pos="3100" w:val="left"/>
        </w:tabs>
        <w:numPr>
          <w:ilvl w:val="0"/>
          <w:numId w:val="7"/>
        </w:numPr>
        <w:rPr>
          <w:rFonts w:ascii="Arial" w:cs="Arial" w:eastAsia="Arial" w:hAnsi="Arial"/>
          <w:sz w:val="18"/>
          <w:szCs w:val="18"/>
          <w:color w:val="006098"/>
        </w:rPr>
      </w:pPr>
      <w:r>
        <w:rPr>
          <w:rFonts w:ascii="Arial" w:cs="Arial" w:eastAsia="Arial" w:hAnsi="Arial"/>
          <w:sz w:val="18"/>
          <w:szCs w:val="18"/>
          <w:color w:val="131E29"/>
        </w:rPr>
        <w:t>299</w:t>
      </w:r>
    </w:p>
    <w:p>
      <w:pPr>
        <w:spacing w:after="0" w:line="77" w:lineRule="exact"/>
        <w:rPr>
          <w:sz w:val="20"/>
          <w:szCs w:val="20"/>
          <w:color w:val="auto"/>
        </w:rPr>
      </w:pPr>
    </w:p>
    <w:p>
      <w:pPr>
        <w:ind w:left="840"/>
        <w:spacing w:after="0"/>
        <w:tabs>
          <w:tab w:leader="none" w:pos="2740" w:val="left"/>
        </w:tabs>
        <w:rPr>
          <w:sz w:val="20"/>
          <w:szCs w:val="20"/>
          <w:color w:val="auto"/>
        </w:rPr>
      </w:pPr>
      <w:r>
        <w:rPr>
          <w:rFonts w:ascii="Arial" w:cs="Arial" w:eastAsia="Arial" w:hAnsi="Arial"/>
          <w:sz w:val="18"/>
          <w:szCs w:val="18"/>
          <w:color w:val="006098"/>
        </w:rPr>
        <w:t>203,261</w:t>
      </w:r>
      <w:r>
        <w:rPr>
          <w:sz w:val="20"/>
          <w:szCs w:val="20"/>
          <w:color w:val="auto"/>
        </w:rPr>
        <w:tab/>
      </w:r>
      <w:r>
        <w:rPr>
          <w:rFonts w:ascii="Arial" w:cs="Arial" w:eastAsia="Arial" w:hAnsi="Arial"/>
          <w:sz w:val="18"/>
          <w:szCs w:val="18"/>
          <w:color w:val="131E29"/>
        </w:rPr>
        <w:t>238,009</w:t>
      </w:r>
    </w:p>
    <w:p>
      <w:pPr>
        <w:spacing w:after="0" w:line="63" w:lineRule="exact"/>
        <w:rPr>
          <w:sz w:val="20"/>
          <w:szCs w:val="20"/>
          <w:color w:val="auto"/>
        </w:rPr>
      </w:pPr>
    </w:p>
    <w:p>
      <w:pPr>
        <w:ind w:left="960"/>
        <w:spacing w:after="0"/>
        <w:tabs>
          <w:tab w:leader="none" w:pos="3020" w:val="left"/>
        </w:tabs>
        <w:rPr>
          <w:sz w:val="20"/>
          <w:szCs w:val="20"/>
          <w:color w:val="auto"/>
        </w:rPr>
      </w:pPr>
      <w:r>
        <w:rPr>
          <w:rFonts w:ascii="Arial" w:cs="Arial" w:eastAsia="Arial" w:hAnsi="Arial"/>
          <w:sz w:val="17"/>
          <w:szCs w:val="17"/>
          <w:color w:val="006098"/>
        </w:rPr>
        <w:t>(2,546)</w:t>
      </w:r>
      <w:r>
        <w:rPr>
          <w:sz w:val="20"/>
          <w:szCs w:val="20"/>
          <w:color w:val="auto"/>
        </w:rPr>
        <w:tab/>
      </w:r>
      <w:r>
        <w:rPr>
          <w:rFonts w:ascii="Arial" w:cs="Arial" w:eastAsia="Arial" w:hAnsi="Arial"/>
          <w:sz w:val="17"/>
          <w:szCs w:val="17"/>
          <w:color w:val="131E29"/>
        </w:rPr>
        <w:t>(943)</w:t>
      </w:r>
    </w:p>
    <w:p>
      <w:pPr>
        <w:spacing w:after="0" w:line="75" w:lineRule="exact"/>
        <w:rPr>
          <w:sz w:val="20"/>
          <w:szCs w:val="20"/>
          <w:color w:val="auto"/>
        </w:rPr>
      </w:pPr>
    </w:p>
    <w:p>
      <w:pPr>
        <w:jc w:val="both"/>
        <w:ind w:left="960"/>
        <w:spacing w:after="0"/>
        <w:tabs>
          <w:tab w:leader="none" w:pos="2780" w:val="left"/>
        </w:tabs>
        <w:rPr>
          <w:sz w:val="20"/>
          <w:szCs w:val="20"/>
          <w:color w:val="auto"/>
        </w:rPr>
      </w:pPr>
      <w:r>
        <w:rPr>
          <w:rFonts w:ascii="Arial" w:cs="Arial" w:eastAsia="Arial" w:hAnsi="Arial"/>
          <w:sz w:val="18"/>
          <w:szCs w:val="18"/>
          <w:color w:val="006098"/>
        </w:rPr>
        <w:t>(3,877)</w:t>
      </w:r>
      <w:r>
        <w:rPr>
          <w:sz w:val="20"/>
          <w:szCs w:val="20"/>
          <w:color w:val="auto"/>
        </w:rPr>
        <w:tab/>
      </w:r>
      <w:r>
        <w:rPr>
          <w:rFonts w:ascii="Arial" w:cs="Arial" w:eastAsia="Arial" w:hAnsi="Arial"/>
          <w:sz w:val="18"/>
          <w:szCs w:val="18"/>
          <w:color w:val="131E29"/>
        </w:rPr>
        <w:t>(17,311)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2219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7040" w:space="720"/>
            <w:col w:w="34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740" w:type="dxa"/>
            <w:vAlign w:val="bottom"/>
          </w:tcPr>
          <w:p>
            <w:pPr>
              <w:ind w:left="180"/>
              <w:spacing w:after="0"/>
              <w:rPr>
                <w:sz w:val="20"/>
                <w:szCs w:val="20"/>
                <w:color w:val="auto"/>
              </w:rPr>
            </w:pPr>
            <w:r>
              <w:rPr>
                <w:rFonts w:ascii="Arial" w:cs="Arial" w:eastAsia="Arial" w:hAnsi="Arial"/>
                <w:sz w:val="18"/>
                <w:szCs w:val="18"/>
                <w:b w:val="1"/>
                <w:bCs w:val="1"/>
                <w:color w:val="131E29"/>
              </w:rPr>
              <w:t>Total long-term debt, net of current portion</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196,838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w w:val="99"/>
              </w:rPr>
              <w:t>$</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219,755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131E29"/>
              </w:rPr>
              <w:t>_______________</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40" w:type="dxa"/>
            <w:vAlign w:val="bottom"/>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Represents failed sale-leaseback arrangements.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740" w:type="dxa"/>
            <w:vAlign w:val="bottom"/>
          </w:tcPr>
          <w:p>
            <w:pPr>
              <w:spacing w:after="0"/>
              <w:rPr>
                <w:sz w:val="20"/>
                <w:szCs w:val="20"/>
                <w:color w:val="auto"/>
              </w:rPr>
            </w:pPr>
            <w:r>
              <w:rPr>
                <w:rFonts w:ascii="Arial" w:cs="Arial" w:eastAsia="Arial" w:hAnsi="Arial"/>
                <w:sz w:val="18"/>
                <w:szCs w:val="18"/>
                <w:color w:val="131E29"/>
              </w:rPr>
              <w:t>Future annual maturities of long-term debt as of June 30, 2025 are as follows: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74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740" w:type="dxa"/>
            <w:vAlign w:val="bottom"/>
            <w:tcBorders>
              <w:bottom w:val="single" w:sz="8" w:color="D7282F"/>
            </w:tcBorders>
          </w:tcPr>
          <w:p>
            <w:pPr>
              <w:spacing w:after="0" w:line="20" w:lineRule="exact"/>
              <w:rPr>
                <w:sz w:val="1"/>
                <w:szCs w:val="1"/>
                <w:color w:val="auto"/>
              </w:rPr>
            </w:pPr>
          </w:p>
        </w:tc>
        <w:tc>
          <w:tcPr>
            <w:tcW w:w="480" w:type="dxa"/>
            <w:vAlign w:val="bottom"/>
            <w:tcBorders>
              <w:bottom w:val="single" w:sz="8" w:color="D7282F"/>
            </w:tcBorders>
          </w:tcPr>
          <w:p>
            <w:pPr>
              <w:spacing w:after="0" w:line="20" w:lineRule="exact"/>
              <w:rPr>
                <w:sz w:val="1"/>
                <w:szCs w:val="1"/>
                <w:color w:val="auto"/>
              </w:rPr>
            </w:pPr>
          </w:p>
        </w:tc>
        <w:tc>
          <w:tcPr>
            <w:tcW w:w="110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14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80" w:type="dxa"/>
            <w:vAlign w:val="bottom"/>
            <w:tcBorders>
              <w:bottom w:val="single" w:sz="8" w:color="D7282F"/>
            </w:tcBorders>
          </w:tcPr>
          <w:p>
            <w:pPr>
              <w:spacing w:after="0" w:line="20" w:lineRule="exact"/>
              <w:rPr>
                <w:sz w:val="1"/>
                <w:szCs w:val="1"/>
                <w:color w:val="auto"/>
              </w:rPr>
            </w:pPr>
          </w:p>
        </w:tc>
        <w:tc>
          <w:tcPr>
            <w:tcW w:w="110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7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Remainder of 2025</w:t>
            </w:r>
          </w:p>
        </w:tc>
        <w:tc>
          <w:tcPr>
            <w:tcW w:w="480" w:type="dxa"/>
            <w:vAlign w:val="bottom"/>
            <w:shd w:val="clear" w:color="auto" w:fill="D2DCE5"/>
          </w:tcPr>
          <w:p>
            <w:pPr>
              <w:spacing w:after="0"/>
              <w:rPr>
                <w:sz w:val="22"/>
                <w:szCs w:val="22"/>
                <w:color w:val="auto"/>
              </w:rPr>
            </w:pPr>
          </w:p>
        </w:tc>
        <w:tc>
          <w:tcPr>
            <w:tcW w:w="11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720" w:type="dxa"/>
            <w:vAlign w:val="bottom"/>
            <w:gridSpan w:val="3"/>
            <w:shd w:val="clear" w:color="auto" w:fill="D2DCE5"/>
          </w:tcPr>
          <w:p>
            <w:pPr>
              <w:jc w:val="right"/>
              <w:ind w:right="270"/>
              <w:spacing w:after="0"/>
              <w:rPr>
                <w:sz w:val="20"/>
                <w:szCs w:val="20"/>
                <w:color w:val="auto"/>
              </w:rPr>
            </w:pPr>
            <w:r>
              <w:rPr>
                <w:rFonts w:ascii="Arial" w:cs="Arial" w:eastAsia="Arial" w:hAnsi="Arial"/>
                <w:sz w:val="18"/>
                <w:szCs w:val="18"/>
                <w:color w:val="006098"/>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1,938</w:t>
            </w:r>
          </w:p>
        </w:tc>
        <w:tc>
          <w:tcPr>
            <w:tcW w:w="0" w:type="dxa"/>
            <w:vAlign w:val="bottom"/>
          </w:tcPr>
          <w:p>
            <w:pPr>
              <w:spacing w:after="0"/>
              <w:rPr>
                <w:sz w:val="1"/>
                <w:szCs w:val="1"/>
                <w:color w:val="auto"/>
              </w:rPr>
            </w:pP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color w:val="131E29"/>
              </w:rPr>
              <w:t>2026</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3,881</w:t>
            </w:r>
          </w:p>
        </w:tc>
        <w:tc>
          <w:tcPr>
            <w:tcW w:w="0" w:type="dxa"/>
            <w:vAlign w:val="bottom"/>
          </w:tcPr>
          <w:p>
            <w:pPr>
              <w:spacing w:after="0"/>
              <w:rPr>
                <w:sz w:val="1"/>
                <w:szCs w:val="1"/>
                <w:color w:val="auto"/>
              </w:rPr>
            </w:pPr>
          </w:p>
        </w:tc>
      </w:tr>
      <w:tr>
        <w:trPr>
          <w:trHeight w:val="270"/>
        </w:trPr>
        <w:tc>
          <w:tcPr>
            <w:tcW w:w="77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5,670</w:t>
            </w:r>
          </w:p>
        </w:tc>
        <w:tc>
          <w:tcPr>
            <w:tcW w:w="0" w:type="dxa"/>
            <w:vAlign w:val="bottom"/>
          </w:tcPr>
          <w:p>
            <w:pPr>
              <w:spacing w:after="0"/>
              <w:rPr>
                <w:sz w:val="1"/>
                <w:szCs w:val="1"/>
                <w:color w:val="auto"/>
              </w:rPr>
            </w:pP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color w:val="131E29"/>
              </w:rPr>
              <w:t>2028</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7,500</w:t>
            </w:r>
          </w:p>
        </w:tc>
        <w:tc>
          <w:tcPr>
            <w:tcW w:w="0" w:type="dxa"/>
            <w:vAlign w:val="bottom"/>
          </w:tcPr>
          <w:p>
            <w:pPr>
              <w:spacing w:after="0"/>
              <w:rPr>
                <w:sz w:val="1"/>
                <w:szCs w:val="1"/>
                <w:color w:val="auto"/>
              </w:rPr>
            </w:pPr>
          </w:p>
        </w:tc>
      </w:tr>
      <w:tr>
        <w:trPr>
          <w:trHeight w:val="270"/>
        </w:trPr>
        <w:tc>
          <w:tcPr>
            <w:tcW w:w="77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2029</w:t>
            </w: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11,250</w:t>
            </w:r>
          </w:p>
        </w:tc>
        <w:tc>
          <w:tcPr>
            <w:tcW w:w="0" w:type="dxa"/>
            <w:vAlign w:val="bottom"/>
          </w:tcPr>
          <w:p>
            <w:pPr>
              <w:spacing w:after="0"/>
              <w:rPr>
                <w:sz w:val="1"/>
                <w:szCs w:val="1"/>
                <w:color w:val="auto"/>
              </w:rPr>
            </w:pPr>
          </w:p>
        </w:tc>
      </w:tr>
      <w:tr>
        <w:trPr>
          <w:trHeight w:val="270"/>
        </w:trPr>
        <w:tc>
          <w:tcPr>
            <w:tcW w:w="774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Thereafter</w:t>
            </w:r>
          </w:p>
        </w:tc>
        <w:tc>
          <w:tcPr>
            <w:tcW w:w="480" w:type="dxa"/>
            <w:vAlign w:val="bottom"/>
            <w:tcBorders>
              <w:bottom w:val="single" w:sz="8" w:color="D2DCE5"/>
            </w:tcBorders>
          </w:tcPr>
          <w:p>
            <w:pPr>
              <w:spacing w:after="0"/>
              <w:rPr>
                <w:sz w:val="23"/>
                <w:szCs w:val="23"/>
                <w:color w:val="auto"/>
              </w:rPr>
            </w:pPr>
          </w:p>
        </w:tc>
        <w:tc>
          <w:tcPr>
            <w:tcW w:w="110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4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173,022</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b w:val="1"/>
                <w:bCs w:val="1"/>
                <w:color w:val="131E29"/>
              </w:rPr>
              <w:t>Total</w:t>
            </w: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203,261</w:t>
            </w:r>
          </w:p>
        </w:tc>
        <w:tc>
          <w:tcPr>
            <w:tcW w:w="0" w:type="dxa"/>
            <w:vAlign w:val="bottom"/>
          </w:tcPr>
          <w:p>
            <w:pPr>
              <w:spacing w:after="0"/>
              <w:rPr>
                <w:sz w:val="1"/>
                <w:szCs w:val="1"/>
                <w:color w:val="auto"/>
              </w:rPr>
            </w:pPr>
          </w:p>
        </w:tc>
      </w:tr>
      <w:tr>
        <w:trPr>
          <w:trHeight w:val="20"/>
        </w:trPr>
        <w:tc>
          <w:tcPr>
            <w:tcW w:w="774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10 — Derivative Financial Instruments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have a receive-variable (Receive Leg), pay-fixed (Pay Leg) interest rate swap with JPMorgan Chase Bank, N.A. As of June 30, 2025, the interest rate swap had a notional amount of approximately $61.7 million and hedges interest rate risk on the term loan under the 2025 Credit Facility. The interest rate swap matures on February 28, 2027, and has a fixed rate of 2.67% per annum for the Pay Leg. The variable rate on the Receive Leg of the interest rate swap is the one-month adjusted term SOFR plus an applicable margin. As of June 30, 2025, the one-month adjusted term SOFR was 4.33%.</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interest rate swap has been designated as a cash flow hedge, and as such, we record the change in fair value for the effective portion of the interest rate swap in AOCI rather than in current period earnings until the underlying hedged transaction affects earnings. As of June 30, 2025, we expect to reclassify a gain of approximately $0.8 million from AOCI to earnings within the next twelve months.</w:t>
      </w:r>
    </w:p>
    <w:p>
      <w:pPr>
        <w:spacing w:after="0" w:line="200" w:lineRule="exact"/>
        <w:rPr>
          <w:sz w:val="20"/>
          <w:szCs w:val="20"/>
          <w:color w:val="auto"/>
        </w:rPr>
      </w:pPr>
    </w:p>
    <w:p>
      <w:pPr>
        <w:spacing w:after="0" w:line="3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Designated as a Level 2 instrument within the fair value hierarchy, the fair value and effect of the derivative instrument included in our condensed consolidated financial statements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2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131E29"/>
              </w:rPr>
              <w:t>(in thousands)</w:t>
            </w:r>
          </w:p>
        </w:tc>
        <w:tc>
          <w:tcPr>
            <w:tcW w:w="128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3460" w:type="dxa"/>
            <w:vAlign w:val="bottom"/>
            <w:tcBorders>
              <w:bottom w:val="single" w:sz="8" w:color="D7282F"/>
            </w:tcBorders>
            <w:gridSpan w:val="6"/>
          </w:tcPr>
          <w:p>
            <w:pPr>
              <w:ind w:left="520"/>
              <w:spacing w:after="0"/>
              <w:rPr>
                <w:sz w:val="20"/>
                <w:szCs w:val="20"/>
                <w:color w:val="auto"/>
              </w:rPr>
            </w:pPr>
            <w:r>
              <w:rPr>
                <w:rFonts w:ascii="Arial" w:cs="Arial" w:eastAsia="Arial" w:hAnsi="Arial"/>
                <w:sz w:val="18"/>
                <w:szCs w:val="18"/>
                <w:b w:val="1"/>
                <w:bCs w:val="1"/>
                <w:color w:val="131E29"/>
              </w:rPr>
              <w:t>Balance Sheets Classification</w:t>
            </w:r>
          </w:p>
        </w:tc>
        <w:tc>
          <w:tcPr>
            <w:tcW w:w="12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gridSpan w:val="4"/>
          </w:tcPr>
          <w:p>
            <w:pPr>
              <w:ind w:left="200"/>
              <w:spacing w:after="0"/>
              <w:rPr>
                <w:sz w:val="20"/>
                <w:szCs w:val="20"/>
                <w:color w:val="auto"/>
              </w:rPr>
            </w:pPr>
            <w:r>
              <w:rPr>
                <w:rFonts w:ascii="Arial" w:cs="Arial" w:eastAsia="Arial" w:hAnsi="Arial"/>
                <w:sz w:val="18"/>
                <w:szCs w:val="18"/>
                <w:b w:val="1"/>
                <w:bCs w:val="1"/>
                <w:color w:val="131E29"/>
              </w:rPr>
              <w:t>June 30, 2025</w:t>
            </w:r>
          </w:p>
        </w:tc>
        <w:tc>
          <w:tcPr>
            <w:tcW w:w="6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gridSpan w:val="4"/>
          </w:tcPr>
          <w:p>
            <w:pPr>
              <w:jc w:val="right"/>
              <w:ind w:right="10"/>
              <w:spacing w:after="0"/>
              <w:rPr>
                <w:sz w:val="20"/>
                <w:szCs w:val="20"/>
                <w:color w:val="auto"/>
              </w:rPr>
            </w:pPr>
            <w:r>
              <w:rPr>
                <w:rFonts w:ascii="Arial" w:cs="Arial" w:eastAsia="Arial" w:hAnsi="Arial"/>
                <w:sz w:val="18"/>
                <w:szCs w:val="18"/>
                <w:b w:val="1"/>
                <w:bCs w:val="1"/>
                <w:color w:val="131E29"/>
              </w:rPr>
              <w:t>December 31, 2024</w:t>
            </w:r>
          </w:p>
        </w:tc>
        <w:tc>
          <w:tcPr>
            <w:tcW w:w="0" w:type="dxa"/>
            <w:vAlign w:val="bottom"/>
          </w:tcPr>
          <w:p>
            <w:pPr>
              <w:spacing w:after="0"/>
              <w:rPr>
                <w:sz w:val="1"/>
                <w:szCs w:val="1"/>
                <w:color w:val="auto"/>
              </w:rPr>
            </w:pPr>
          </w:p>
        </w:tc>
      </w:tr>
      <w:tr>
        <w:trPr>
          <w:trHeight w:val="224"/>
        </w:trPr>
        <w:tc>
          <w:tcPr>
            <w:tcW w:w="5700" w:type="dxa"/>
            <w:vAlign w:val="bottom"/>
            <w:gridSpan w:val="6"/>
            <w:shd w:val="clear" w:color="auto" w:fill="D2DCE5"/>
          </w:tcPr>
          <w:p>
            <w:pPr>
              <w:ind w:left="20"/>
              <w:spacing w:after="0"/>
              <w:rPr>
                <w:sz w:val="20"/>
                <w:szCs w:val="20"/>
                <w:color w:val="auto"/>
              </w:rPr>
            </w:pPr>
            <w:r>
              <w:rPr>
                <w:rFonts w:ascii="Arial" w:cs="Arial" w:eastAsia="Arial" w:hAnsi="Arial"/>
                <w:sz w:val="18"/>
                <w:szCs w:val="18"/>
                <w:b w:val="1"/>
                <w:bCs w:val="1"/>
                <w:color w:val="131E29"/>
              </w:rPr>
              <w:t>Derivative instrument designated as cash</w:t>
            </w:r>
          </w:p>
        </w:tc>
        <w:tc>
          <w:tcPr>
            <w:tcW w:w="34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6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4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flow hedge</w:t>
            </w:r>
          </w:p>
        </w:tc>
        <w:tc>
          <w:tcPr>
            <w:tcW w:w="12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5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340" w:type="dxa"/>
            <w:vAlign w:val="bottom"/>
            <w:shd w:val="clear" w:color="auto" w:fill="D2DCE5"/>
          </w:tcPr>
          <w:p>
            <w:pPr>
              <w:spacing w:after="0"/>
              <w:rPr>
                <w:sz w:val="22"/>
                <w:szCs w:val="22"/>
                <w:color w:val="auto"/>
              </w:rPr>
            </w:pPr>
          </w:p>
        </w:tc>
        <w:tc>
          <w:tcPr>
            <w:tcW w:w="9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44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66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640" w:type="dxa"/>
            <w:vAlign w:val="bottom"/>
            <w:shd w:val="clear" w:color="auto" w:fill="D2DCE5"/>
          </w:tcPr>
          <w:p>
            <w:pPr>
              <w:spacing w:after="0"/>
              <w:rPr>
                <w:sz w:val="22"/>
                <w:szCs w:val="22"/>
                <w:color w:val="auto"/>
              </w:rPr>
            </w:pPr>
          </w:p>
        </w:tc>
        <w:tc>
          <w:tcPr>
            <w:tcW w:w="60" w:type="dxa"/>
            <w:vAlign w:val="bottom"/>
            <w:shd w:val="clear" w:color="auto" w:fill="D2DCE5"/>
          </w:tcPr>
          <w:p>
            <w:pPr>
              <w:spacing w:after="0"/>
              <w:rPr>
                <w:sz w:val="22"/>
                <w:szCs w:val="22"/>
                <w:color w:val="auto"/>
              </w:rPr>
            </w:pPr>
          </w:p>
        </w:tc>
        <w:tc>
          <w:tcPr>
            <w:tcW w:w="40" w:type="dxa"/>
            <w:vAlign w:val="bottom"/>
            <w:shd w:val="clear" w:color="auto" w:fill="D2DCE5"/>
          </w:tcPr>
          <w:p>
            <w:pPr>
              <w:spacing w:after="0"/>
              <w:rPr>
                <w:sz w:val="22"/>
                <w:szCs w:val="22"/>
                <w:color w:val="auto"/>
              </w:rPr>
            </w:pPr>
          </w:p>
        </w:tc>
        <w:tc>
          <w:tcPr>
            <w:tcW w:w="4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20" w:type="dxa"/>
            <w:vAlign w:val="bottom"/>
            <w:gridSpan w:val="2"/>
          </w:tcPr>
          <w:p>
            <w:pPr>
              <w:ind w:left="140"/>
              <w:spacing w:after="0"/>
              <w:rPr>
                <w:sz w:val="20"/>
                <w:szCs w:val="20"/>
                <w:color w:val="auto"/>
              </w:rPr>
            </w:pPr>
            <w:r>
              <w:rPr>
                <w:rFonts w:ascii="Arial" w:cs="Arial" w:eastAsia="Arial" w:hAnsi="Arial"/>
                <w:sz w:val="18"/>
                <w:szCs w:val="18"/>
                <w:color w:val="131E29"/>
              </w:rPr>
              <w:t>Interest rate swap contract</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60" w:type="dxa"/>
            <w:vAlign w:val="bottom"/>
            <w:gridSpan w:val="6"/>
          </w:tcPr>
          <w:p>
            <w:pPr>
              <w:ind w:left="20"/>
              <w:spacing w:after="0"/>
              <w:rPr>
                <w:sz w:val="20"/>
                <w:szCs w:val="20"/>
                <w:color w:val="auto"/>
              </w:rPr>
            </w:pPr>
            <w:r>
              <w:rPr>
                <w:rFonts w:ascii="Arial" w:cs="Arial" w:eastAsia="Arial" w:hAnsi="Arial"/>
                <w:sz w:val="18"/>
                <w:szCs w:val="18"/>
                <w:color w:val="131E29"/>
                <w:w w:val="99"/>
              </w:rPr>
              <w:t>Prepaid expenses and other current assets</w:t>
            </w:r>
          </w:p>
        </w:tc>
        <w:tc>
          <w:tcPr>
            <w:tcW w:w="880" w:type="dxa"/>
            <w:vAlign w:val="bottom"/>
            <w:gridSpan w:val="3"/>
          </w:tcPr>
          <w:p>
            <w:pPr>
              <w:jc w:val="right"/>
              <w:ind w:right="450"/>
              <w:spacing w:after="0"/>
              <w:rPr>
                <w:sz w:val="20"/>
                <w:szCs w:val="20"/>
                <w:color w:val="auto"/>
              </w:rPr>
            </w:pPr>
            <w:r>
              <w:rPr>
                <w:rFonts w:ascii="Arial" w:cs="Arial" w:eastAsia="Arial" w:hAnsi="Arial"/>
                <w:sz w:val="18"/>
                <w:szCs w:val="18"/>
                <w:color w:val="006098"/>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006098"/>
              </w:rPr>
              <w:t>750</w:t>
            </w:r>
          </w:p>
        </w:tc>
        <w:tc>
          <w:tcPr>
            <w:tcW w:w="60" w:type="dxa"/>
            <w:vAlign w:val="bottom"/>
          </w:tcPr>
          <w:p>
            <w:pPr>
              <w:spacing w:after="0"/>
              <w:rPr>
                <w:sz w:val="23"/>
                <w:szCs w:val="23"/>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953</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Interest rate swap contract</w:t>
            </w:r>
          </w:p>
        </w:tc>
        <w:tc>
          <w:tcPr>
            <w:tcW w:w="12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960" w:type="dxa"/>
            <w:vAlign w:val="bottom"/>
            <w:gridSpan w:val="3"/>
            <w:shd w:val="clear" w:color="auto" w:fill="D2DCE5"/>
          </w:tcPr>
          <w:p>
            <w:pPr>
              <w:ind w:left="20"/>
              <w:spacing w:after="0"/>
              <w:rPr>
                <w:sz w:val="20"/>
                <w:szCs w:val="20"/>
                <w:color w:val="auto"/>
              </w:rPr>
            </w:pPr>
            <w:r>
              <w:rPr>
                <w:rFonts w:ascii="Arial" w:cs="Arial" w:eastAsia="Arial" w:hAnsi="Arial"/>
                <w:sz w:val="18"/>
                <w:szCs w:val="18"/>
                <w:color w:val="131E29"/>
              </w:rPr>
              <w:t>Other long-term assets</w:t>
            </w:r>
          </w:p>
        </w:tc>
        <w:tc>
          <w:tcPr>
            <w:tcW w:w="9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660" w:type="dxa"/>
            <w:vAlign w:val="bottom"/>
            <w:tcBorders>
              <w:bottom w:val="single" w:sz="8" w:color="auto"/>
            </w:tcBorders>
            <w:shd w:val="clear" w:color="auto" w:fill="D2DCE5"/>
          </w:tcPr>
          <w:p>
            <w:pPr>
              <w:spacing w:after="0"/>
              <w:rPr>
                <w:sz w:val="23"/>
                <w:szCs w:val="23"/>
                <w:color w:val="auto"/>
              </w:rPr>
            </w:pPr>
          </w:p>
        </w:tc>
        <w:tc>
          <w:tcPr>
            <w:tcW w:w="100" w:type="dxa"/>
            <w:vAlign w:val="bottom"/>
            <w:tcBorders>
              <w:bottom w:val="single" w:sz="8" w:color="auto"/>
            </w:tcBorders>
            <w:shd w:val="clear" w:color="auto" w:fill="D2DCE5"/>
          </w:tcPr>
          <w:p>
            <w:pPr>
              <w:spacing w:after="0"/>
              <w:rPr>
                <w:sz w:val="23"/>
                <w:szCs w:val="23"/>
                <w:color w:val="auto"/>
              </w:rPr>
            </w:pPr>
          </w:p>
        </w:tc>
        <w:tc>
          <w:tcPr>
            <w:tcW w:w="160" w:type="dxa"/>
            <w:vAlign w:val="bottom"/>
            <w:tcBorders>
              <w:bottom w:val="single" w:sz="8" w:color="auto"/>
            </w:tcBorders>
            <w:shd w:val="clear" w:color="auto" w:fill="D2DCE5"/>
          </w:tcPr>
          <w:p>
            <w:pPr>
              <w:spacing w:after="0"/>
              <w:rPr>
                <w:sz w:val="23"/>
                <w:szCs w:val="23"/>
                <w:color w:val="auto"/>
              </w:rPr>
            </w:pPr>
          </w:p>
        </w:tc>
        <w:tc>
          <w:tcPr>
            <w:tcW w:w="640" w:type="dxa"/>
            <w:vAlign w:val="bottom"/>
            <w:tcBorders>
              <w:bottom w:val="single" w:sz="8" w:color="auto"/>
            </w:tcBorders>
            <w:shd w:val="clear" w:color="auto" w:fill="D2DCE5"/>
          </w:tcPr>
          <w:p>
            <w:pPr>
              <w:ind w:left="260"/>
              <w:spacing w:after="0"/>
              <w:rPr>
                <w:sz w:val="20"/>
                <w:szCs w:val="20"/>
                <w:color w:val="auto"/>
              </w:rPr>
            </w:pPr>
            <w:r>
              <w:rPr>
                <w:rFonts w:ascii="Arial" w:cs="Arial" w:eastAsia="Arial" w:hAnsi="Arial"/>
                <w:sz w:val="18"/>
                <w:szCs w:val="18"/>
                <w:color w:val="006098"/>
              </w:rPr>
              <w:t>189</w:t>
            </w: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400" w:type="dxa"/>
            <w:vAlign w:val="bottom"/>
            <w:tcBorders>
              <w:bottom w:val="single" w:sz="8" w:color="auto"/>
            </w:tcBorders>
            <w:shd w:val="clear" w:color="auto" w:fill="D2DCE5"/>
          </w:tcPr>
          <w:p>
            <w:pPr>
              <w:spacing w:after="0"/>
              <w:rPr>
                <w:sz w:val="23"/>
                <w:szCs w:val="23"/>
                <w:color w:val="auto"/>
              </w:rPr>
            </w:pPr>
          </w:p>
        </w:tc>
        <w:tc>
          <w:tcPr>
            <w:tcW w:w="100" w:type="dxa"/>
            <w:vAlign w:val="bottom"/>
            <w:tcBorders>
              <w:bottom w:val="single" w:sz="8" w:color="auto"/>
            </w:tcBorders>
            <w:shd w:val="clear" w:color="auto" w:fill="D2DCE5"/>
          </w:tcPr>
          <w:p>
            <w:pPr>
              <w:spacing w:after="0"/>
              <w:rPr>
                <w:sz w:val="23"/>
                <w:szCs w:val="23"/>
                <w:color w:val="auto"/>
              </w:rPr>
            </w:pPr>
          </w:p>
        </w:tc>
        <w:tc>
          <w:tcPr>
            <w:tcW w:w="280" w:type="dxa"/>
            <w:vAlign w:val="bottom"/>
            <w:tcBorders>
              <w:bottom w:val="single" w:sz="8" w:color="auto"/>
            </w:tcBorders>
            <w:shd w:val="clear" w:color="auto" w:fill="D2DCE5"/>
          </w:tcPr>
          <w:p>
            <w:pPr>
              <w:spacing w:after="0"/>
              <w:rPr>
                <w:sz w:val="23"/>
                <w:szCs w:val="23"/>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832</w:t>
            </w:r>
          </w:p>
        </w:tc>
        <w:tc>
          <w:tcPr>
            <w:tcW w:w="0" w:type="dxa"/>
            <w:vAlign w:val="bottom"/>
          </w:tcPr>
          <w:p>
            <w:pPr>
              <w:spacing w:after="0"/>
              <w:rPr>
                <w:sz w:val="1"/>
                <w:szCs w:val="1"/>
                <w:color w:val="auto"/>
              </w:rPr>
            </w:pPr>
          </w:p>
        </w:tc>
      </w:tr>
      <w:tr>
        <w:trPr>
          <w:trHeight w:val="204"/>
        </w:trPr>
        <w:tc>
          <w:tcPr>
            <w:tcW w:w="5700" w:type="dxa"/>
            <w:vAlign w:val="bottom"/>
            <w:gridSpan w:val="6"/>
          </w:tcPr>
          <w:p>
            <w:pPr>
              <w:ind w:left="20"/>
              <w:spacing w:after="0" w:line="204" w:lineRule="exact"/>
              <w:rPr>
                <w:sz w:val="20"/>
                <w:szCs w:val="20"/>
                <w:color w:val="auto"/>
              </w:rPr>
            </w:pPr>
            <w:r>
              <w:rPr>
                <w:rFonts w:ascii="Arial" w:cs="Arial" w:eastAsia="Arial" w:hAnsi="Arial"/>
                <w:sz w:val="18"/>
                <w:szCs w:val="18"/>
                <w:b w:val="1"/>
                <w:bCs w:val="1"/>
                <w:color w:val="131E29"/>
              </w:rPr>
              <w:t>Total derivative instrument designated as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131E29"/>
              </w:rPr>
              <w:t>1,785</w:t>
            </w:r>
          </w:p>
        </w:tc>
        <w:tc>
          <w:tcPr>
            <w:tcW w:w="0" w:type="dxa"/>
            <w:vAlign w:val="bottom"/>
          </w:tcPr>
          <w:p>
            <w:pPr>
              <w:spacing w:after="0"/>
              <w:rPr>
                <w:sz w:val="1"/>
                <w:szCs w:val="1"/>
                <w:color w:val="auto"/>
              </w:rPr>
            </w:pPr>
          </w:p>
        </w:tc>
      </w:tr>
      <w:tr>
        <w:trPr>
          <w:trHeight w:val="235"/>
        </w:trPr>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131E29"/>
              </w:rPr>
              <w:t>cash flow hedge</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006098"/>
                <w:w w:val="99"/>
              </w:rPr>
              <w:t>$</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006098"/>
              </w:rPr>
              <w:t>939</w:t>
            </w:r>
          </w:p>
        </w:tc>
        <w:tc>
          <w:tcPr>
            <w:tcW w:w="6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8"/>
          </w:tcPr>
          <w:p>
            <w:pPr>
              <w:ind w:left="8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4"/>
                <w:szCs w:val="24"/>
                <w:color w:val="auto"/>
              </w:rPr>
            </w:pPr>
          </w:p>
        </w:tc>
        <w:tc>
          <w:tcPr>
            <w:tcW w:w="256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ind w:left="540"/>
              <w:spacing w:after="0"/>
              <w:rPr>
                <w:sz w:val="20"/>
                <w:szCs w:val="20"/>
                <w:color w:val="auto"/>
              </w:rPr>
            </w:pPr>
            <w:r>
              <w:rPr>
                <w:rFonts w:ascii="Arial" w:cs="Arial" w:eastAsia="Arial" w:hAnsi="Arial"/>
                <w:sz w:val="18"/>
                <w:szCs w:val="18"/>
                <w:b w:val="1"/>
                <w:bCs w:val="1"/>
                <w:color w:val="131E29"/>
              </w:rPr>
              <w:t>Financial Statements</w:t>
            </w:r>
          </w:p>
        </w:tc>
        <w:tc>
          <w:tcPr>
            <w:tcW w:w="340" w:type="dxa"/>
            <w:vAlign w:val="bottom"/>
            <w:tcBorders>
              <w:top w:val="single" w:sz="8" w:color="D7282F"/>
            </w:tcBorders>
          </w:tcPr>
          <w:p>
            <w:pPr>
              <w:spacing w:after="0"/>
              <w:rPr>
                <w:sz w:val="18"/>
                <w:szCs w:val="18"/>
                <w:color w:val="auto"/>
              </w:rPr>
            </w:pPr>
          </w:p>
        </w:tc>
        <w:tc>
          <w:tcPr>
            <w:tcW w:w="980" w:type="dxa"/>
            <w:vAlign w:val="bottom"/>
            <w:tcBorders>
              <w:top w:val="single" w:sz="8" w:color="D7282F"/>
            </w:tcBorders>
          </w:tcPr>
          <w:p>
            <w:pPr>
              <w:spacing w:after="0"/>
              <w:rPr>
                <w:sz w:val="18"/>
                <w:szCs w:val="18"/>
                <w:color w:val="auto"/>
              </w:rPr>
            </w:pPr>
          </w:p>
        </w:tc>
        <w:tc>
          <w:tcPr>
            <w:tcW w:w="80" w:type="dxa"/>
            <w:vAlign w:val="bottom"/>
            <w:tcBorders>
              <w:top w:val="single" w:sz="8" w:color="D7282F"/>
            </w:tcBorders>
          </w:tcPr>
          <w:p>
            <w:pPr>
              <w:spacing w:after="0"/>
              <w:rPr>
                <w:sz w:val="18"/>
                <w:szCs w:val="18"/>
                <w:color w:val="auto"/>
              </w:rPr>
            </w:pPr>
          </w:p>
        </w:tc>
        <w:tc>
          <w:tcPr>
            <w:tcW w:w="440" w:type="dxa"/>
            <w:vAlign w:val="bottom"/>
            <w:tcBorders>
              <w:top w:val="single" w:sz="8" w:color="D7282F"/>
            </w:tcBorders>
          </w:tcPr>
          <w:p>
            <w:pPr>
              <w:spacing w:after="0"/>
              <w:rPr>
                <w:sz w:val="18"/>
                <w:szCs w:val="18"/>
                <w:color w:val="auto"/>
              </w:rPr>
            </w:pPr>
          </w:p>
        </w:tc>
        <w:tc>
          <w:tcPr>
            <w:tcW w:w="120" w:type="dxa"/>
            <w:vAlign w:val="bottom"/>
            <w:tcBorders>
              <w:top w:val="single" w:sz="8" w:color="D7282F"/>
            </w:tcBorders>
          </w:tcPr>
          <w:p>
            <w:pPr>
              <w:spacing w:after="0"/>
              <w:rPr>
                <w:sz w:val="18"/>
                <w:szCs w:val="18"/>
                <w:color w:val="auto"/>
              </w:rPr>
            </w:pPr>
          </w:p>
        </w:tc>
        <w:tc>
          <w:tcPr>
            <w:tcW w:w="100" w:type="dxa"/>
            <w:vAlign w:val="bottom"/>
            <w:tcBorders>
              <w:top w:val="single" w:sz="8" w:color="D7282F"/>
            </w:tcBorders>
          </w:tcPr>
          <w:p>
            <w:pPr>
              <w:spacing w:after="0"/>
              <w:rPr>
                <w:sz w:val="18"/>
                <w:szCs w:val="18"/>
                <w:color w:val="auto"/>
              </w:rPr>
            </w:pPr>
          </w:p>
        </w:tc>
        <w:tc>
          <w:tcPr>
            <w:tcW w:w="660" w:type="dxa"/>
            <w:vAlign w:val="bottom"/>
            <w:tcBorders>
              <w:top w:val="single" w:sz="8" w:color="D7282F"/>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D7282F"/>
            </w:tcBorders>
          </w:tcPr>
          <w:p>
            <w:pPr>
              <w:spacing w:after="0"/>
              <w:rPr>
                <w:sz w:val="18"/>
                <w:szCs w:val="18"/>
                <w:color w:val="auto"/>
              </w:rPr>
            </w:pPr>
          </w:p>
        </w:tc>
        <w:tc>
          <w:tcPr>
            <w:tcW w:w="640" w:type="dxa"/>
            <w:vAlign w:val="bottom"/>
            <w:tcBorders>
              <w:top w:val="single" w:sz="8" w:color="D7282F"/>
            </w:tcBorders>
          </w:tcPr>
          <w:p>
            <w:pPr>
              <w:spacing w:after="0"/>
              <w:rPr>
                <w:sz w:val="18"/>
                <w:szCs w:val="18"/>
                <w:color w:val="auto"/>
              </w:rPr>
            </w:pPr>
          </w:p>
        </w:tc>
        <w:tc>
          <w:tcPr>
            <w:tcW w:w="60" w:type="dxa"/>
            <w:vAlign w:val="bottom"/>
            <w:tcBorders>
              <w:top w:val="single" w:sz="8" w:color="D7282F"/>
            </w:tcBorders>
          </w:tcPr>
          <w:p>
            <w:pPr>
              <w:spacing w:after="0"/>
              <w:rPr>
                <w:sz w:val="18"/>
                <w:szCs w:val="18"/>
                <w:color w:val="auto"/>
              </w:rPr>
            </w:pPr>
          </w:p>
        </w:tc>
        <w:tc>
          <w:tcPr>
            <w:tcW w:w="40" w:type="dxa"/>
            <w:vAlign w:val="bottom"/>
            <w:tcBorders>
              <w:top w:val="single" w:sz="8" w:color="D7282F"/>
            </w:tcBorders>
          </w:tcPr>
          <w:p>
            <w:pPr>
              <w:spacing w:after="0"/>
              <w:rPr>
                <w:sz w:val="18"/>
                <w:szCs w:val="18"/>
                <w:color w:val="auto"/>
              </w:rPr>
            </w:pPr>
          </w:p>
        </w:tc>
        <w:tc>
          <w:tcPr>
            <w:tcW w:w="400" w:type="dxa"/>
            <w:vAlign w:val="bottom"/>
            <w:tcBorders>
              <w:top w:val="single" w:sz="8" w:color="D7282F"/>
            </w:tcBorders>
          </w:tcPr>
          <w:p>
            <w:pPr>
              <w:spacing w:after="0"/>
              <w:rPr>
                <w:sz w:val="18"/>
                <w:szCs w:val="18"/>
                <w:color w:val="auto"/>
              </w:rPr>
            </w:pPr>
          </w:p>
        </w:tc>
        <w:tc>
          <w:tcPr>
            <w:tcW w:w="100" w:type="dxa"/>
            <w:vAlign w:val="bottom"/>
            <w:tcBorders>
              <w:top w:val="single" w:sz="8" w:color="D7282F"/>
            </w:tcBorders>
          </w:tcPr>
          <w:p>
            <w:pPr>
              <w:spacing w:after="0"/>
              <w:rPr>
                <w:sz w:val="18"/>
                <w:szCs w:val="18"/>
                <w:color w:val="auto"/>
              </w:rPr>
            </w:pPr>
          </w:p>
        </w:tc>
        <w:tc>
          <w:tcPr>
            <w:tcW w:w="280" w:type="dxa"/>
            <w:vAlign w:val="bottom"/>
            <w:tcBorders>
              <w:top w:val="single" w:sz="8" w:color="D7282F"/>
            </w:tcBorders>
          </w:tcPr>
          <w:p>
            <w:pPr>
              <w:spacing w:after="0"/>
              <w:rPr>
                <w:sz w:val="18"/>
                <w:szCs w:val="18"/>
                <w:color w:val="auto"/>
              </w:rPr>
            </w:pPr>
          </w:p>
        </w:tc>
        <w:tc>
          <w:tcPr>
            <w:tcW w:w="1040" w:type="dxa"/>
            <w:vAlign w:val="bottom"/>
            <w:tcBorders>
              <w:top w:val="single" w:sz="8" w:color="D7282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900" w:type="dxa"/>
            <w:vAlign w:val="bottom"/>
            <w:tcBorders>
              <w:bottom w:val="single" w:sz="8" w:color="D7282F"/>
            </w:tcBorders>
            <w:gridSpan w:val="3"/>
          </w:tcPr>
          <w:p>
            <w:pPr>
              <w:ind w:left="860"/>
              <w:spacing w:after="0"/>
              <w:rPr>
                <w:sz w:val="20"/>
                <w:szCs w:val="20"/>
                <w:color w:val="auto"/>
              </w:rPr>
            </w:pPr>
            <w:r>
              <w:rPr>
                <w:rFonts w:ascii="Arial" w:cs="Arial" w:eastAsia="Arial" w:hAnsi="Arial"/>
                <w:sz w:val="18"/>
                <w:szCs w:val="18"/>
                <w:b w:val="1"/>
                <w:bCs w:val="1"/>
                <w:color w:val="131E29"/>
              </w:rPr>
              <w:t>Classification</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98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880" w:type="dxa"/>
            <w:vAlign w:val="bottom"/>
            <w:tcBorders>
              <w:bottom w:val="single" w:sz="8" w:color="D7282F"/>
            </w:tcBorders>
            <w:gridSpan w:val="3"/>
          </w:tcPr>
          <w:p>
            <w:pPr>
              <w:jc w:val="right"/>
              <w:ind w:right="370"/>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700" w:type="dxa"/>
            <w:vAlign w:val="bottom"/>
            <w:tcBorders>
              <w:bottom w:val="single" w:sz="8" w:color="D7282F"/>
            </w:tcBorders>
            <w:gridSpan w:val="2"/>
          </w:tcPr>
          <w:p>
            <w:pPr>
              <w:ind w:left="280"/>
              <w:spacing w:after="0"/>
              <w:rPr>
                <w:sz w:val="20"/>
                <w:szCs w:val="20"/>
                <w:color w:val="auto"/>
              </w:rPr>
            </w:pPr>
            <w:r>
              <w:rPr>
                <w:rFonts w:ascii="Arial" w:cs="Arial" w:eastAsia="Arial" w:hAnsi="Arial"/>
                <w:sz w:val="18"/>
                <w:szCs w:val="18"/>
                <w:b w:val="1"/>
                <w:bCs w:val="1"/>
                <w:color w:val="131E29"/>
                <w:w w:val="99"/>
              </w:rPr>
              <w:t>2025</w:t>
            </w:r>
          </w:p>
        </w:tc>
        <w:tc>
          <w:tcPr>
            <w:tcW w:w="40" w:type="dxa"/>
            <w:vAlign w:val="bottom"/>
            <w:tcBorders>
              <w:bottom w:val="single" w:sz="8" w:color="D7282F"/>
            </w:tcBorders>
          </w:tcPr>
          <w:p>
            <w:pPr>
              <w:spacing w:after="0"/>
              <w:rPr>
                <w:sz w:val="22"/>
                <w:szCs w:val="22"/>
                <w:color w:val="auto"/>
              </w:rPr>
            </w:pPr>
          </w:p>
        </w:tc>
        <w:tc>
          <w:tcPr>
            <w:tcW w:w="40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D7282F"/>
            </w:tcBorders>
          </w:tcPr>
          <w:p>
            <w:pPr>
              <w:spacing w:after="0"/>
              <w:rPr>
                <w:sz w:val="22"/>
                <w:szCs w:val="22"/>
                <w:color w:val="auto"/>
              </w:rPr>
            </w:pPr>
          </w:p>
        </w:tc>
        <w:tc>
          <w:tcPr>
            <w:tcW w:w="104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Derivative instrument</w:t>
            </w:r>
          </w:p>
        </w:tc>
        <w:tc>
          <w:tcPr>
            <w:tcW w:w="12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5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6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4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designated as cash flow</w:t>
            </w:r>
          </w:p>
        </w:tc>
        <w:tc>
          <w:tcPr>
            <w:tcW w:w="1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5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4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hedge</w:t>
            </w:r>
          </w:p>
        </w:tc>
        <w:tc>
          <w:tcPr>
            <w:tcW w:w="12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5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340" w:type="dxa"/>
            <w:vAlign w:val="bottom"/>
            <w:shd w:val="clear" w:color="auto" w:fill="D2DCE5"/>
          </w:tcPr>
          <w:p>
            <w:pPr>
              <w:spacing w:after="0"/>
              <w:rPr>
                <w:sz w:val="22"/>
                <w:szCs w:val="22"/>
                <w:color w:val="auto"/>
              </w:rPr>
            </w:pPr>
          </w:p>
        </w:tc>
        <w:tc>
          <w:tcPr>
            <w:tcW w:w="9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44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66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640" w:type="dxa"/>
            <w:vAlign w:val="bottom"/>
            <w:shd w:val="clear" w:color="auto" w:fill="D2DCE5"/>
          </w:tcPr>
          <w:p>
            <w:pPr>
              <w:spacing w:after="0"/>
              <w:rPr>
                <w:sz w:val="22"/>
                <w:szCs w:val="22"/>
                <w:color w:val="auto"/>
              </w:rPr>
            </w:pPr>
          </w:p>
        </w:tc>
        <w:tc>
          <w:tcPr>
            <w:tcW w:w="60" w:type="dxa"/>
            <w:vAlign w:val="bottom"/>
            <w:shd w:val="clear" w:color="auto" w:fill="D2DCE5"/>
          </w:tcPr>
          <w:p>
            <w:pPr>
              <w:spacing w:after="0"/>
              <w:rPr>
                <w:sz w:val="22"/>
                <w:szCs w:val="22"/>
                <w:color w:val="auto"/>
              </w:rPr>
            </w:pPr>
          </w:p>
        </w:tc>
        <w:tc>
          <w:tcPr>
            <w:tcW w:w="40" w:type="dxa"/>
            <w:vAlign w:val="bottom"/>
            <w:shd w:val="clear" w:color="auto" w:fill="D2DCE5"/>
          </w:tcPr>
          <w:p>
            <w:pPr>
              <w:spacing w:after="0"/>
              <w:rPr>
                <w:sz w:val="22"/>
                <w:szCs w:val="22"/>
                <w:color w:val="auto"/>
              </w:rPr>
            </w:pPr>
          </w:p>
        </w:tc>
        <w:tc>
          <w:tcPr>
            <w:tcW w:w="4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140"/>
              <w:spacing w:after="0"/>
              <w:rPr>
                <w:sz w:val="20"/>
                <w:szCs w:val="20"/>
                <w:color w:val="auto"/>
              </w:rPr>
            </w:pPr>
            <w:r>
              <w:rPr>
                <w:rFonts w:ascii="Arial" w:cs="Arial" w:eastAsia="Arial" w:hAnsi="Arial"/>
                <w:sz w:val="18"/>
                <w:szCs w:val="18"/>
                <w:color w:val="131E29"/>
              </w:rPr>
              <w:t>Income (loss) recognized in</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40"/>
              <w:spacing w:after="0"/>
              <w:rPr>
                <w:sz w:val="20"/>
                <w:szCs w:val="20"/>
                <w:color w:val="auto"/>
              </w:rPr>
            </w:pPr>
            <w:r>
              <w:rPr>
                <w:rFonts w:ascii="Arial" w:cs="Arial" w:eastAsia="Arial" w:hAnsi="Arial"/>
                <w:sz w:val="18"/>
                <w:szCs w:val="18"/>
                <w:color w:val="131E29"/>
              </w:rPr>
              <w:t>other comprehensive income</w:t>
            </w:r>
          </w:p>
        </w:tc>
        <w:tc>
          <w:tcPr>
            <w:tcW w:w="2980" w:type="dxa"/>
            <w:vAlign w:val="bottom"/>
            <w:gridSpan w:val="4"/>
          </w:tcPr>
          <w:p>
            <w:pPr>
              <w:ind w:left="20"/>
              <w:spacing w:after="0"/>
              <w:rPr>
                <w:sz w:val="20"/>
                <w:szCs w:val="20"/>
                <w:color w:val="auto"/>
              </w:rPr>
            </w:pPr>
            <w:r>
              <w:rPr>
                <w:rFonts w:ascii="Arial" w:cs="Arial" w:eastAsia="Arial" w:hAnsi="Arial"/>
                <w:sz w:val="18"/>
                <w:szCs w:val="18"/>
                <w:color w:val="131E29"/>
              </w:rPr>
              <w:t>Statements of Comprehensive</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720" w:type="dxa"/>
            <w:vAlign w:val="bottom"/>
            <w:gridSpan w:val="2"/>
          </w:tcPr>
          <w:p>
            <w:pPr>
              <w:ind w:left="140"/>
              <w:spacing w:after="0"/>
              <w:rPr>
                <w:sz w:val="20"/>
                <w:szCs w:val="20"/>
                <w:color w:val="auto"/>
              </w:rPr>
            </w:pPr>
            <w:r>
              <w:rPr>
                <w:rFonts w:ascii="Arial" w:cs="Arial" w:eastAsia="Arial" w:hAnsi="Arial"/>
                <w:sz w:val="18"/>
                <w:szCs w:val="18"/>
                <w:color w:val="131E29"/>
              </w:rPr>
              <w:t>before reclassifications</w:t>
            </w:r>
          </w:p>
        </w:tc>
        <w:tc>
          <w:tcPr>
            <w:tcW w:w="2980" w:type="dxa"/>
            <w:vAlign w:val="bottom"/>
            <w:gridSpan w:val="4"/>
          </w:tcPr>
          <w:p>
            <w:pPr>
              <w:ind w:left="20"/>
              <w:spacing w:after="0"/>
              <w:rPr>
                <w:sz w:val="20"/>
                <w:szCs w:val="20"/>
                <w:color w:val="auto"/>
              </w:rPr>
            </w:pPr>
            <w:r>
              <w:rPr>
                <w:rFonts w:ascii="Arial" w:cs="Arial" w:eastAsia="Arial" w:hAnsi="Arial"/>
                <w:sz w:val="18"/>
                <w:szCs w:val="18"/>
                <w:color w:val="131E29"/>
              </w:rPr>
              <w:t>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006098"/>
                <w:w w:val="99"/>
              </w:rPr>
              <w:t>$</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006098"/>
              </w:rPr>
              <w:t xml:space="preserve">(15) </w:t>
            </w:r>
            <w:r>
              <w:rPr>
                <w:rFonts w:ascii="Arial" w:cs="Arial" w:eastAsia="Arial" w:hAnsi="Arial"/>
                <w:sz w:val="18"/>
                <w:szCs w:val="18"/>
                <w:color w:val="131E2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131E29"/>
              </w:rPr>
              <w:t>562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006098"/>
                <w:w w:val="95"/>
              </w:rPr>
              <w:t>(175)</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1,784</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Reclassification from</w:t>
            </w:r>
          </w:p>
        </w:tc>
        <w:tc>
          <w:tcPr>
            <w:tcW w:w="12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5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6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4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accumulated other</w:t>
            </w:r>
          </w:p>
        </w:tc>
        <w:tc>
          <w:tcPr>
            <w:tcW w:w="1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5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4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comprehensive income to</w:t>
            </w:r>
          </w:p>
        </w:tc>
        <w:tc>
          <w:tcPr>
            <w:tcW w:w="1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5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4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earnings for the effective</w:t>
            </w:r>
          </w:p>
        </w:tc>
        <w:tc>
          <w:tcPr>
            <w:tcW w:w="2980" w:type="dxa"/>
            <w:vAlign w:val="bottom"/>
            <w:gridSpan w:val="4"/>
            <w:shd w:val="clear" w:color="auto" w:fill="D2DCE5"/>
          </w:tcPr>
          <w:p>
            <w:pPr>
              <w:ind w:left="20"/>
              <w:spacing w:after="0"/>
              <w:rPr>
                <w:sz w:val="20"/>
                <w:szCs w:val="20"/>
                <w:color w:val="auto"/>
              </w:rPr>
            </w:pPr>
            <w:r>
              <w:rPr>
                <w:rFonts w:ascii="Arial" w:cs="Arial" w:eastAsia="Arial" w:hAnsi="Arial"/>
                <w:sz w:val="18"/>
                <w:szCs w:val="18"/>
                <w:color w:val="131E29"/>
              </w:rPr>
              <w:t>Statements of Operations - Interest</w:t>
            </w:r>
          </w:p>
        </w:tc>
        <w:tc>
          <w:tcPr>
            <w:tcW w:w="3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4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7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portion</w:t>
            </w:r>
          </w:p>
        </w:tc>
        <w:tc>
          <w:tcPr>
            <w:tcW w:w="2980" w:type="dxa"/>
            <w:vAlign w:val="bottom"/>
            <w:gridSpan w:val="4"/>
            <w:shd w:val="clear" w:color="auto" w:fill="D2DCE5"/>
          </w:tcPr>
          <w:p>
            <w:pPr>
              <w:ind w:left="20"/>
              <w:spacing w:after="0"/>
              <w:rPr>
                <w:sz w:val="20"/>
                <w:szCs w:val="20"/>
                <w:color w:val="auto"/>
              </w:rPr>
            </w:pPr>
            <w:r>
              <w:rPr>
                <w:rFonts w:ascii="Arial" w:cs="Arial" w:eastAsia="Arial" w:hAnsi="Arial"/>
                <w:sz w:val="18"/>
                <w:szCs w:val="18"/>
                <w:color w:val="131E29"/>
              </w:rPr>
              <w:t>expense, net</w:t>
            </w:r>
          </w:p>
        </w:tc>
        <w:tc>
          <w:tcPr>
            <w:tcW w:w="340" w:type="dxa"/>
            <w:vAlign w:val="bottom"/>
            <w:shd w:val="clear" w:color="auto" w:fill="D2DCE5"/>
          </w:tcPr>
          <w:p>
            <w:pPr>
              <w:spacing w:after="0"/>
              <w:rPr>
                <w:sz w:val="22"/>
                <w:szCs w:val="22"/>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(280)</w:t>
            </w:r>
          </w:p>
        </w:tc>
        <w:tc>
          <w:tcPr>
            <w:tcW w:w="80" w:type="dxa"/>
            <w:vAlign w:val="bottom"/>
            <w:shd w:val="clear" w:color="auto" w:fill="D2DCE5"/>
          </w:tcPr>
          <w:p>
            <w:pPr>
              <w:spacing w:after="0"/>
              <w:rPr>
                <w:sz w:val="22"/>
                <w:szCs w:val="22"/>
                <w:color w:val="auto"/>
              </w:rPr>
            </w:pPr>
          </w:p>
        </w:tc>
        <w:tc>
          <w:tcPr>
            <w:tcW w:w="440" w:type="dxa"/>
            <w:vAlign w:val="bottom"/>
            <w:shd w:val="clear" w:color="auto" w:fill="D2DCE5"/>
          </w:tcPr>
          <w:p>
            <w:pPr>
              <w:spacing w:after="0"/>
              <w:rPr>
                <w:sz w:val="22"/>
                <w:szCs w:val="22"/>
                <w:color w:val="auto"/>
              </w:rPr>
            </w:pPr>
          </w:p>
        </w:tc>
        <w:tc>
          <w:tcPr>
            <w:tcW w:w="880" w:type="dxa"/>
            <w:vAlign w:val="bottom"/>
            <w:gridSpan w:val="3"/>
            <w:shd w:val="clear" w:color="auto" w:fill="D2DCE5"/>
          </w:tcPr>
          <w:p>
            <w:pPr>
              <w:jc w:val="right"/>
              <w:spacing w:after="0"/>
              <w:rPr>
                <w:sz w:val="20"/>
                <w:szCs w:val="20"/>
                <w:color w:val="auto"/>
              </w:rPr>
            </w:pPr>
            <w:r>
              <w:rPr>
                <w:rFonts w:ascii="Arial" w:cs="Arial" w:eastAsia="Arial" w:hAnsi="Arial"/>
                <w:sz w:val="18"/>
                <w:szCs w:val="18"/>
                <w:color w:val="131E29"/>
              </w:rPr>
              <w:t>(464)</w:t>
            </w: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640" w:type="dxa"/>
            <w:vAlign w:val="bottom"/>
            <w:shd w:val="clear" w:color="auto" w:fill="D2DCE5"/>
          </w:tcPr>
          <w:p>
            <w:pPr>
              <w:spacing w:after="0"/>
              <w:rPr>
                <w:sz w:val="22"/>
                <w:szCs w:val="22"/>
                <w:color w:val="auto"/>
              </w:rPr>
            </w:pPr>
          </w:p>
        </w:tc>
        <w:tc>
          <w:tcPr>
            <w:tcW w:w="60" w:type="dxa"/>
            <w:vAlign w:val="bottom"/>
            <w:shd w:val="clear" w:color="auto" w:fill="D2DCE5"/>
          </w:tcPr>
          <w:p>
            <w:pPr>
              <w:spacing w:after="0"/>
              <w:rPr>
                <w:sz w:val="22"/>
                <w:szCs w:val="22"/>
                <w:color w:val="auto"/>
              </w:rPr>
            </w:pPr>
          </w:p>
        </w:tc>
        <w:tc>
          <w:tcPr>
            <w:tcW w:w="4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006098"/>
                <w:w w:val="95"/>
              </w:rPr>
              <w:t>(562)</w:t>
            </w: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(933)</w:t>
            </w:r>
          </w:p>
        </w:tc>
        <w:tc>
          <w:tcPr>
            <w:tcW w:w="0" w:type="dxa"/>
            <w:vAlign w:val="bottom"/>
          </w:tcPr>
          <w:p>
            <w:pPr>
              <w:spacing w:after="0"/>
              <w:rPr>
                <w:sz w:val="1"/>
                <w:szCs w:val="1"/>
                <w:color w:val="auto"/>
              </w:rPr>
            </w:pPr>
          </w:p>
        </w:tc>
      </w:tr>
      <w:tr>
        <w:trPr>
          <w:trHeight w:val="224"/>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4"/>
          </w:tcPr>
          <w:p>
            <w:pPr>
              <w:ind w:left="20"/>
              <w:spacing w:after="0"/>
              <w:rPr>
                <w:sz w:val="20"/>
                <w:szCs w:val="20"/>
                <w:color w:val="auto"/>
              </w:rPr>
            </w:pPr>
            <w:r>
              <w:rPr>
                <w:rFonts w:ascii="Arial" w:cs="Arial" w:eastAsia="Arial" w:hAnsi="Arial"/>
                <w:sz w:val="18"/>
                <w:szCs w:val="18"/>
                <w:color w:val="131E29"/>
              </w:rPr>
              <w:t>Statements of Operations - Income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720" w:type="dxa"/>
            <w:vAlign w:val="bottom"/>
            <w:gridSpan w:val="2"/>
          </w:tcPr>
          <w:p>
            <w:pPr>
              <w:ind w:left="140"/>
              <w:spacing w:after="0"/>
              <w:rPr>
                <w:sz w:val="20"/>
                <w:szCs w:val="20"/>
                <w:color w:val="auto"/>
              </w:rPr>
            </w:pPr>
            <w:r>
              <w:rPr>
                <w:rFonts w:ascii="Arial" w:cs="Arial" w:eastAsia="Arial" w:hAnsi="Arial"/>
                <w:sz w:val="18"/>
                <w:szCs w:val="18"/>
                <w:color w:val="131E29"/>
              </w:rPr>
              <w:t>Income tax benefit (expense)</w:t>
            </w:r>
          </w:p>
        </w:tc>
        <w:tc>
          <w:tcPr>
            <w:tcW w:w="2980" w:type="dxa"/>
            <w:vAlign w:val="bottom"/>
            <w:gridSpan w:val="4"/>
          </w:tcPr>
          <w:p>
            <w:pPr>
              <w:ind w:left="20"/>
              <w:spacing w:after="0"/>
              <w:rPr>
                <w:sz w:val="20"/>
                <w:szCs w:val="20"/>
                <w:color w:val="auto"/>
              </w:rPr>
            </w:pPr>
            <w:r>
              <w:rPr>
                <w:rFonts w:ascii="Arial" w:cs="Arial" w:eastAsia="Arial" w:hAnsi="Arial"/>
                <w:sz w:val="18"/>
                <w:szCs w:val="18"/>
                <w:color w:val="131E29"/>
              </w:rPr>
              <w:t>tax expense</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6098"/>
              </w:rPr>
              <w:t>54</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131E29"/>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006098"/>
              </w:rPr>
              <w:t>147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(64)</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131E29"/>
        </w:rPr>
        <w:t>The amendment to our credit facility, as discussed in NOTE 9 — Debt, had no impact on our interest rate swap derivative.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11 —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80" w:type="dxa"/>
            <w:vAlign w:val="bottom"/>
            <w:gridSpan w:val="5"/>
          </w:tcPr>
          <w:p>
            <w:pPr>
              <w:ind w:left="40"/>
              <w:spacing w:after="0"/>
              <w:rPr>
                <w:sz w:val="20"/>
                <w:szCs w:val="20"/>
                <w:color w:val="auto"/>
              </w:rPr>
            </w:pPr>
            <w:r>
              <w:rPr>
                <w:rFonts w:ascii="Arial" w:cs="Arial" w:eastAsia="Arial" w:hAnsi="Arial"/>
                <w:sz w:val="18"/>
                <w:szCs w:val="18"/>
                <w:b w:val="1"/>
                <w:bCs w:val="1"/>
                <w:color w:val="131E29"/>
              </w:rPr>
              <w:t>Three Months Ended June 30,</w:t>
            </w:r>
          </w:p>
        </w:tc>
        <w:tc>
          <w:tcPr>
            <w:tcW w:w="220" w:type="dxa"/>
            <w:vAlign w:val="bottom"/>
          </w:tcPr>
          <w:p>
            <w:pPr>
              <w:spacing w:after="0"/>
              <w:rPr>
                <w:sz w:val="22"/>
                <w:szCs w:val="22"/>
                <w:color w:val="auto"/>
              </w:rPr>
            </w:pPr>
          </w:p>
        </w:tc>
        <w:tc>
          <w:tcPr>
            <w:tcW w:w="27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260" w:type="dxa"/>
            <w:vAlign w:val="bottom"/>
            <w:tcBorders>
              <w:top w:val="single" w:sz="8" w:color="D7282F"/>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20" w:type="dxa"/>
            <w:vAlign w:val="bottom"/>
            <w:tcBorders>
              <w:top w:val="single" w:sz="8" w:color="D7282F"/>
              <w:bottom w:val="single" w:sz="8" w:color="D7282F"/>
            </w:tcBorders>
          </w:tcPr>
          <w:p>
            <w:pPr>
              <w:spacing w:after="0"/>
              <w:rPr>
                <w:sz w:val="22"/>
                <w:szCs w:val="22"/>
                <w:color w:val="auto"/>
              </w:rPr>
            </w:pPr>
          </w:p>
        </w:tc>
        <w:tc>
          <w:tcPr>
            <w:tcW w:w="112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2024</w:t>
            </w:r>
          </w:p>
        </w:tc>
        <w:tc>
          <w:tcPr>
            <w:tcW w:w="80" w:type="dxa"/>
            <w:vAlign w:val="bottom"/>
            <w:tcBorders>
              <w:bottom w:val="single" w:sz="8" w:color="D2DCE5"/>
            </w:tcBorders>
          </w:tcPr>
          <w:p>
            <w:pPr>
              <w:spacing w:after="0"/>
              <w:rPr>
                <w:sz w:val="22"/>
                <w:szCs w:val="22"/>
                <w:color w:val="auto"/>
              </w:rPr>
            </w:pPr>
          </w:p>
        </w:tc>
        <w:tc>
          <w:tcPr>
            <w:tcW w:w="220" w:type="dxa"/>
            <w:vAlign w:val="bottom"/>
            <w:tcBorders>
              <w:top w:val="single" w:sz="8" w:color="D7282F"/>
              <w:bottom w:val="single" w:sz="8" w:color="D7282F"/>
            </w:tcBorders>
          </w:tcPr>
          <w:p>
            <w:pPr>
              <w:spacing w:after="0"/>
              <w:rPr>
                <w:sz w:val="22"/>
                <w:szCs w:val="22"/>
                <w:color w:val="auto"/>
              </w:rPr>
            </w:pPr>
          </w:p>
        </w:tc>
        <w:tc>
          <w:tcPr>
            <w:tcW w:w="122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20" w:type="dxa"/>
            <w:vAlign w:val="bottom"/>
            <w:tcBorders>
              <w:top w:val="single" w:sz="8" w:color="D7282F"/>
              <w:bottom w:val="single" w:sz="8" w:color="D7282F"/>
            </w:tcBorders>
          </w:tcPr>
          <w:p>
            <w:pPr>
              <w:spacing w:after="0"/>
              <w:rPr>
                <w:sz w:val="22"/>
                <w:szCs w:val="22"/>
                <w:color w:val="auto"/>
              </w:rPr>
            </w:pPr>
          </w:p>
        </w:tc>
        <w:tc>
          <w:tcPr>
            <w:tcW w:w="112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2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26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006098"/>
              </w:rPr>
              <w:t>7,243</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3,860</w:t>
            </w:r>
          </w:p>
        </w:tc>
        <w:tc>
          <w:tcPr>
            <w:tcW w:w="80" w:type="dxa"/>
            <w:vAlign w:val="bottom"/>
            <w:shd w:val="clear" w:color="auto" w:fill="D2DCE5"/>
          </w:tcPr>
          <w:p>
            <w:pPr>
              <w:spacing w:after="0"/>
              <w:rPr>
                <w:sz w:val="23"/>
                <w:szCs w:val="23"/>
                <w:color w:val="auto"/>
              </w:rPr>
            </w:pPr>
          </w:p>
        </w:tc>
        <w:tc>
          <w:tcPr>
            <w:tcW w:w="22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006098"/>
                <w:w w:val="99"/>
              </w:rPr>
              <w:t>$</w:t>
            </w:r>
          </w:p>
        </w:tc>
        <w:tc>
          <w:tcPr>
            <w:tcW w:w="122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rPr>
              <w:t>8,702</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12,632</w:t>
            </w:r>
          </w:p>
        </w:tc>
      </w:tr>
      <w:tr>
        <w:trPr>
          <w:trHeight w:val="274"/>
        </w:trPr>
        <w:tc>
          <w:tcPr>
            <w:tcW w:w="522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6098"/>
              </w:rPr>
              <w:t>15.9 %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14.8 %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12.5 %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24.8 %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effective tax rate for the quarter ended June 30, 2025, was 15.9%, which reflects the US federal statutory rate of 21% on pre-tax income, offset with the tax benefits of federal tax credits and income attributable to non-controlling interests. The increase in the effective tax rate from 14.8% in the same period in 2024 is due to the increase in our economic interest of Dutch Bros OpCo.</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effective tax rate for the six months ended June 30, 2025, was 12.5%. The decrease in the effective tax rate from 24.8% in the same period in 2024 is due to tax deductions related to stock-based compensation, as well as a change in state earnings mix that occurred in 2024.</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On July 4, 2025, the One Big Beautiful Bill Act (OBBBA) was enacted in the U.S. The OBBBA includes significant provisions, such as the permanent extension of certain expiring provisions of the Tax Cuts and Jobs Act and the restoration of favorable tax treatment for specific business provisions. The legislation has multiple effective dates, with some provisions taking effect in 2025 and others phased in through 2027. In accordance with ASC 740, the effects of changes in tax rates and laws are recognized in the period in which the legislation is enacted. While we do not currently anticipate a material impact on our consolidated financial statements, we are evaluating its potential effects.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Tax Receivable Agreements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connection with our IPO, we executed two TRAs which require payment to certain Dutch Bros OpCo owners of 85% of the income tax benefits, if any, that we actually realize or in some cases is deemed to realize (calculated using certain assumptions) as a result of certain tax attributes and benefits covered by the TRAs.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TRAs-related liabilities are classified on our condensed consolidated balance sheets as current or non-current based on the expected date of payment under the captions “Current portion of tax receivable agreements liability” and “Tax receivable agreements liability, net of current portion,”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 xml:space="preserve">As of June 30, 2025, our total TRAs-related liabilities were </w:t>
      </w:r>
      <w:r>
        <w:rPr>
          <w:rFonts w:ascii="Arial" w:cs="Arial" w:eastAsia="Arial" w:hAnsi="Arial"/>
          <w:sz w:val="18"/>
          <w:szCs w:val="18"/>
          <w:color w:val="000000"/>
        </w:rPr>
        <w:t>$824.4 million.</w:t>
      </w:r>
      <w:r>
        <w:rPr>
          <w:rFonts w:ascii="Arial" w:cs="Arial" w:eastAsia="Arial" w:hAnsi="Arial"/>
          <w:sz w:val="18"/>
          <w:szCs w:val="18"/>
          <w:color w:val="131E29"/>
        </w:rPr>
        <w:t xml:space="preserve"> The changes related to these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1420" w:type="dxa"/>
            <w:vAlign w:val="bottom"/>
            <w:tcBorders>
              <w:bottom w:val="single" w:sz="8" w:color="D7282F"/>
            </w:tcBorders>
          </w:tcPr>
          <w:p>
            <w:pPr>
              <w:jc w:val="right"/>
              <w:ind w:right="110"/>
              <w:spacing w:after="0"/>
              <w:rPr>
                <w:sz w:val="20"/>
                <w:szCs w:val="20"/>
                <w:color w:val="auto"/>
              </w:rPr>
            </w:pPr>
            <w:r>
              <w:rPr>
                <w:rFonts w:ascii="Arial" w:cs="Arial" w:eastAsia="Arial" w:hAnsi="Arial"/>
                <w:sz w:val="18"/>
                <w:szCs w:val="18"/>
                <w:b w:val="1"/>
                <w:bCs w:val="1"/>
                <w:color w:val="131E29"/>
              </w:rPr>
              <w:t>June 30, 2025</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70"/>
        </w:trPr>
        <w:tc>
          <w:tcPr>
            <w:tcW w:w="77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Beginning balance</w:t>
            </w: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627,834</w:t>
            </w:r>
          </w:p>
        </w:tc>
        <w:tc>
          <w:tcPr>
            <w:tcW w:w="100" w:type="dxa"/>
            <w:vAlign w:val="bottom"/>
            <w:shd w:val="clear" w:color="auto" w:fill="D2DCE5"/>
          </w:tcPr>
          <w:p>
            <w:pPr>
              <w:spacing w:after="0"/>
              <w:rPr>
                <w:sz w:val="23"/>
                <w:szCs w:val="23"/>
                <w:color w:val="auto"/>
              </w:rPr>
            </w:pPr>
          </w:p>
        </w:tc>
        <w:tc>
          <w:tcPr>
            <w:tcW w:w="600" w:type="dxa"/>
            <w:vAlign w:val="bottom"/>
            <w:shd w:val="clear" w:color="auto" w:fill="D2DCE5"/>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290,920</w:t>
            </w:r>
          </w:p>
        </w:tc>
      </w:tr>
      <w:tr>
        <w:trPr>
          <w:trHeight w:val="247"/>
        </w:trPr>
        <w:tc>
          <w:tcPr>
            <w:tcW w:w="7740" w:type="dxa"/>
            <w:vAlign w:val="bottom"/>
            <w:gridSpan w:val="2"/>
          </w:tcPr>
          <w:p>
            <w:pPr>
              <w:ind w:left="180"/>
              <w:spacing w:after="0"/>
              <w:rPr>
                <w:sz w:val="20"/>
                <w:szCs w:val="20"/>
                <w:color w:val="auto"/>
              </w:rPr>
            </w:pPr>
            <w:r>
              <w:rPr>
                <w:rFonts w:ascii="Arial" w:cs="Arial" w:eastAsia="Arial" w:hAnsi="Arial"/>
                <w:sz w:val="18"/>
                <w:szCs w:val="18"/>
                <w:color w:val="131E29"/>
              </w:rPr>
              <w:t>Additions (reductions) to TRAs: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4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Exchange of Dutch Bros OpCo Class A common units for Class A common stock</w:t>
            </w:r>
          </w:p>
        </w:tc>
        <w:tc>
          <w:tcPr>
            <w:tcW w:w="16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201,311</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341,161</w:t>
            </w:r>
          </w:p>
        </w:tc>
      </w:tr>
      <w:tr>
        <w:trPr>
          <w:trHeight w:val="247"/>
        </w:trPr>
        <w:tc>
          <w:tcPr>
            <w:tcW w:w="7740" w:type="dxa"/>
            <w:vAlign w:val="bottom"/>
            <w:gridSpan w:val="2"/>
          </w:tcPr>
          <w:p>
            <w:pPr>
              <w:ind w:left="360"/>
              <w:spacing w:after="0"/>
              <w:rPr>
                <w:sz w:val="20"/>
                <w:szCs w:val="20"/>
                <w:color w:val="auto"/>
              </w:rPr>
            </w:pPr>
            <w:r>
              <w:rPr>
                <w:rFonts w:ascii="Arial" w:cs="Arial" w:eastAsia="Arial" w:hAnsi="Arial"/>
                <w:sz w:val="18"/>
                <w:szCs w:val="18"/>
                <w:color w:val="131E29"/>
              </w:rPr>
              <w:t>Payments under TRA</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006098"/>
              </w:rPr>
              <w:t>(4,698)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4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 xml:space="preserve">TRAs remeasurements </w:t>
            </w:r>
            <w:r>
              <w:rPr>
                <w:rFonts w:ascii="Arial" w:cs="Arial" w:eastAsia="Arial" w:hAnsi="Arial"/>
                <w:sz w:val="23"/>
                <w:szCs w:val="23"/>
                <w:color w:val="131E29"/>
                <w:vertAlign w:val="superscript"/>
              </w:rPr>
              <w:t>1</w:t>
            </w:r>
          </w:p>
        </w:tc>
        <w:tc>
          <w:tcPr>
            <w:tcW w:w="160" w:type="dxa"/>
            <w:vAlign w:val="bottom"/>
            <w:tcBorders>
              <w:bottom w:val="single" w:sz="8" w:color="auto"/>
            </w:tcBorders>
            <w:shd w:val="clear" w:color="auto" w:fill="D2DCE5"/>
          </w:tcPr>
          <w:p>
            <w:pPr>
              <w:spacing w:after="0"/>
              <w:rPr>
                <w:sz w:val="23"/>
                <w:szCs w:val="23"/>
                <w:color w:val="auto"/>
              </w:rPr>
            </w:pP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100" w:type="dxa"/>
            <w:vAlign w:val="bottom"/>
            <w:shd w:val="clear" w:color="auto" w:fill="D2DCE5"/>
          </w:tcPr>
          <w:p>
            <w:pPr>
              <w:spacing w:after="0"/>
              <w:rPr>
                <w:sz w:val="23"/>
                <w:szCs w:val="23"/>
                <w:color w:val="auto"/>
              </w:rPr>
            </w:pPr>
          </w:p>
        </w:tc>
        <w:tc>
          <w:tcPr>
            <w:tcW w:w="60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(4,247)</w:t>
            </w: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740" w:type="dxa"/>
            <w:vAlign w:val="bottom"/>
          </w:tcPr>
          <w:p>
            <w:pPr>
              <w:ind w:left="20"/>
              <w:spacing w:after="0"/>
              <w:rPr>
                <w:sz w:val="20"/>
                <w:szCs w:val="20"/>
                <w:color w:val="auto"/>
              </w:rPr>
            </w:pPr>
            <w:r>
              <w:rPr>
                <w:rFonts w:ascii="Arial" w:cs="Arial" w:eastAsia="Arial" w:hAnsi="Arial"/>
                <w:sz w:val="18"/>
                <w:szCs w:val="18"/>
                <w:b w:val="1"/>
                <w:bCs w:val="1"/>
                <w:color w:val="131E29"/>
              </w:rPr>
              <w:t>Ending balance</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006098"/>
              </w:rPr>
              <w:t>824,447</w:t>
            </w:r>
          </w:p>
        </w:tc>
        <w:tc>
          <w:tcPr>
            <w:tcW w:w="10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131E29"/>
              </w:rPr>
              <w:t>627,834</w:t>
            </w:r>
          </w:p>
        </w:tc>
      </w:tr>
      <w:tr>
        <w:trPr>
          <w:trHeight w:val="278"/>
        </w:trPr>
        <w:tc>
          <w:tcPr>
            <w:tcW w:w="774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Less: current portion</w:t>
            </w:r>
          </w:p>
        </w:tc>
        <w:tc>
          <w:tcPr>
            <w:tcW w:w="48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(514)</w:t>
            </w:r>
          </w:p>
        </w:tc>
        <w:tc>
          <w:tcPr>
            <w:tcW w:w="100" w:type="dxa"/>
            <w:vAlign w:val="bottom"/>
            <w:tcBorders>
              <w:bottom w:val="single" w:sz="8" w:color="D2DCE5"/>
            </w:tcBorders>
            <w:shd w:val="clear" w:color="auto" w:fill="D2DCE5"/>
          </w:tcPr>
          <w:p>
            <w:pPr>
              <w:spacing w:after="0"/>
              <w:rPr>
                <w:sz w:val="24"/>
                <w:szCs w:val="24"/>
                <w:color w:val="auto"/>
              </w:rPr>
            </w:pPr>
          </w:p>
        </w:tc>
        <w:tc>
          <w:tcPr>
            <w:tcW w:w="600" w:type="dxa"/>
            <w:vAlign w:val="bottom"/>
            <w:tcBorders>
              <w:bottom w:val="single" w:sz="8" w:color="D2DCE5"/>
            </w:tcBorders>
            <w:shd w:val="clear" w:color="auto" w:fill="D2DCE5"/>
          </w:tcPr>
          <w:p>
            <w:pPr>
              <w:spacing w:after="0"/>
              <w:rPr>
                <w:sz w:val="24"/>
                <w:szCs w:val="24"/>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w:t>
            </w:r>
          </w:p>
        </w:tc>
      </w:tr>
      <w:tr>
        <w:trPr>
          <w:trHeight w:val="263"/>
        </w:trPr>
        <w:tc>
          <w:tcPr>
            <w:tcW w:w="7740" w:type="dxa"/>
            <w:vAlign w:val="bottom"/>
          </w:tcPr>
          <w:p>
            <w:pPr>
              <w:ind w:left="20"/>
              <w:spacing w:after="0"/>
              <w:rPr>
                <w:sz w:val="20"/>
                <w:szCs w:val="20"/>
                <w:color w:val="auto"/>
              </w:rPr>
            </w:pPr>
            <w:r>
              <w:rPr>
                <w:rFonts w:ascii="Arial" w:cs="Arial" w:eastAsia="Arial" w:hAnsi="Arial"/>
                <w:sz w:val="18"/>
                <w:szCs w:val="18"/>
                <w:b w:val="1"/>
                <w:bCs w:val="1"/>
                <w:color w:val="131E29"/>
              </w:rPr>
              <w:t>TRAs liability, net of current portion</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823,933</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627,763</w:t>
            </w:r>
          </w:p>
        </w:tc>
      </w:tr>
      <w:tr>
        <w:trPr>
          <w:trHeight w:val="20"/>
        </w:trPr>
        <w:tc>
          <w:tcPr>
            <w:tcW w:w="7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44" w:lineRule="exact"/>
        <w:rPr>
          <w:sz w:val="20"/>
          <w:szCs w:val="20"/>
          <w:color w:val="auto"/>
        </w:rPr>
      </w:pPr>
    </w:p>
    <w:p>
      <w:pPr>
        <w:ind w:left="80" w:hanging="72"/>
        <w:spacing w:after="0"/>
        <w:tabs>
          <w:tab w:leader="none" w:pos="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Impact primarily related to state tax rates and adjustments from previous estimates upon finalization of the tax attributes subject to the TRAs.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00416B"/>
        </w:rPr>
        <w:t>NOTE 12 —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Units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RSU activity was as follows: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June 30, 2025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131E29"/>
        </w:rPr>
        <w:t>PSU activity was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Restricted Stock</w:t>
            </w:r>
          </w:p>
        </w:tc>
        <w:tc>
          <w:tcPr>
            <w:tcW w:w="140" w:type="dxa"/>
            <w:vAlign w:val="bottom"/>
          </w:tcPr>
          <w:p>
            <w:pPr>
              <w:spacing w:after="0"/>
              <w:rPr>
                <w:sz w:val="18"/>
                <w:szCs w:val="18"/>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7"/>
              </w:rPr>
              <w:t>Units</w:t>
            </w:r>
          </w:p>
        </w:tc>
        <w:tc>
          <w:tcPr>
            <w:tcW w:w="140" w:type="dxa"/>
            <w:vAlign w:val="bottom"/>
          </w:tcPr>
          <w:p>
            <w:pPr>
              <w:spacing w:after="0"/>
              <w:rPr>
                <w:sz w:val="22"/>
                <w:szCs w:val="22"/>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131E29"/>
              </w:rPr>
              <w:t>date fair value per share</w:t>
            </w:r>
          </w:p>
        </w:tc>
      </w:tr>
      <w:tr>
        <w:trPr>
          <w:trHeight w:val="255"/>
        </w:trPr>
        <w:tc>
          <w:tcPr>
            <w:tcW w:w="156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1,211</w:t>
            </w:r>
          </w:p>
        </w:tc>
        <w:tc>
          <w:tcPr>
            <w:tcW w:w="100" w:type="dxa"/>
            <w:vAlign w:val="bottom"/>
          </w:tcPr>
          <w:p>
            <w:pPr>
              <w:spacing w:after="0"/>
              <w:rPr>
                <w:sz w:val="22"/>
                <w:szCs w:val="22"/>
                <w:color w:val="auto"/>
              </w:rPr>
            </w:pPr>
          </w:p>
        </w:tc>
        <w:tc>
          <w:tcPr>
            <w:tcW w:w="14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w w:val="99"/>
              </w:rPr>
              <w:t>$</w:t>
            </w:r>
          </w:p>
        </w:tc>
        <w:tc>
          <w:tcPr>
            <w:tcW w:w="226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32.38</w:t>
            </w:r>
          </w:p>
        </w:tc>
      </w:tr>
      <w:tr>
        <w:trPr>
          <w:trHeight w:val="289"/>
        </w:trPr>
        <w:tc>
          <w:tcPr>
            <w:tcW w:w="1560" w:type="dxa"/>
            <w:vAlign w:val="bottom"/>
          </w:tcPr>
          <w:p>
            <w:pPr>
              <w:jc w:val="right"/>
              <w:spacing w:after="0"/>
              <w:rPr>
                <w:sz w:val="20"/>
                <w:szCs w:val="20"/>
                <w:color w:val="auto"/>
              </w:rPr>
            </w:pPr>
            <w:r>
              <w:rPr>
                <w:rFonts w:ascii="Arial" w:cs="Arial" w:eastAsia="Arial" w:hAnsi="Arial"/>
                <w:sz w:val="18"/>
                <w:szCs w:val="18"/>
                <w:color w:val="006098"/>
              </w:rPr>
              <w:t>283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006098"/>
              </w:rPr>
              <w:t>79.62</w:t>
            </w:r>
          </w:p>
        </w:tc>
      </w:tr>
      <w:tr>
        <w:trPr>
          <w:trHeight w:val="270"/>
        </w:trPr>
        <w:tc>
          <w:tcPr>
            <w:tcW w:w="1560" w:type="dxa"/>
            <w:vAlign w:val="bottom"/>
          </w:tcPr>
          <w:p>
            <w:pPr>
              <w:jc w:val="right"/>
              <w:spacing w:after="0"/>
              <w:rPr>
                <w:sz w:val="20"/>
                <w:szCs w:val="20"/>
                <w:color w:val="auto"/>
              </w:rPr>
            </w:pPr>
            <w:r>
              <w:rPr>
                <w:rFonts w:ascii="Arial" w:cs="Arial" w:eastAsia="Arial" w:hAnsi="Arial"/>
                <w:sz w:val="18"/>
                <w:szCs w:val="18"/>
                <w:color w:val="006098"/>
              </w:rPr>
              <w:t>(442)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006098"/>
              </w:rPr>
              <w:t>34.22</w:t>
            </w:r>
          </w:p>
        </w:tc>
      </w:tr>
      <w:tr>
        <w:trPr>
          <w:trHeight w:val="266"/>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(131)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37.87</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921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45.23</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615" w:lineRule="exact"/>
        <w:rPr>
          <w:sz w:val="20"/>
          <w:szCs w:val="20"/>
          <w:color w:val="auto"/>
        </w:rPr>
      </w:pPr>
    </w:p>
    <w:p>
      <w:pPr>
        <w:sectPr>
          <w:pgSz w:w="11900" w:h="16838" w:orient="portrait"/>
          <w:cols w:equalWidth="0" w:num="2">
            <w:col w:w="6460" w:space="720"/>
            <w:col w:w="4060"/>
          </w:cols>
          <w:pgMar w:left="320" w:top="130"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ind w:left="300"/>
              <w:spacing w:after="0"/>
              <w:rPr>
                <w:sz w:val="20"/>
                <w:szCs w:val="20"/>
                <w:color w:val="auto"/>
              </w:rPr>
            </w:pPr>
            <w:r>
              <w:rPr>
                <w:rFonts w:ascii="Arial" w:cs="Arial" w:eastAsia="Arial" w:hAnsi="Arial"/>
                <w:sz w:val="18"/>
                <w:szCs w:val="18"/>
                <w:b w:val="1"/>
                <w:bCs w:val="1"/>
                <w:color w:val="131E29"/>
              </w:rPr>
              <w:t>Performance -</w:t>
            </w:r>
          </w:p>
        </w:tc>
        <w:tc>
          <w:tcPr>
            <w:tcW w:w="140" w:type="dxa"/>
            <w:vAlign w:val="bottom"/>
          </w:tcPr>
          <w:p>
            <w:pPr>
              <w:spacing w:after="0"/>
              <w:rPr>
                <w:sz w:val="18"/>
                <w:szCs w:val="18"/>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6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20" w:type="dxa"/>
            <w:vAlign w:val="bottom"/>
            <w:tcBorders>
              <w:bottom w:val="single" w:sz="8" w:color="D2DCE5"/>
            </w:tcBorders>
          </w:tcPr>
          <w:p>
            <w:pPr>
              <w:spacing w:after="0"/>
              <w:rPr>
                <w:sz w:val="22"/>
                <w:szCs w:val="22"/>
                <w:color w:val="auto"/>
              </w:rPr>
            </w:pPr>
          </w:p>
        </w:tc>
        <w:tc>
          <w:tcPr>
            <w:tcW w:w="1800" w:type="dxa"/>
            <w:vAlign w:val="bottom"/>
            <w:tcBorders>
              <w:bottom w:val="single" w:sz="8" w:color="D7282F"/>
            </w:tcBorders>
          </w:tcPr>
          <w:p>
            <w:pPr>
              <w:jc w:val="right"/>
              <w:ind w:right="30"/>
              <w:spacing w:after="0"/>
              <w:rPr>
                <w:sz w:val="20"/>
                <w:szCs w:val="20"/>
                <w:color w:val="auto"/>
              </w:rPr>
            </w:pPr>
            <w:r>
              <w:rPr>
                <w:rFonts w:ascii="Arial" w:cs="Arial" w:eastAsia="Arial" w:hAnsi="Arial"/>
                <w:sz w:val="18"/>
                <w:szCs w:val="18"/>
                <w:b w:val="1"/>
                <w:bCs w:val="1"/>
                <w:color w:val="131E29"/>
              </w:rPr>
              <w:t>Based Stock Units</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2260" w:type="dxa"/>
            <w:vAlign w:val="bottom"/>
            <w:tcBorders>
              <w:bottom w:val="single" w:sz="8" w:color="D7282F"/>
            </w:tcBorders>
          </w:tcPr>
          <w:p>
            <w:pPr>
              <w:jc w:val="right"/>
              <w:ind w:right="70"/>
              <w:spacing w:after="0"/>
              <w:rPr>
                <w:sz w:val="20"/>
                <w:szCs w:val="20"/>
                <w:color w:val="auto"/>
              </w:rPr>
            </w:pPr>
            <w:r>
              <w:rPr>
                <w:rFonts w:ascii="Arial" w:cs="Arial" w:eastAsia="Arial" w:hAnsi="Arial"/>
                <w:sz w:val="18"/>
                <w:szCs w:val="18"/>
                <w:b w:val="1"/>
                <w:bCs w:val="1"/>
                <w:color w:val="131E29"/>
              </w:rPr>
              <w:t>date fair value per share</w:t>
            </w:r>
          </w:p>
        </w:tc>
      </w:tr>
      <w:tr>
        <w:trPr>
          <w:trHeight w:val="270"/>
        </w:trPr>
        <w:tc>
          <w:tcPr>
            <w:tcW w:w="69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2024</w:t>
            </w:r>
          </w:p>
        </w:tc>
        <w:tc>
          <w:tcPr>
            <w:tcW w:w="19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b w:val="1"/>
                <w:bCs w:val="1"/>
                <w:color w:val="131E29"/>
              </w:rPr>
              <w:t>—</w:t>
            </w: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w w:val="99"/>
              </w:rPr>
              <w:t>$</w:t>
            </w:r>
          </w:p>
        </w:tc>
        <w:tc>
          <w:tcPr>
            <w:tcW w:w="22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w:t>
            </w:r>
          </w:p>
        </w:tc>
      </w:tr>
      <w:tr>
        <w:trPr>
          <w:trHeight w:val="270"/>
        </w:trPr>
        <w:tc>
          <w:tcPr>
            <w:tcW w:w="6940" w:type="dxa"/>
            <w:vAlign w:val="bottom"/>
            <w:gridSpan w:val="2"/>
          </w:tcPr>
          <w:p>
            <w:pPr>
              <w:ind w:left="20"/>
              <w:spacing w:after="0"/>
              <w:rPr>
                <w:sz w:val="20"/>
                <w:szCs w:val="20"/>
                <w:color w:val="auto"/>
              </w:rPr>
            </w:pPr>
            <w:r>
              <w:rPr>
                <w:rFonts w:ascii="Arial" w:cs="Arial" w:eastAsia="Arial" w:hAnsi="Arial"/>
                <w:sz w:val="18"/>
                <w:szCs w:val="18"/>
                <w:color w:val="131E29"/>
              </w:rPr>
              <w:t>New grants</w:t>
            </w:r>
          </w:p>
        </w:tc>
        <w:tc>
          <w:tcPr>
            <w:tcW w:w="1800" w:type="dxa"/>
            <w:vAlign w:val="bottom"/>
          </w:tcPr>
          <w:p>
            <w:pPr>
              <w:jc w:val="right"/>
              <w:spacing w:after="0"/>
              <w:rPr>
                <w:sz w:val="20"/>
                <w:szCs w:val="20"/>
                <w:color w:val="auto"/>
              </w:rPr>
            </w:pPr>
            <w:r>
              <w:rPr>
                <w:rFonts w:ascii="Arial" w:cs="Arial" w:eastAsia="Arial" w:hAnsi="Arial"/>
                <w:sz w:val="18"/>
                <w:szCs w:val="18"/>
                <w:color w:val="006098"/>
              </w:rPr>
              <w:t>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006098"/>
              </w:rPr>
              <w:t>132.96</w:t>
            </w:r>
          </w:p>
        </w:tc>
      </w:tr>
      <w:tr>
        <w:trPr>
          <w:trHeight w:val="270"/>
        </w:trPr>
        <w:tc>
          <w:tcPr>
            <w:tcW w:w="69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Forfeitures</w:t>
            </w:r>
          </w:p>
        </w:tc>
        <w:tc>
          <w:tcPr>
            <w:tcW w:w="1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w:t>
            </w:r>
          </w:p>
        </w:tc>
        <w:tc>
          <w:tcPr>
            <w:tcW w:w="100" w:type="dxa"/>
            <w:vAlign w:val="bottom"/>
            <w:shd w:val="clear" w:color="auto" w:fill="D2DCE5"/>
          </w:tcPr>
          <w:p>
            <w:pPr>
              <w:spacing w:after="0"/>
              <w:rPr>
                <w:sz w:val="23"/>
                <w:szCs w:val="23"/>
                <w:color w:val="auto"/>
              </w:rPr>
            </w:pPr>
          </w:p>
        </w:tc>
        <w:tc>
          <w:tcPr>
            <w:tcW w:w="140" w:type="dxa"/>
            <w:vAlign w:val="bottom"/>
            <w:tcBorders>
              <w:bottom w:val="single" w:sz="8" w:color="auto"/>
            </w:tcBorders>
            <w:shd w:val="clear" w:color="auto" w:fill="D2DCE5"/>
          </w:tcPr>
          <w:p>
            <w:pPr>
              <w:spacing w:after="0"/>
              <w:rPr>
                <w:sz w:val="23"/>
                <w:szCs w:val="23"/>
                <w:color w:val="auto"/>
              </w:rPr>
            </w:pPr>
          </w:p>
        </w:tc>
        <w:tc>
          <w:tcPr>
            <w:tcW w:w="22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132.96</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b w:val="1"/>
                <w:bCs w:val="1"/>
                <w:color w:val="131E29"/>
              </w:rPr>
              <w:t>Balance, June 30, 2025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132.96</w:t>
            </w:r>
          </w:p>
        </w:tc>
      </w:tr>
      <w:tr>
        <w:trPr>
          <w:trHeight w:val="20"/>
        </w:trPr>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31E29"/>
        </w:rPr>
        <w:t>Total release date fair value of vested equity awards for the six months ended June 30, 2025 and 2024 are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380" w:type="dxa"/>
            <w:vAlign w:val="bottom"/>
            <w:tcBorders>
              <w:bottom w:val="single" w:sz="8" w:color="D7282F"/>
            </w:tcBorders>
          </w:tcPr>
          <w:p>
            <w:pPr>
              <w:spacing w:after="0"/>
              <w:rPr>
                <w:sz w:val="22"/>
                <w:szCs w:val="22"/>
                <w:color w:val="auto"/>
              </w:rPr>
            </w:pPr>
          </w:p>
        </w:tc>
        <w:tc>
          <w:tcPr>
            <w:tcW w:w="3040" w:type="dxa"/>
            <w:vAlign w:val="bottom"/>
            <w:tcBorders>
              <w:bottom w:val="single" w:sz="8" w:color="D7282F"/>
            </w:tcBorders>
            <w:gridSpan w:val="4"/>
          </w:tcPr>
          <w:p>
            <w:pPr>
              <w:ind w:left="180"/>
              <w:spacing w:after="0"/>
              <w:rPr>
                <w:sz w:val="20"/>
                <w:szCs w:val="20"/>
                <w:color w:val="auto"/>
              </w:rPr>
            </w:pPr>
            <w:r>
              <w:rPr>
                <w:rFonts w:ascii="Arial" w:cs="Arial" w:eastAsia="Arial" w:hAnsi="Arial"/>
                <w:sz w:val="18"/>
                <w:szCs w:val="18"/>
                <w:b w:val="1"/>
                <w:bCs w:val="1"/>
                <w:color w:val="131E29"/>
              </w:rPr>
              <w:t>Six Months Ended June 30,</w:t>
            </w:r>
          </w:p>
        </w:tc>
        <w:tc>
          <w:tcPr>
            <w:tcW w:w="420" w:type="dxa"/>
            <w:vAlign w:val="bottom"/>
            <w:tcBorders>
              <w:bottom w:val="single" w:sz="8" w:color="D7282F"/>
            </w:tcBorders>
          </w:tcPr>
          <w:p>
            <w:pPr>
              <w:spacing w:after="0"/>
              <w:rPr>
                <w:sz w:val="22"/>
                <w:szCs w:val="22"/>
                <w:color w:val="auto"/>
              </w:rPr>
            </w:pPr>
          </w:p>
        </w:tc>
        <w:tc>
          <w:tcPr>
            <w:tcW w:w="1260" w:type="dxa"/>
            <w:vAlign w:val="bottom"/>
            <w:tcBorders>
              <w:bottom w:val="single" w:sz="8" w:color="D7282F"/>
            </w:tcBorders>
          </w:tcPr>
          <w:p>
            <w:pPr>
              <w:spacing w:after="0"/>
              <w:rPr>
                <w:sz w:val="22"/>
                <w:szCs w:val="22"/>
                <w:color w:val="auto"/>
              </w:rPr>
            </w:pPr>
          </w:p>
        </w:tc>
      </w:tr>
      <w:tr>
        <w:trPr>
          <w:trHeight w:val="263"/>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00" w:type="dxa"/>
            <w:vAlign w:val="bottom"/>
          </w:tcPr>
          <w:p>
            <w:pPr>
              <w:spacing w:after="0"/>
              <w:rPr>
                <w:sz w:val="22"/>
                <w:szCs w:val="22"/>
                <w:color w:val="auto"/>
              </w:rPr>
            </w:pPr>
          </w:p>
        </w:tc>
        <w:tc>
          <w:tcPr>
            <w:tcW w:w="2040" w:type="dxa"/>
            <w:vAlign w:val="bottom"/>
            <w:tcBorders>
              <w:bottom w:val="single" w:sz="8" w:color="D7282F"/>
            </w:tcBorders>
            <w:gridSpan w:val="3"/>
          </w:tcPr>
          <w:p>
            <w:pPr>
              <w:jc w:val="right"/>
              <w:ind w:right="90"/>
              <w:spacing w:after="0"/>
              <w:rPr>
                <w:sz w:val="20"/>
                <w:szCs w:val="20"/>
                <w:color w:val="auto"/>
              </w:rPr>
            </w:pPr>
            <w:r>
              <w:rPr>
                <w:rFonts w:ascii="Arial" w:cs="Arial" w:eastAsia="Arial" w:hAnsi="Arial"/>
                <w:sz w:val="18"/>
                <w:szCs w:val="18"/>
                <w:b w:val="1"/>
                <w:bCs w:val="1"/>
                <w:color w:val="131E29"/>
              </w:rPr>
              <w:t>2025</w:t>
            </w:r>
          </w:p>
        </w:tc>
        <w:tc>
          <w:tcPr>
            <w:tcW w:w="130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Borders>
              <w:bottom w:val="single" w:sz="8" w:color="D7282F"/>
            </w:tcBorders>
            <w:gridSpan w:val="3"/>
          </w:tcPr>
          <w:p>
            <w:pPr>
              <w:jc w:val="right"/>
              <w:ind w:right="110"/>
              <w:spacing w:after="0"/>
              <w:rPr>
                <w:sz w:val="20"/>
                <w:szCs w:val="20"/>
                <w:color w:val="auto"/>
              </w:rPr>
            </w:pPr>
            <w:r>
              <w:rPr>
                <w:rFonts w:ascii="Arial" w:cs="Arial" w:eastAsia="Arial" w:hAnsi="Arial"/>
                <w:sz w:val="18"/>
                <w:szCs w:val="18"/>
                <w:b w:val="1"/>
                <w:bCs w:val="1"/>
                <w:color w:val="131E29"/>
              </w:rPr>
              <w:t>2024</w:t>
            </w:r>
          </w:p>
        </w:tc>
        <w:tc>
          <w:tcPr>
            <w:tcW w:w="1260" w:type="dxa"/>
            <w:vAlign w:val="bottom"/>
            <w:tcBorders>
              <w:bottom w:val="single" w:sz="8" w:color="D7282F"/>
            </w:tcBorders>
          </w:tcPr>
          <w:p>
            <w:pPr>
              <w:spacing w:after="0"/>
              <w:rPr>
                <w:sz w:val="22"/>
                <w:szCs w:val="22"/>
                <w:color w:val="auto"/>
              </w:rPr>
            </w:pPr>
          </w:p>
        </w:tc>
      </w:tr>
      <w:tr>
        <w:trPr>
          <w:trHeight w:val="224"/>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131E29"/>
              </w:rPr>
              <w:t>WA vest date fair</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131E29"/>
              </w:rPr>
              <w:t>WA vest date fair</w:t>
            </w:r>
          </w:p>
        </w:tc>
      </w:tr>
      <w:tr>
        <w:trPr>
          <w:trHeight w:val="255"/>
        </w:trPr>
        <w:tc>
          <w:tcPr>
            <w:tcW w:w="4380" w:type="dxa"/>
            <w:vAlign w:val="bottom"/>
            <w:tcBorders>
              <w:bottom w:val="single" w:sz="8" w:color="D2DCE5"/>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130"/>
              <w:spacing w:after="0"/>
              <w:rPr>
                <w:sz w:val="20"/>
                <w:szCs w:val="20"/>
                <w:color w:val="auto"/>
              </w:rPr>
            </w:pPr>
            <w:r>
              <w:rPr>
                <w:rFonts w:ascii="Arial" w:cs="Arial" w:eastAsia="Arial" w:hAnsi="Arial"/>
                <w:sz w:val="18"/>
                <w:szCs w:val="18"/>
                <w:b w:val="1"/>
                <w:bCs w:val="1"/>
                <w:color w:val="131E29"/>
              </w:rPr>
              <w:t>Awards/units</w:t>
            </w:r>
          </w:p>
        </w:tc>
        <w:tc>
          <w:tcPr>
            <w:tcW w:w="100" w:type="dxa"/>
            <w:vAlign w:val="bottom"/>
            <w:tcBorders>
              <w:bottom w:val="single" w:sz="8" w:color="D2DCE5"/>
            </w:tcBorders>
          </w:tcPr>
          <w:p>
            <w:pPr>
              <w:spacing w:after="0"/>
              <w:rPr>
                <w:sz w:val="22"/>
                <w:szCs w:val="22"/>
                <w:color w:val="auto"/>
              </w:rPr>
            </w:pPr>
          </w:p>
        </w:tc>
        <w:tc>
          <w:tcPr>
            <w:tcW w:w="38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530"/>
              <w:spacing w:after="0"/>
              <w:rPr>
                <w:sz w:val="20"/>
                <w:szCs w:val="20"/>
                <w:color w:val="auto"/>
              </w:rPr>
            </w:pPr>
            <w:r>
              <w:rPr>
                <w:rFonts w:ascii="Arial" w:cs="Arial" w:eastAsia="Arial" w:hAnsi="Arial"/>
                <w:sz w:val="18"/>
                <w:szCs w:val="18"/>
                <w:b w:val="1"/>
                <w:bCs w:val="1"/>
                <w:color w:val="131E29"/>
              </w:rPr>
              <w:t>value</w:t>
            </w:r>
          </w:p>
        </w:tc>
        <w:tc>
          <w:tcPr>
            <w:tcW w:w="80" w:type="dxa"/>
            <w:vAlign w:val="bottom"/>
            <w:tcBorders>
              <w:bottom w:val="single" w:sz="8" w:color="D2DCE5"/>
            </w:tcBorders>
          </w:tcPr>
          <w:p>
            <w:pPr>
              <w:spacing w:after="0"/>
              <w:rPr>
                <w:sz w:val="22"/>
                <w:szCs w:val="22"/>
                <w:color w:val="auto"/>
              </w:rPr>
            </w:pPr>
          </w:p>
        </w:tc>
        <w:tc>
          <w:tcPr>
            <w:tcW w:w="1580" w:type="dxa"/>
            <w:vAlign w:val="bottom"/>
            <w:tcBorders>
              <w:bottom w:val="single" w:sz="8" w:color="D7282F"/>
            </w:tcBorders>
          </w:tcPr>
          <w:p>
            <w:pPr>
              <w:jc w:val="right"/>
              <w:ind w:right="130"/>
              <w:spacing w:after="0"/>
              <w:rPr>
                <w:sz w:val="20"/>
                <w:szCs w:val="20"/>
                <w:color w:val="auto"/>
              </w:rPr>
            </w:pPr>
            <w:r>
              <w:rPr>
                <w:rFonts w:ascii="Arial" w:cs="Arial" w:eastAsia="Arial" w:hAnsi="Arial"/>
                <w:sz w:val="18"/>
                <w:szCs w:val="18"/>
                <w:b w:val="1"/>
                <w:bCs w:val="1"/>
                <w:color w:val="131E29"/>
              </w:rPr>
              <w:t>Awards/units</w:t>
            </w:r>
          </w:p>
        </w:tc>
        <w:tc>
          <w:tcPr>
            <w:tcW w:w="8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26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value</w:t>
            </w:r>
          </w:p>
        </w:tc>
      </w:tr>
      <w:tr>
        <w:trPr>
          <w:trHeight w:val="270"/>
        </w:trPr>
        <w:tc>
          <w:tcPr>
            <w:tcW w:w="44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RSAs</w:t>
            </w:r>
          </w:p>
        </w:tc>
        <w:tc>
          <w:tcPr>
            <w:tcW w:w="2040" w:type="dxa"/>
            <w:vAlign w:val="bottom"/>
            <w:gridSpan w:val="3"/>
            <w:shd w:val="clear" w:color="auto" w:fill="D2DCE5"/>
          </w:tcPr>
          <w:p>
            <w:pPr>
              <w:jc w:val="right"/>
              <w:ind w:right="170"/>
              <w:spacing w:after="0"/>
              <w:rPr>
                <w:sz w:val="20"/>
                <w:szCs w:val="20"/>
                <w:color w:val="auto"/>
              </w:rPr>
            </w:pPr>
            <w:r>
              <w:rPr>
                <w:rFonts w:ascii="Arial" w:cs="Arial" w:eastAsia="Arial" w:hAnsi="Arial"/>
                <w:sz w:val="18"/>
                <w:szCs w:val="18"/>
                <w:color w:val="006098"/>
              </w:rPr>
              <w:t>—  $</w:t>
            </w:r>
          </w:p>
        </w:tc>
        <w:tc>
          <w:tcPr>
            <w:tcW w:w="138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006098"/>
              </w:rPr>
              <w:t>—</w:t>
            </w:r>
          </w:p>
        </w:tc>
        <w:tc>
          <w:tcPr>
            <w:tcW w:w="15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39,752</w:t>
            </w:r>
          </w:p>
        </w:tc>
        <w:tc>
          <w:tcPr>
            <w:tcW w:w="80" w:type="dxa"/>
            <w:vAlign w:val="bottom"/>
            <w:shd w:val="clear" w:color="auto" w:fill="D2DCE5"/>
          </w:tcPr>
          <w:p>
            <w:pPr>
              <w:spacing w:after="0"/>
              <w:rPr>
                <w:sz w:val="23"/>
                <w:szCs w:val="23"/>
                <w:color w:val="auto"/>
              </w:rPr>
            </w:pPr>
          </w:p>
        </w:tc>
        <w:tc>
          <w:tcPr>
            <w:tcW w:w="42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w w:val="99"/>
              </w:rPr>
              <w:t>$</w:t>
            </w:r>
          </w:p>
        </w:tc>
        <w:tc>
          <w:tcPr>
            <w:tcW w:w="12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30.99</w:t>
            </w:r>
          </w:p>
        </w:tc>
      </w:tr>
      <w:tr>
        <w:trPr>
          <w:trHeight w:val="274"/>
        </w:trPr>
        <w:tc>
          <w:tcPr>
            <w:tcW w:w="4480" w:type="dxa"/>
            <w:vAlign w:val="bottom"/>
            <w:gridSpan w:val="2"/>
          </w:tcPr>
          <w:p>
            <w:pPr>
              <w:ind w:left="20"/>
              <w:spacing w:after="0"/>
              <w:rPr>
                <w:sz w:val="20"/>
                <w:szCs w:val="20"/>
                <w:color w:val="auto"/>
              </w:rPr>
            </w:pPr>
            <w:r>
              <w:rPr>
                <w:rFonts w:ascii="Arial" w:cs="Arial" w:eastAsia="Arial" w:hAnsi="Arial"/>
                <w:sz w:val="18"/>
                <w:szCs w:val="18"/>
                <w:color w:val="131E29"/>
              </w:rPr>
              <w:t>RSUs</w:t>
            </w:r>
          </w:p>
        </w:tc>
        <w:tc>
          <w:tcPr>
            <w:tcW w:w="1560" w:type="dxa"/>
            <w:vAlign w:val="bottom"/>
          </w:tcPr>
          <w:p>
            <w:pPr>
              <w:jc w:val="right"/>
              <w:spacing w:after="0"/>
              <w:rPr>
                <w:sz w:val="20"/>
                <w:szCs w:val="20"/>
                <w:color w:val="auto"/>
              </w:rPr>
            </w:pPr>
            <w:r>
              <w:rPr>
                <w:rFonts w:ascii="Arial" w:cs="Arial" w:eastAsia="Arial" w:hAnsi="Arial"/>
                <w:sz w:val="18"/>
                <w:szCs w:val="18"/>
                <w:color w:val="006098"/>
              </w:rPr>
              <w:t>34,823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78.86</w:t>
            </w:r>
          </w:p>
        </w:tc>
        <w:tc>
          <w:tcPr>
            <w:tcW w:w="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2,916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31E29"/>
              </w:rPr>
              <w:t>30.90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Equity-Based Compensation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Equity-based compensation expense is recognized on a straight-line basis and is included in our condensed consolidated statements of operations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006098"/>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575</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270</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975</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364</w:t>
            </w:r>
          </w:p>
        </w:tc>
      </w:tr>
      <w:tr>
        <w:trPr>
          <w:trHeight w:val="270"/>
        </w:trPr>
        <w:tc>
          <w:tcPr>
            <w:tcW w:w="566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4,096</w:t>
            </w:r>
          </w:p>
        </w:tc>
        <w:tc>
          <w:tcPr>
            <w:tcW w:w="100" w:type="dxa"/>
            <w:vAlign w:val="bottom"/>
            <w:tcBorders>
              <w:bottom w:val="single" w:sz="8" w:color="D2DCE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3,056</w:t>
            </w:r>
          </w:p>
        </w:tc>
        <w:tc>
          <w:tcPr>
            <w:tcW w:w="100" w:type="dxa"/>
            <w:vAlign w:val="bottom"/>
            <w:tcBorders>
              <w:bottom w:val="single" w:sz="8" w:color="D2DC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7,890</w:t>
            </w:r>
          </w:p>
        </w:tc>
        <w:tc>
          <w:tcPr>
            <w:tcW w:w="100" w:type="dxa"/>
            <w:vAlign w:val="bottom"/>
            <w:tcBorders>
              <w:bottom w:val="single" w:sz="8" w:color="D2DCE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4,895</w:t>
            </w:r>
          </w:p>
        </w:tc>
      </w:tr>
      <w:tr>
        <w:trPr>
          <w:trHeight w:val="288"/>
        </w:trPr>
        <w:tc>
          <w:tcPr>
            <w:tcW w:w="5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stock-based compensation expense</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4,671</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3,326</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8,865</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5,259</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of June 30, 2025, total unrecognized stock-based compensation related to unvested RSUs and PSUs was $39.4 million, which will be recognized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956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40" w:type="dxa"/>
            <w:vAlign w:val="bottom"/>
            <w:tcBorders>
              <w:bottom w:val="single" w:sz="8" w:color="D7282F"/>
            </w:tcBorders>
          </w:tcPr>
          <w:p>
            <w:pPr>
              <w:spacing w:after="0" w:line="20" w:lineRule="exact"/>
              <w:rPr>
                <w:sz w:val="1"/>
                <w:szCs w:val="1"/>
                <w:color w:val="auto"/>
              </w:rPr>
            </w:pPr>
          </w:p>
        </w:tc>
        <w:tc>
          <w:tcPr>
            <w:tcW w:w="1040" w:type="dxa"/>
            <w:vAlign w:val="bottom"/>
            <w:tcBorders>
              <w:bottom w:val="single" w:sz="8" w:color="D7282F"/>
            </w:tcBorders>
          </w:tcPr>
          <w:p>
            <w:pPr>
              <w:spacing w:after="0" w:line="20" w:lineRule="exact"/>
              <w:rPr>
                <w:sz w:val="1"/>
                <w:szCs w:val="1"/>
                <w:color w:val="auto"/>
              </w:rPr>
            </w:pPr>
          </w:p>
        </w:tc>
      </w:tr>
      <w:tr>
        <w:trPr>
          <w:trHeight w:val="243"/>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2025</w:t>
            </w:r>
          </w:p>
        </w:tc>
        <w:tc>
          <w:tcPr>
            <w:tcW w:w="54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006098"/>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10,032</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6098"/>
              </w:rPr>
              <w:t>16,668</w:t>
            </w:r>
          </w:p>
        </w:tc>
      </w:tr>
      <w:tr>
        <w:trPr>
          <w:trHeight w:val="23"/>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10,688</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6098"/>
              </w:rPr>
              <w:t>1,995</w:t>
            </w:r>
          </w:p>
        </w:tc>
      </w:tr>
      <w:tr>
        <w:trPr>
          <w:trHeight w:val="23"/>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2029</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w:t>
            </w:r>
          </w:p>
        </w:tc>
      </w:tr>
      <w:tr>
        <w:trPr>
          <w:trHeight w:val="247"/>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6098"/>
              </w:rPr>
              <w:t>—</w:t>
            </w:r>
          </w:p>
        </w:tc>
      </w:tr>
      <w:tr>
        <w:trPr>
          <w:trHeight w:val="23"/>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unrecognized stock-based compensation</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b w:val="1"/>
                <w:bCs w:val="1"/>
                <w:color w:val="006098"/>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39,383</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13 — Non-Controlling Interests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gridSpan w:val="2"/>
          </w:tcPr>
          <w:p>
            <w:pPr>
              <w:spacing w:after="0"/>
              <w:rPr>
                <w:sz w:val="20"/>
                <w:szCs w:val="20"/>
                <w:color w:val="auto"/>
              </w:rPr>
            </w:pPr>
            <w:r>
              <w:rPr>
                <w:rFonts w:ascii="Arial" w:cs="Arial" w:eastAsia="Arial" w:hAnsi="Arial"/>
                <w:sz w:val="18"/>
                <w:szCs w:val="18"/>
                <w:color w:val="131E29"/>
              </w:rPr>
              <w:t>The following table summarizes the ownership interest in Dutch Bros OpCo¹:</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4"/>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D7282F"/>
            </w:tcBorders>
            <w:gridSpan w:val="3"/>
          </w:tcPr>
          <w:p>
            <w:pPr>
              <w:jc w:val="right"/>
              <w:ind w:right="1050"/>
              <w:spacing w:after="0"/>
              <w:rPr>
                <w:sz w:val="20"/>
                <w:szCs w:val="20"/>
                <w:color w:val="auto"/>
              </w:rPr>
            </w:pPr>
            <w:r>
              <w:rPr>
                <w:rFonts w:ascii="Arial" w:cs="Arial" w:eastAsia="Arial" w:hAnsi="Arial"/>
                <w:sz w:val="18"/>
                <w:szCs w:val="18"/>
                <w:b w:val="1"/>
                <w:bCs w:val="1"/>
                <w:color w:val="131E29"/>
              </w:rPr>
              <w:t>June 30, 2025</w:t>
            </w:r>
          </w:p>
        </w:tc>
      </w:tr>
      <w:tr>
        <w:trPr>
          <w:trHeight w:val="264"/>
        </w:trPr>
        <w:tc>
          <w:tcPr>
            <w:tcW w:w="7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(units in thousands)</w:t>
            </w:r>
          </w:p>
        </w:tc>
        <w:tc>
          <w:tcPr>
            <w:tcW w:w="100" w:type="dxa"/>
            <w:vAlign w:val="bottom"/>
            <w:tcBorders>
              <w:bottom w:val="single" w:sz="8" w:color="D2DCE5"/>
            </w:tcBorders>
          </w:tcPr>
          <w:p>
            <w:pPr>
              <w:spacing w:after="0"/>
              <w:rPr>
                <w:sz w:val="22"/>
                <w:szCs w:val="22"/>
                <w:color w:val="auto"/>
              </w:rPr>
            </w:pPr>
          </w:p>
        </w:tc>
        <w:tc>
          <w:tcPr>
            <w:tcW w:w="15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OpCo Units</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Ownership %</w:t>
            </w:r>
          </w:p>
        </w:tc>
      </w:tr>
      <w:tr>
        <w:trPr>
          <w:trHeight w:val="270"/>
        </w:trPr>
        <w:tc>
          <w:tcPr>
            <w:tcW w:w="77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Dutch Bros OpCo Class A common units held by Dutch Bros Inc.</w:t>
            </w:r>
          </w:p>
        </w:tc>
        <w:tc>
          <w:tcPr>
            <w:tcW w:w="15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126,932</w:t>
            </w:r>
          </w:p>
        </w:tc>
        <w:tc>
          <w:tcPr>
            <w:tcW w:w="100" w:type="dxa"/>
            <w:vAlign w:val="bottom"/>
            <w:shd w:val="clear" w:color="auto" w:fill="D2DCE5"/>
          </w:tcPr>
          <w:p>
            <w:pPr>
              <w:spacing w:after="0"/>
              <w:rPr>
                <w:sz w:val="23"/>
                <w:szCs w:val="23"/>
                <w:color w:val="auto"/>
              </w:rPr>
            </w:pPr>
          </w:p>
        </w:tc>
        <w:tc>
          <w:tcPr>
            <w:tcW w:w="18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71.5 %</w:t>
            </w:r>
          </w:p>
        </w:tc>
      </w:tr>
      <w:tr>
        <w:trPr>
          <w:trHeight w:val="270"/>
        </w:trPr>
        <w:tc>
          <w:tcPr>
            <w:tcW w:w="77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Dutch Bros OpCo Class A common units held by non-controlling interest holders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50,548</w:t>
            </w:r>
          </w:p>
        </w:tc>
        <w:tc>
          <w:tcPr>
            <w:tcW w:w="100" w:type="dxa"/>
            <w:vAlign w:val="bottom"/>
            <w:tcBorders>
              <w:bottom w:val="single" w:sz="8" w:color="D2DCE5"/>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28.5 %</w:t>
            </w:r>
          </w:p>
        </w:tc>
      </w:tr>
      <w:tr>
        <w:trPr>
          <w:trHeight w:val="248"/>
        </w:trPr>
        <w:tc>
          <w:tcPr>
            <w:tcW w:w="77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Dutch Bros OpCo Class A common units outstanding</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177,480</w:t>
            </w:r>
          </w:p>
        </w:tc>
        <w:tc>
          <w:tcPr>
            <w:tcW w:w="100" w:type="dxa"/>
            <w:vAlign w:val="bottom"/>
            <w:tcBorders>
              <w:bottom w:val="single" w:sz="8" w:color="D2DCE5"/>
            </w:tcBorders>
            <w:shd w:val="clear" w:color="auto" w:fill="D2DCE5"/>
          </w:tcPr>
          <w:p>
            <w:pPr>
              <w:spacing w:after="0"/>
              <w:rPr>
                <w:sz w:val="21"/>
                <w:szCs w:val="21"/>
                <w:color w:val="auto"/>
              </w:rPr>
            </w:pPr>
          </w:p>
        </w:tc>
        <w:tc>
          <w:tcPr>
            <w:tcW w:w="1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100.0 %</w:t>
            </w:r>
          </w:p>
        </w:tc>
      </w:tr>
      <w:tr>
        <w:trPr>
          <w:trHeight w:val="20"/>
        </w:trPr>
        <w:tc>
          <w:tcPr>
            <w:tcW w:w="76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20" w:type="dxa"/>
            <w:vAlign w:val="bottom"/>
            <w:tcBorders>
              <w:top w:val="single" w:sz="8" w:color="D2DCE5"/>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44" w:lineRule="exact"/>
        <w:rPr>
          <w:sz w:val="20"/>
          <w:szCs w:val="20"/>
          <w:color w:val="auto"/>
        </w:rPr>
      </w:pPr>
    </w:p>
    <w:p>
      <w:pPr>
        <w:ind w:left="80" w:hanging="72"/>
        <w:spacing w:after="0"/>
        <w:tabs>
          <w:tab w:leader="none" w:pos="80" w:val="left"/>
        </w:tabs>
        <w:numPr>
          <w:ilvl w:val="0"/>
          <w:numId w:val="9"/>
        </w:numPr>
        <w:rPr>
          <w:rFonts w:ascii="Arial" w:cs="Arial" w:eastAsia="Arial" w:hAnsi="Arial"/>
          <w:sz w:val="19"/>
          <w:szCs w:val="19"/>
          <w:color w:val="131E29"/>
          <w:vertAlign w:val="superscript"/>
        </w:rPr>
      </w:pPr>
      <w:r>
        <w:rPr>
          <w:rFonts w:ascii="Arial" w:cs="Arial" w:eastAsia="Arial" w:hAnsi="Arial"/>
          <w:sz w:val="14"/>
          <w:szCs w:val="14"/>
          <w:color w:val="131E29"/>
        </w:rPr>
        <w:t>Dutch Bros OpCo effected a recapitalization on February 7, 2025. For additional information, refer to NOTE 1 — Organization and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effect of changes in ownership of Dutch Bros OpCo on our equity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5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b w:val="1"/>
                <w:bCs w:val="1"/>
                <w:color w:val="006098"/>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25,624</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11,940</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40,977</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7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19,002</w:t>
            </w:r>
          </w:p>
        </w:tc>
        <w:tc>
          <w:tcPr>
            <w:tcW w:w="0" w:type="dxa"/>
            <w:vAlign w:val="bottom"/>
          </w:tcPr>
          <w:p>
            <w:pPr>
              <w:spacing w:after="0"/>
              <w:rPr>
                <w:sz w:val="1"/>
                <w:szCs w:val="1"/>
                <w:color w:val="auto"/>
              </w:rPr>
            </w:pPr>
          </w:p>
        </w:tc>
      </w:tr>
      <w:tr>
        <w:trPr>
          <w:trHeight w:val="247"/>
        </w:trPr>
        <w:tc>
          <w:tcPr>
            <w:tcW w:w="568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 (loss):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(loss) on derivative securities, effective portion, net</w:t>
            </w: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of income tax impacts</w:t>
            </w: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(154)</w:t>
            </w: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147</w:t>
            </w: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(344)</w:t>
            </w: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528</w:t>
            </w:r>
          </w:p>
        </w:tc>
        <w:tc>
          <w:tcPr>
            <w:tcW w:w="0" w:type="dxa"/>
            <w:vAlign w:val="bottom"/>
          </w:tcPr>
          <w:p>
            <w:pPr>
              <w:spacing w:after="0"/>
              <w:rPr>
                <w:sz w:val="1"/>
                <w:szCs w:val="1"/>
                <w:color w:val="auto"/>
              </w:rPr>
            </w:pPr>
          </w:p>
        </w:tc>
      </w:tr>
      <w:tr>
        <w:trPr>
          <w:trHeight w:val="247"/>
        </w:trPr>
        <w:tc>
          <w:tcPr>
            <w:tcW w:w="5680" w:type="dxa"/>
            <w:vAlign w:val="bottom"/>
            <w:gridSpan w:val="2"/>
          </w:tcPr>
          <w:p>
            <w:pPr>
              <w:ind w:left="20"/>
              <w:spacing w:after="0"/>
              <w:rPr>
                <w:sz w:val="20"/>
                <w:szCs w:val="20"/>
                <w:color w:val="auto"/>
              </w:rPr>
            </w:pPr>
            <w:r>
              <w:rPr>
                <w:rFonts w:ascii="Arial" w:cs="Arial" w:eastAsia="Arial" w:hAnsi="Arial"/>
                <w:sz w:val="18"/>
                <w:szCs w:val="18"/>
                <w:color w:val="131E29"/>
              </w:rPr>
              <w:t>Transfers from (to) non-controlling interests: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Increase in additional paid-in capital as a result of equity-based</w:t>
            </w: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compensation</w:t>
            </w: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3,341</w:t>
            </w: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1,973</w:t>
            </w: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6,241</w:t>
            </w:r>
          </w:p>
        </w:tc>
        <w:tc>
          <w:tcPr>
            <w:tcW w:w="10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2,964</w:t>
            </w:r>
          </w:p>
        </w:tc>
        <w:tc>
          <w:tcPr>
            <w:tcW w:w="0" w:type="dxa"/>
            <w:vAlign w:val="bottom"/>
          </w:tcPr>
          <w:p>
            <w:pPr>
              <w:spacing w:after="0"/>
              <w:rPr>
                <w:sz w:val="1"/>
                <w:szCs w:val="1"/>
                <w:color w:val="auto"/>
              </w:rPr>
            </w:pPr>
          </w:p>
        </w:tc>
      </w:tr>
      <w:tr>
        <w:trPr>
          <w:trHeight w:val="224"/>
        </w:trPr>
        <w:tc>
          <w:tcPr>
            <w:tcW w:w="5680" w:type="dxa"/>
            <w:vAlign w:val="bottom"/>
            <w:gridSpan w:val="2"/>
          </w:tcPr>
          <w:p>
            <w:pPr>
              <w:ind w:left="180"/>
              <w:spacing w:after="0"/>
              <w:rPr>
                <w:sz w:val="20"/>
                <w:szCs w:val="20"/>
                <w:color w:val="auto"/>
              </w:rPr>
            </w:pPr>
            <w:r>
              <w:rPr>
                <w:rFonts w:ascii="Arial" w:cs="Arial" w:eastAsia="Arial" w:hAnsi="Arial"/>
                <w:sz w:val="18"/>
                <w:szCs w:val="18"/>
                <w:color w:val="131E29"/>
              </w:rPr>
              <w:t>Increase (decrease) in additional paid-in capital as a result of</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180"/>
              <w:spacing w:after="0"/>
              <w:rPr>
                <w:sz w:val="20"/>
                <w:szCs w:val="20"/>
                <w:color w:val="auto"/>
              </w:rPr>
            </w:pPr>
            <w:r>
              <w:rPr>
                <w:rFonts w:ascii="Arial" w:cs="Arial" w:eastAsia="Arial" w:hAnsi="Arial"/>
                <w:sz w:val="18"/>
                <w:szCs w:val="18"/>
                <w:color w:val="131E29"/>
              </w:rPr>
              <w:t>common stock issuances pursuant to vesting of equity awards, net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680" w:type="dxa"/>
            <w:vAlign w:val="bottom"/>
            <w:gridSpan w:val="2"/>
          </w:tcPr>
          <w:p>
            <w:pPr>
              <w:ind w:left="180"/>
              <w:spacing w:after="0"/>
              <w:rPr>
                <w:sz w:val="20"/>
                <w:szCs w:val="20"/>
                <w:color w:val="auto"/>
              </w:rPr>
            </w:pPr>
            <w:r>
              <w:rPr>
                <w:rFonts w:ascii="Arial" w:cs="Arial" w:eastAsia="Arial" w:hAnsi="Arial"/>
                <w:sz w:val="18"/>
                <w:szCs w:val="18"/>
                <w:color w:val="131E29"/>
              </w:rPr>
              <w:t>of stock withheld for tax</w:t>
            </w:r>
          </w:p>
        </w:tc>
        <w:tc>
          <w:tcPr>
            <w:tcW w:w="2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2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(7,771)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1,867</w:t>
            </w:r>
          </w:p>
        </w:tc>
        <w:tc>
          <w:tcPr>
            <w:tcW w:w="0" w:type="dxa"/>
            <w:vAlign w:val="bottom"/>
          </w:tcPr>
          <w:p>
            <w:pPr>
              <w:spacing w:after="0"/>
              <w:rPr>
                <w:sz w:val="1"/>
                <w:szCs w:val="1"/>
                <w:color w:val="auto"/>
              </w:rPr>
            </w:pPr>
          </w:p>
        </w:tc>
      </w:tr>
      <w:tr>
        <w:trPr>
          <w:trHeight w:val="224"/>
        </w:trPr>
        <w:tc>
          <w:tcPr>
            <w:tcW w:w="56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Increase in additional paid-in capital as a result of the acquisition of</w:t>
            </w: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Dutch Bros OpCo Class A common units</w:t>
            </w: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6,592</w:t>
            </w:r>
          </w:p>
        </w:tc>
        <w:tc>
          <w:tcPr>
            <w:tcW w:w="100" w:type="dxa"/>
            <w:vAlign w:val="bottom"/>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69,708</w:t>
            </w:r>
          </w:p>
        </w:tc>
        <w:tc>
          <w:tcPr>
            <w:tcW w:w="100" w:type="dxa"/>
            <w:vAlign w:val="bottom"/>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40,859</w:t>
            </w:r>
          </w:p>
        </w:tc>
        <w:tc>
          <w:tcPr>
            <w:tcW w:w="100" w:type="dxa"/>
            <w:vAlign w:val="bottom"/>
            <w:shd w:val="clear" w:color="auto" w:fill="D2DCE5"/>
          </w:tcPr>
          <w:p>
            <w:pPr>
              <w:spacing w:after="0"/>
              <w:rPr>
                <w:sz w:val="22"/>
                <w:szCs w:val="22"/>
                <w:color w:val="auto"/>
              </w:rPr>
            </w:pPr>
          </w:p>
        </w:tc>
        <w:tc>
          <w:tcPr>
            <w:tcW w:w="28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110,085</w:t>
            </w:r>
          </w:p>
        </w:tc>
        <w:tc>
          <w:tcPr>
            <w:tcW w:w="0" w:type="dxa"/>
            <w:vAlign w:val="bottom"/>
          </w:tcPr>
          <w:p>
            <w:pPr>
              <w:spacing w:after="0"/>
              <w:rPr>
                <w:sz w:val="1"/>
                <w:szCs w:val="1"/>
                <w:color w:val="auto"/>
              </w:rPr>
            </w:pPr>
          </w:p>
        </w:tc>
      </w:tr>
      <w:tr>
        <w:trPr>
          <w:trHeight w:val="204"/>
        </w:trPr>
        <w:tc>
          <w:tcPr>
            <w:tcW w:w="568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131E29"/>
              </w:rPr>
              <w:t>Total effect of changes in ownership interest on equity</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131E29"/>
              </w:rPr>
              <w:t>83,768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131E29"/>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131E29"/>
              </w:rPr>
              <w:t>134,446</w:t>
            </w:r>
          </w:p>
        </w:tc>
        <w:tc>
          <w:tcPr>
            <w:tcW w:w="0" w:type="dxa"/>
            <w:vAlign w:val="bottom"/>
          </w:tcPr>
          <w:p>
            <w:pPr>
              <w:spacing w:after="0"/>
              <w:rPr>
                <w:sz w:val="1"/>
                <w:szCs w:val="1"/>
                <w:color w:val="auto"/>
              </w:rPr>
            </w:pPr>
          </w:p>
        </w:tc>
      </w:tr>
      <w:tr>
        <w:trPr>
          <w:trHeight w:val="235"/>
        </w:trPr>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131E29"/>
              </w:rPr>
              <w:t>attributable to Dutch Bros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006098"/>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35,403</w:t>
            </w: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79,962</w:t>
            </w: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gridSpan w:val="4"/>
          </w:tcPr>
          <w:p>
            <w:pPr>
              <w:ind w:left="180"/>
              <w:spacing w:after="0"/>
              <w:rPr>
                <w:sz w:val="20"/>
                <w:szCs w:val="20"/>
                <w:color w:val="auto"/>
              </w:rPr>
            </w:pPr>
            <w:r>
              <w:rPr>
                <w:rFonts w:ascii="Arial" w:cs="Arial" w:eastAsia="Arial" w:hAnsi="Arial"/>
                <w:sz w:val="18"/>
                <w:szCs w:val="18"/>
                <w:b w:val="1"/>
                <w:bCs w:val="1"/>
                <w:color w:val="131E29"/>
              </w:rPr>
              <w:t>Three Months Ended June 30,</w:t>
            </w:r>
          </w:p>
        </w:tc>
        <w:tc>
          <w:tcPr>
            <w:tcW w:w="29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20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400" w:type="dxa"/>
            <w:vAlign w:val="bottom"/>
            <w:tcBorders>
              <w:top w:val="single" w:sz="8" w:color="D7282F"/>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142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400" w:type="dxa"/>
            <w:vAlign w:val="bottom"/>
            <w:tcBorders>
              <w:top w:val="single" w:sz="8" w:color="D7282F"/>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1420" w:type="dxa"/>
            <w:vAlign w:val="bottom"/>
            <w:tcBorders>
              <w:top w:val="single" w:sz="8" w:color="D7282F"/>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2024</w:t>
            </w:r>
          </w:p>
        </w:tc>
      </w:tr>
      <w:tr>
        <w:trPr>
          <w:trHeight w:val="224"/>
        </w:trPr>
        <w:tc>
          <w:tcPr>
            <w:tcW w:w="53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Weighted-average ownership percentage of non-controlling</w:t>
            </w:r>
          </w:p>
        </w:tc>
        <w:tc>
          <w:tcPr>
            <w:tcW w:w="14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4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4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420" w:type="dxa"/>
            <w:vAlign w:val="bottom"/>
            <w:shd w:val="clear" w:color="auto" w:fill="D2DCE5"/>
          </w:tcPr>
          <w:p>
            <w:pPr>
              <w:spacing w:after="0"/>
              <w:rPr>
                <w:sz w:val="19"/>
                <w:szCs w:val="19"/>
                <w:color w:val="auto"/>
              </w:rPr>
            </w:pPr>
          </w:p>
        </w:tc>
      </w:tr>
      <w:tr>
        <w:trPr>
          <w:trHeight w:val="262"/>
        </w:trPr>
        <w:tc>
          <w:tcPr>
            <w:tcW w:w="53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interest holders</w:t>
            </w: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28.8 %</w:t>
            </w:r>
          </w:p>
        </w:tc>
        <w:tc>
          <w:tcPr>
            <w:tcW w:w="100" w:type="dxa"/>
            <w:vAlign w:val="bottom"/>
            <w:shd w:val="clear" w:color="auto" w:fill="D2DCE5"/>
          </w:tcPr>
          <w:p>
            <w:pPr>
              <w:spacing w:after="0"/>
              <w:rPr>
                <w:sz w:val="22"/>
                <w:szCs w:val="22"/>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42.5 %</w:t>
            </w:r>
          </w:p>
        </w:tc>
        <w:tc>
          <w:tcPr>
            <w:tcW w:w="100" w:type="dxa"/>
            <w:vAlign w:val="bottom"/>
            <w:shd w:val="clear" w:color="auto" w:fill="D2DCE5"/>
          </w:tcPr>
          <w:p>
            <w:pPr>
              <w:spacing w:after="0"/>
              <w:rPr>
                <w:sz w:val="22"/>
                <w:szCs w:val="22"/>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30.3 %</w:t>
            </w:r>
          </w:p>
        </w:tc>
        <w:tc>
          <w:tcPr>
            <w:tcW w:w="100" w:type="dxa"/>
            <w:vAlign w:val="bottom"/>
            <w:shd w:val="clear" w:color="auto" w:fill="D2DCE5"/>
          </w:tcPr>
          <w:p>
            <w:pPr>
              <w:spacing w:after="0"/>
              <w:rPr>
                <w:sz w:val="22"/>
                <w:szCs w:val="22"/>
                <w:color w:val="auto"/>
              </w:rPr>
            </w:pP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47.7 %</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131E29"/>
        </w:rPr>
        <w:t>Under the OpCo LLC Agreement, Dutch Bros OpCo is required to make certain distributions to its members with regard to tax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Such distributions paid to members were as follows for the periods presented, and no amounts were payable as of the periods then 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gridSpan w:val="7"/>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4"/>
        </w:trPr>
        <w:tc>
          <w:tcPr>
            <w:tcW w:w="5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Amounts paid to non-controlling interest holders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006098"/>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6,867</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280" w:type="dxa"/>
            <w:vAlign w:val="bottom"/>
            <w:gridSpan w:val="3"/>
            <w:shd w:val="clear" w:color="auto" w:fill="D2DCE5"/>
          </w:tcPr>
          <w:p>
            <w:pPr>
              <w:ind w:left="760"/>
              <w:spacing w:after="0"/>
              <w:rPr>
                <w:sz w:val="20"/>
                <w:szCs w:val="20"/>
                <w:color w:val="auto"/>
              </w:rPr>
            </w:pPr>
            <w:r>
              <w:rPr>
                <w:rFonts w:ascii="Arial" w:cs="Arial" w:eastAsia="Arial" w:hAnsi="Arial"/>
                <w:sz w:val="18"/>
                <w:szCs w:val="18"/>
                <w:color w:val="131E29"/>
              </w:rPr>
              <w:t xml:space="preserve">—  </w:t>
            </w:r>
            <w:r>
              <w:rPr>
                <w:rFonts w:ascii="Arial" w:cs="Arial" w:eastAsia="Arial" w:hAnsi="Arial"/>
                <w:sz w:val="18"/>
                <w:szCs w:val="18"/>
                <w:color w:val="006098"/>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6,867</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14 — Income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tables set forth the numerators and denominators used to compute basic and diluted net income per share of Class A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Class D common stock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80" w:type="dxa"/>
            <w:vAlign w:val="bottom"/>
            <w:tcBorders>
              <w:top w:val="single" w:sz="8" w:color="D7282F"/>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Numerator:</w:t>
            </w: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70"/>
        </w:trPr>
        <w:tc>
          <w:tcPr>
            <w:tcW w:w="5640" w:type="dxa"/>
            <w:vAlign w:val="bottom"/>
            <w:gridSpan w:val="2"/>
          </w:tcPr>
          <w:p>
            <w:pPr>
              <w:ind w:left="180"/>
              <w:spacing w:after="0"/>
              <w:rPr>
                <w:sz w:val="20"/>
                <w:szCs w:val="20"/>
                <w:color w:val="auto"/>
              </w:rPr>
            </w:pPr>
            <w:r>
              <w:rPr>
                <w:rFonts w:ascii="Arial" w:cs="Arial" w:eastAsia="Arial" w:hAnsi="Arial"/>
                <w:sz w:val="18"/>
                <w:szCs w:val="18"/>
                <w:color w:val="131E29"/>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006098"/>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006098"/>
              </w:rPr>
              <w:t>38,357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22,156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006098"/>
              </w:rPr>
              <w:t>60,837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38,371</w:t>
            </w:r>
          </w:p>
        </w:tc>
      </w:tr>
      <w:tr>
        <w:trPr>
          <w:trHeight w:val="270"/>
        </w:trPr>
        <w:tc>
          <w:tcPr>
            <w:tcW w:w="564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attributable to non-controlling interests</w:t>
            </w:r>
          </w:p>
        </w:tc>
        <w:tc>
          <w:tcPr>
            <w:tcW w:w="280" w:type="dxa"/>
            <w:vAlign w:val="bottom"/>
            <w:tcBorders>
              <w:bottom w:val="single" w:sz="8" w:color="auto"/>
            </w:tcBorders>
            <w:shd w:val="clear" w:color="auto" w:fill="D2DCE5"/>
          </w:tcPr>
          <w:p>
            <w:pPr>
              <w:spacing w:after="0"/>
              <w:rPr>
                <w:sz w:val="23"/>
                <w:szCs w:val="23"/>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12,733</w:t>
            </w:r>
          </w:p>
        </w:tc>
        <w:tc>
          <w:tcPr>
            <w:tcW w:w="100" w:type="dxa"/>
            <w:vAlign w:val="bottom"/>
            <w:shd w:val="clear" w:color="auto" w:fill="D2DCE5"/>
          </w:tcPr>
          <w:p>
            <w:pPr>
              <w:spacing w:after="0"/>
              <w:rPr>
                <w:sz w:val="23"/>
                <w:szCs w:val="23"/>
                <w:color w:val="auto"/>
              </w:rPr>
            </w:pPr>
          </w:p>
        </w:tc>
        <w:tc>
          <w:tcPr>
            <w:tcW w:w="280" w:type="dxa"/>
            <w:vAlign w:val="bottom"/>
            <w:tcBorders>
              <w:bottom w:val="single" w:sz="8" w:color="auto"/>
            </w:tcBorders>
            <w:shd w:val="clear" w:color="auto" w:fill="D2DCE5"/>
          </w:tcPr>
          <w:p>
            <w:pPr>
              <w:spacing w:after="0"/>
              <w:rPr>
                <w:sz w:val="23"/>
                <w:szCs w:val="23"/>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10,216</w:t>
            </w:r>
          </w:p>
        </w:tc>
        <w:tc>
          <w:tcPr>
            <w:tcW w:w="100" w:type="dxa"/>
            <w:vAlign w:val="bottom"/>
            <w:shd w:val="clear" w:color="auto" w:fill="D2DCE5"/>
          </w:tcPr>
          <w:p>
            <w:pPr>
              <w:spacing w:after="0"/>
              <w:rPr>
                <w:sz w:val="23"/>
                <w:szCs w:val="23"/>
                <w:color w:val="auto"/>
              </w:rPr>
            </w:pPr>
          </w:p>
        </w:tc>
        <w:tc>
          <w:tcPr>
            <w:tcW w:w="160" w:type="dxa"/>
            <w:vAlign w:val="bottom"/>
            <w:tcBorders>
              <w:bottom w:val="single" w:sz="8" w:color="auto"/>
            </w:tcBorders>
            <w:shd w:val="clear" w:color="auto" w:fill="D2DCE5"/>
          </w:tcPr>
          <w:p>
            <w:pPr>
              <w:spacing w:after="0"/>
              <w:rPr>
                <w:sz w:val="23"/>
                <w:szCs w:val="23"/>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19,860</w:t>
            </w:r>
          </w:p>
        </w:tc>
        <w:tc>
          <w:tcPr>
            <w:tcW w:w="100" w:type="dxa"/>
            <w:vAlign w:val="bottom"/>
            <w:shd w:val="clear" w:color="auto" w:fill="D2DCE5"/>
          </w:tcPr>
          <w:p>
            <w:pPr>
              <w:spacing w:after="0"/>
              <w:rPr>
                <w:sz w:val="23"/>
                <w:szCs w:val="23"/>
                <w:color w:val="auto"/>
              </w:rPr>
            </w:pPr>
          </w:p>
        </w:tc>
        <w:tc>
          <w:tcPr>
            <w:tcW w:w="280" w:type="dxa"/>
            <w:vAlign w:val="bottom"/>
            <w:tcBorders>
              <w:bottom w:val="single" w:sz="8" w:color="auto"/>
            </w:tcBorders>
            <w:shd w:val="clear" w:color="auto" w:fill="D2DCE5"/>
          </w:tcPr>
          <w:p>
            <w:pPr>
              <w:spacing w:after="0"/>
              <w:rPr>
                <w:sz w:val="23"/>
                <w:szCs w:val="23"/>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19,369</w:t>
            </w:r>
          </w:p>
        </w:tc>
      </w:tr>
      <w:tr>
        <w:trPr>
          <w:trHeight w:val="263"/>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006098"/>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25,624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11,940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40,977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19,002</w:t>
            </w:r>
          </w:p>
        </w:tc>
      </w:tr>
      <w:tr>
        <w:trPr>
          <w:trHeight w:val="21"/>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72" w:lineRule="exact"/>
        <w:rPr>
          <w:sz w:val="20"/>
          <w:szCs w:val="20"/>
          <w:color w:val="auto"/>
        </w:rPr>
      </w:pPr>
    </w:p>
    <w:p>
      <w:pPr>
        <w:ind w:left="20" w:right="520"/>
        <w:spacing w:after="0" w:line="281" w:lineRule="auto"/>
        <w:rPr>
          <w:sz w:val="20"/>
          <w:szCs w:val="20"/>
          <w:color w:val="auto"/>
        </w:rPr>
      </w:pPr>
      <w:r>
        <w:rPr>
          <w:rFonts w:ascii="Arial" w:cs="Arial" w:eastAsia="Arial" w:hAnsi="Arial"/>
          <w:sz w:val="18"/>
          <w:szCs w:val="18"/>
          <w:b w:val="1"/>
          <w:bCs w:val="1"/>
          <w:color w:val="131E29"/>
        </w:rPr>
        <w:t>Basic net income per share attributable to common stockholders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31E29"/>
        </w:rPr>
        <w:t>Numerator:</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131E29"/>
        </w:rPr>
        <w:t>Net income attributable to Dutch Bros Inc.</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2840" w:type="dxa"/>
            <w:vAlign w:val="bottom"/>
            <w:gridSpan w:val="4"/>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27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13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tcBorders>
          </w:tcPr>
          <w:p>
            <w:pPr>
              <w:spacing w:after="0"/>
              <w:rPr>
                <w:sz w:val="22"/>
                <w:szCs w:val="22"/>
                <w:color w:val="auto"/>
              </w:rPr>
            </w:pPr>
          </w:p>
        </w:tc>
        <w:tc>
          <w:tcPr>
            <w:tcW w:w="13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Pr>
          <w:p>
            <w:pPr>
              <w:spacing w:after="0"/>
              <w:rPr>
                <w:sz w:val="22"/>
                <w:szCs w:val="22"/>
                <w:color w:val="auto"/>
              </w:rPr>
            </w:pPr>
          </w:p>
        </w:tc>
        <w:tc>
          <w:tcPr>
            <w:tcW w:w="13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tcBorders>
          </w:tcPr>
          <w:p>
            <w:pPr>
              <w:spacing w:after="0"/>
              <w:rPr>
                <w:sz w:val="22"/>
                <w:szCs w:val="22"/>
                <w:color w:val="auto"/>
              </w:rPr>
            </w:pPr>
          </w:p>
        </w:tc>
        <w:tc>
          <w:tcPr>
            <w:tcW w:w="13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480060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7132320" cy="316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680" w:val="left"/>
          <w:tab w:leader="none" w:pos="1420" w:val="left"/>
          <w:tab w:leader="none" w:pos="2120" w:val="left"/>
          <w:tab w:leader="none" w:pos="2840" w:val="left"/>
          <w:tab w:leader="none" w:pos="3520" w:val="left"/>
          <w:tab w:leader="none" w:pos="4260" w:val="left"/>
          <w:tab w:leader="none" w:pos="4940" w:val="left"/>
        </w:tabs>
        <w:rPr>
          <w:sz w:val="20"/>
          <w:szCs w:val="20"/>
          <w:color w:val="auto"/>
        </w:rPr>
      </w:pPr>
      <w:r>
        <w:rPr>
          <w:rFonts w:ascii="Arial" w:cs="Arial" w:eastAsia="Arial" w:hAnsi="Arial"/>
          <w:sz w:val="18"/>
          <w:szCs w:val="18"/>
          <w:color w:val="006098"/>
        </w:rPr>
        <w:t>$</w:t>
      </w:r>
      <w:r>
        <w:rPr>
          <w:sz w:val="20"/>
          <w:szCs w:val="20"/>
          <w:color w:val="auto"/>
        </w:rPr>
        <w:tab/>
      </w:r>
      <w:r>
        <w:rPr>
          <w:rFonts w:ascii="Arial" w:cs="Arial" w:eastAsia="Arial" w:hAnsi="Arial"/>
          <w:sz w:val="18"/>
          <w:szCs w:val="18"/>
          <w:color w:val="006098"/>
        </w:rPr>
        <w:t>25,624</w:t>
      </w:r>
      <w:r>
        <w:rPr>
          <w:rFonts w:ascii="Arial" w:cs="Arial" w:eastAsia="Arial" w:hAnsi="Arial"/>
          <w:sz w:val="18"/>
          <w:szCs w:val="18"/>
          <w:color w:val="131E29"/>
        </w:rPr>
        <w:tab/>
        <w:t>$</w:t>
      </w:r>
      <w:r>
        <w:rPr>
          <w:sz w:val="20"/>
          <w:szCs w:val="20"/>
          <w:color w:val="auto"/>
        </w:rPr>
        <w:tab/>
      </w:r>
      <w:r>
        <w:rPr>
          <w:rFonts w:ascii="Arial" w:cs="Arial" w:eastAsia="Arial" w:hAnsi="Arial"/>
          <w:sz w:val="18"/>
          <w:szCs w:val="18"/>
          <w:color w:val="131E29"/>
        </w:rPr>
        <w:t>11,940</w:t>
      </w:r>
      <w:r>
        <w:rPr>
          <w:rFonts w:ascii="Arial" w:cs="Arial" w:eastAsia="Arial" w:hAnsi="Arial"/>
          <w:sz w:val="18"/>
          <w:szCs w:val="18"/>
          <w:color w:val="006098"/>
        </w:rPr>
        <w:tab/>
        <w:t>$</w:t>
      </w:r>
      <w:r>
        <w:rPr>
          <w:sz w:val="20"/>
          <w:szCs w:val="20"/>
          <w:color w:val="auto"/>
        </w:rPr>
        <w:tab/>
      </w:r>
      <w:r>
        <w:rPr>
          <w:rFonts w:ascii="Arial" w:cs="Arial" w:eastAsia="Arial" w:hAnsi="Arial"/>
          <w:sz w:val="18"/>
          <w:szCs w:val="18"/>
          <w:color w:val="006098"/>
        </w:rPr>
        <w:t>40,977</w:t>
      </w:r>
      <w:r>
        <w:rPr>
          <w:rFonts w:ascii="Arial" w:cs="Arial" w:eastAsia="Arial" w:hAnsi="Arial"/>
          <w:sz w:val="18"/>
          <w:szCs w:val="18"/>
          <w:color w:val="131E29"/>
        </w:rPr>
        <w:tab/>
        <w:t>$</w:t>
      </w:r>
      <w:r>
        <w:rPr>
          <w:sz w:val="20"/>
          <w:szCs w:val="20"/>
          <w:color w:val="auto"/>
        </w:rPr>
        <w:tab/>
      </w:r>
      <w:r>
        <w:rPr>
          <w:rFonts w:ascii="Arial" w:cs="Arial" w:eastAsia="Arial" w:hAnsi="Arial"/>
          <w:sz w:val="17"/>
          <w:szCs w:val="17"/>
          <w:color w:val="131E29"/>
        </w:rPr>
        <w:t>19,002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206375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130" w:right="339" w:bottom="1440" w:gutter="0" w:footer="0" w:header="0"/>
          <w:type w:val="continuous"/>
        </w:sectPr>
      </w:pP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31E29"/>
        </w:rPr>
        <w:t>Denominator: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ind w:left="300"/>
              <w:spacing w:after="0"/>
              <w:rPr>
                <w:sz w:val="20"/>
                <w:szCs w:val="20"/>
                <w:color w:val="auto"/>
              </w:rPr>
            </w:pPr>
            <w:r>
              <w:rPr>
                <w:rFonts w:ascii="Arial" w:cs="Arial" w:eastAsia="Arial" w:hAnsi="Arial"/>
                <w:sz w:val="18"/>
                <w:szCs w:val="18"/>
                <w:color w:val="131E29"/>
              </w:rPr>
              <w:t>Weighted-average number of shares of Class A and Class 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660" w:type="dxa"/>
            <w:vAlign w:val="bottom"/>
            <w:tcBorders>
              <w:bottom w:val="single" w:sz="8" w:color="D2DCE5"/>
            </w:tcBorders>
          </w:tcPr>
          <w:p>
            <w:pPr>
              <w:ind w:left="300"/>
              <w:spacing w:after="0"/>
              <w:rPr>
                <w:sz w:val="20"/>
                <w:szCs w:val="20"/>
                <w:color w:val="auto"/>
              </w:rPr>
            </w:pPr>
            <w:r>
              <w:rPr>
                <w:rFonts w:ascii="Arial" w:cs="Arial" w:eastAsia="Arial" w:hAnsi="Arial"/>
                <w:sz w:val="18"/>
                <w:szCs w:val="18"/>
                <w:color w:val="131E29"/>
              </w:rPr>
              <w:t>common stock outstanding - basic ¹</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126,390</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101,965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123,615</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92,647</w:t>
            </w:r>
          </w:p>
        </w:tc>
        <w:tc>
          <w:tcPr>
            <w:tcW w:w="0" w:type="dxa"/>
            <w:vAlign w:val="bottom"/>
          </w:tcPr>
          <w:p>
            <w:pPr>
              <w:spacing w:after="0"/>
              <w:rPr>
                <w:sz w:val="1"/>
                <w:szCs w:val="1"/>
                <w:color w:val="auto"/>
              </w:rPr>
            </w:pPr>
          </w:p>
        </w:tc>
      </w:tr>
      <w:tr>
        <w:trPr>
          <w:trHeight w:val="204"/>
        </w:trPr>
        <w:tc>
          <w:tcPr>
            <w:tcW w:w="5660" w:type="dxa"/>
            <w:vAlign w:val="bottom"/>
            <w:shd w:val="clear" w:color="auto" w:fill="D2DCE5"/>
          </w:tcPr>
          <w:p>
            <w:pPr>
              <w:ind w:left="20"/>
              <w:spacing w:after="0" w:line="204" w:lineRule="exact"/>
              <w:rPr>
                <w:sz w:val="20"/>
                <w:szCs w:val="20"/>
                <w:color w:val="auto"/>
              </w:rPr>
            </w:pPr>
            <w:r>
              <w:rPr>
                <w:rFonts w:ascii="Arial" w:cs="Arial" w:eastAsia="Arial" w:hAnsi="Arial"/>
                <w:sz w:val="18"/>
                <w:szCs w:val="18"/>
                <w:b w:val="1"/>
                <w:bCs w:val="1"/>
                <w:color w:val="131E29"/>
              </w:rPr>
              <w:t>Basic net income per share attributable to common</w:t>
            </w:r>
          </w:p>
        </w:tc>
        <w:tc>
          <w:tcPr>
            <w:tcW w:w="36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60" w:type="dxa"/>
            <w:vAlign w:val="bottom"/>
            <w:vMerge w:val="restart"/>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0.12</w:t>
            </w:r>
          </w:p>
        </w:tc>
        <w:tc>
          <w:tcPr>
            <w:tcW w:w="100" w:type="dxa"/>
            <w:vAlign w:val="bottom"/>
            <w:shd w:val="clear" w:color="auto" w:fill="D2DCE5"/>
          </w:tcPr>
          <w:p>
            <w:pPr>
              <w:spacing w:after="0"/>
              <w:rPr>
                <w:sz w:val="17"/>
                <w:szCs w:val="17"/>
                <w:color w:val="auto"/>
              </w:rPr>
            </w:pPr>
          </w:p>
        </w:tc>
        <w:tc>
          <w:tcPr>
            <w:tcW w:w="360" w:type="dxa"/>
            <w:vAlign w:val="bottom"/>
            <w:vMerge w:val="restart"/>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006098"/>
              </w:rPr>
              <w:t>0.33</w:t>
            </w:r>
          </w:p>
        </w:tc>
        <w:tc>
          <w:tcPr>
            <w:tcW w:w="100" w:type="dxa"/>
            <w:vAlign w:val="bottom"/>
            <w:shd w:val="clear" w:color="auto" w:fill="D2DCE5"/>
          </w:tcPr>
          <w:p>
            <w:pPr>
              <w:spacing w:after="0"/>
              <w:rPr>
                <w:sz w:val="17"/>
                <w:szCs w:val="17"/>
                <w:color w:val="auto"/>
              </w:rPr>
            </w:pPr>
          </w:p>
        </w:tc>
        <w:tc>
          <w:tcPr>
            <w:tcW w:w="400" w:type="dxa"/>
            <w:vAlign w:val="bottom"/>
            <w:vMerge w:val="restart"/>
            <w:shd w:val="clear" w:color="auto" w:fill="D2DCE5"/>
          </w:tcPr>
          <w:p>
            <w:pPr>
              <w:jc w:val="right"/>
              <w:ind w:right="190"/>
              <w:spacing w:after="0"/>
              <w:rPr>
                <w:sz w:val="20"/>
                <w:szCs w:val="20"/>
                <w:color w:val="auto"/>
              </w:rPr>
            </w:pPr>
            <w:r>
              <w:rPr>
                <w:rFonts w:ascii="Arial" w:cs="Arial" w:eastAsia="Arial" w:hAnsi="Arial"/>
                <w:sz w:val="18"/>
                <w:szCs w:val="18"/>
                <w:b w:val="1"/>
                <w:bCs w:val="1"/>
                <w:color w:val="131E29"/>
                <w:w w:val="99"/>
              </w:rPr>
              <w:t>$</w:t>
            </w:r>
          </w:p>
        </w:tc>
        <w:tc>
          <w:tcPr>
            <w:tcW w:w="92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0.21</w:t>
            </w:r>
          </w:p>
        </w:tc>
        <w:tc>
          <w:tcPr>
            <w:tcW w:w="0" w:type="dxa"/>
            <w:vAlign w:val="bottom"/>
          </w:tcPr>
          <w:p>
            <w:pPr>
              <w:spacing w:after="0"/>
              <w:rPr>
                <w:sz w:val="1"/>
                <w:szCs w:val="1"/>
                <w:color w:val="auto"/>
              </w:rPr>
            </w:pPr>
          </w:p>
        </w:tc>
      </w:tr>
      <w:tr>
        <w:trPr>
          <w:trHeight w:val="255"/>
        </w:trPr>
        <w:tc>
          <w:tcPr>
            <w:tcW w:w="56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b w:val="1"/>
                <w:bCs w:val="1"/>
                <w:color w:val="131E29"/>
              </w:rPr>
              <w:t>stockholders ¹</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0.20</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vMerge w:val="continue"/>
            <w:shd w:val="clear" w:color="auto" w:fill="D2DCE5"/>
          </w:tcPr>
          <w:p>
            <w:pPr>
              <w:spacing w:after="0"/>
              <w:rPr>
                <w:sz w:val="22"/>
                <w:szCs w:val="22"/>
                <w:color w:val="auto"/>
              </w:rPr>
            </w:pPr>
          </w:p>
        </w:tc>
        <w:tc>
          <w:tcPr>
            <w:tcW w:w="960" w:type="dxa"/>
            <w:vAlign w:val="bottom"/>
            <w:tcBorders>
              <w:bottom w:val="single" w:sz="8" w:color="auto"/>
            </w:tcBorders>
            <w:vMerge w:val="continue"/>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vMerge w:val="continue"/>
            <w:shd w:val="clear" w:color="auto" w:fill="D2DCE5"/>
          </w:tcPr>
          <w:p>
            <w:pPr>
              <w:spacing w:after="0"/>
              <w:rPr>
                <w:sz w:val="22"/>
                <w:szCs w:val="22"/>
                <w:color w:val="auto"/>
              </w:rPr>
            </w:pPr>
          </w:p>
        </w:tc>
        <w:tc>
          <w:tcPr>
            <w:tcW w:w="960" w:type="dxa"/>
            <w:vAlign w:val="bottom"/>
            <w:tcBorders>
              <w:bottom w:val="single" w:sz="8" w:color="auto"/>
            </w:tcBorders>
            <w:vMerge w:val="continue"/>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400" w:type="dxa"/>
            <w:vAlign w:val="bottom"/>
            <w:tcBorders>
              <w:bottom w:val="single" w:sz="8" w:color="auto"/>
            </w:tcBorders>
            <w:vMerge w:val="continue"/>
            <w:shd w:val="clear" w:color="auto" w:fill="D2DCE5"/>
          </w:tcPr>
          <w:p>
            <w:pPr>
              <w:spacing w:after="0"/>
              <w:rPr>
                <w:sz w:val="22"/>
                <w:szCs w:val="22"/>
                <w:color w:val="auto"/>
              </w:rPr>
            </w:pPr>
          </w:p>
        </w:tc>
        <w:tc>
          <w:tcPr>
            <w:tcW w:w="920" w:type="dxa"/>
            <w:vAlign w:val="bottom"/>
            <w:tcBorders>
              <w:bottom w:val="single" w:sz="8" w:color="auto"/>
            </w:tcBorders>
            <w:vMerge w:val="continue"/>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9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73" w:lineRule="exact"/>
        <w:rPr>
          <w:sz w:val="20"/>
          <w:szCs w:val="20"/>
          <w:color w:val="auto"/>
        </w:rPr>
      </w:pPr>
    </w:p>
    <w:p>
      <w:pPr>
        <w:ind w:left="180" w:hanging="172"/>
        <w:spacing w:after="0" w:line="222" w:lineRule="auto"/>
        <w:tabs>
          <w:tab w:leader="none" w:pos="96" w:val="left"/>
        </w:tabs>
        <w:numPr>
          <w:ilvl w:val="0"/>
          <w:numId w:val="10"/>
        </w:numPr>
        <w:rPr>
          <w:rFonts w:ascii="Arial" w:cs="Arial" w:eastAsia="Arial" w:hAnsi="Arial"/>
          <w:sz w:val="19"/>
          <w:szCs w:val="19"/>
          <w:color w:val="131E29"/>
          <w:vertAlign w:val="superscript"/>
        </w:rPr>
      </w:pPr>
      <w:r>
        <w:rPr>
          <w:rFonts w:ascii="Arial" w:cs="Arial" w:eastAsia="Arial" w:hAnsi="Arial"/>
          <w:sz w:val="14"/>
          <w:szCs w:val="14"/>
          <w:color w:val="131E29"/>
        </w:rPr>
        <w:t>Class D common shares were included in net income per share and weighted-average number of shares calculations in periods prior to June 2024. As of June 2024, all Class D common shares were converted to Class A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72" w:lineRule="exact"/>
        <w:rPr>
          <w:sz w:val="20"/>
          <w:szCs w:val="20"/>
          <w:color w:val="auto"/>
        </w:rPr>
      </w:pPr>
    </w:p>
    <w:p>
      <w:pPr>
        <w:ind w:left="20" w:right="440"/>
        <w:spacing w:after="0" w:line="281" w:lineRule="auto"/>
        <w:rPr>
          <w:sz w:val="20"/>
          <w:szCs w:val="20"/>
          <w:color w:val="auto"/>
        </w:rPr>
      </w:pPr>
      <w:r>
        <w:rPr>
          <w:rFonts w:ascii="Arial" w:cs="Arial" w:eastAsia="Arial" w:hAnsi="Arial"/>
          <w:sz w:val="18"/>
          <w:szCs w:val="18"/>
          <w:b w:val="1"/>
          <w:bCs w:val="1"/>
          <w:color w:val="131E29"/>
        </w:rPr>
        <w:t>Diluted net income per share attributable to common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2820" w:type="dxa"/>
            <w:vAlign w:val="bottom"/>
            <w:gridSpan w:val="4"/>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2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1300" w:type="dxa"/>
            <w:vAlign w:val="bottom"/>
            <w:tcBorders>
              <w:top w:val="single" w:sz="8" w:color="D7282F"/>
              <w:bottom w:val="single" w:sz="8" w:color="D7282F"/>
            </w:tcBorders>
          </w:tcPr>
          <w:p>
            <w:pPr>
              <w:jc w:val="right"/>
              <w:ind w:right="35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tcBorders>
          </w:tcPr>
          <w:p>
            <w:pPr>
              <w:spacing w:after="0"/>
              <w:rPr>
                <w:sz w:val="22"/>
                <w:szCs w:val="22"/>
                <w:color w:val="auto"/>
              </w:rPr>
            </w:pPr>
          </w:p>
        </w:tc>
        <w:tc>
          <w:tcPr>
            <w:tcW w:w="1340" w:type="dxa"/>
            <w:vAlign w:val="bottom"/>
            <w:tcBorders>
              <w:top w:val="single" w:sz="8" w:color="D7282F"/>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2024</w:t>
            </w:r>
          </w:p>
        </w:tc>
        <w:tc>
          <w:tcPr>
            <w:tcW w:w="80" w:type="dxa"/>
            <w:vAlign w:val="bottom"/>
          </w:tcPr>
          <w:p>
            <w:pPr>
              <w:spacing w:after="0"/>
              <w:rPr>
                <w:sz w:val="22"/>
                <w:szCs w:val="22"/>
                <w:color w:val="auto"/>
              </w:rPr>
            </w:pPr>
          </w:p>
        </w:tc>
        <w:tc>
          <w:tcPr>
            <w:tcW w:w="13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tcBorders>
          </w:tcPr>
          <w:p>
            <w:pPr>
              <w:spacing w:after="0"/>
              <w:rPr>
                <w:sz w:val="22"/>
                <w:szCs w:val="22"/>
                <w:color w:val="auto"/>
              </w:rPr>
            </w:pPr>
          </w:p>
        </w:tc>
        <w:tc>
          <w:tcPr>
            <w:tcW w:w="130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7132320" cy="316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93" w:lineRule="exact"/>
        <w:rPr>
          <w:sz w:val="20"/>
          <w:szCs w:val="20"/>
          <w:color w:val="auto"/>
        </w:rPr>
      </w:pPr>
    </w:p>
    <w:p>
      <w:pPr>
        <w:sectPr>
          <w:pgSz w:w="11900" w:h="16838" w:orient="portrait"/>
          <w:cols w:equalWidth="0" w:num="2">
            <w:col w:w="4980" w:space="720"/>
            <w:col w:w="5540"/>
          </w:cols>
          <w:pgMar w:left="320" w:top="130" w:right="339" w:bottom="1440" w:gutter="0" w:footer="0" w:header="0"/>
        </w:sectPr>
      </w:pPr>
    </w:p>
    <w:tbl>
      <w:tblPr>
        <w:tblLayout w:type="fixed"/>
        <w:tblInd w:w="0" w:type="dxa"/>
        <w:tblCellMar>
          <w:top w:w="0" w:type="dxa"/>
          <w:left w:w="0" w:type="dxa"/>
          <w:bottom w:w="0" w:type="dxa"/>
          <w:right w:w="0" w:type="dxa"/>
        </w:tblCellMar>
      </w:tblPr>
      <w:tr>
        <w:trPr>
          <w:trHeight w:val="254"/>
        </w:trPr>
        <w:tc>
          <w:tcPr>
            <w:tcW w:w="5700" w:type="dxa"/>
            <w:vAlign w:val="bottom"/>
          </w:tcPr>
          <w:p>
            <w:pPr>
              <w:ind w:left="180"/>
              <w:spacing w:after="0"/>
              <w:rPr>
                <w:sz w:val="20"/>
                <w:szCs w:val="20"/>
                <w:color w:val="auto"/>
              </w:rPr>
            </w:pPr>
            <w:r>
              <w:rPr>
                <w:rFonts w:ascii="Arial" w:cs="Arial" w:eastAsia="Arial" w:hAnsi="Arial"/>
                <w:sz w:val="18"/>
                <w:szCs w:val="18"/>
                <w:b w:val="1"/>
                <w:bCs w:val="1"/>
                <w:color w:val="131E29"/>
              </w:rPr>
              <w:t>Numerator:</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D2DCE5"/>
          </w:tcPr>
          <w:p>
            <w:pPr>
              <w:ind w:left="360"/>
              <w:spacing w:after="0"/>
              <w:rPr>
                <w:sz w:val="20"/>
                <w:szCs w:val="20"/>
                <w:color w:val="auto"/>
              </w:rPr>
            </w:pPr>
            <w:r>
              <w:rPr>
                <w:rFonts w:ascii="Arial" w:cs="Arial" w:eastAsia="Arial" w:hAnsi="Arial"/>
                <w:sz w:val="18"/>
                <w:szCs w:val="18"/>
                <w:color w:val="131E29"/>
              </w:rPr>
              <w:t>Undistributed net income for basic computation</w:t>
            </w:r>
          </w:p>
        </w:tc>
        <w:tc>
          <w:tcPr>
            <w:tcW w:w="34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006098"/>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25,624</w:t>
            </w:r>
          </w:p>
        </w:tc>
        <w:tc>
          <w:tcPr>
            <w:tcW w:w="100" w:type="dxa"/>
            <w:vAlign w:val="bottom"/>
            <w:shd w:val="clear" w:color="auto" w:fill="D2DCE5"/>
          </w:tcPr>
          <w:p>
            <w:pPr>
              <w:spacing w:after="0"/>
              <w:rPr>
                <w:sz w:val="24"/>
                <w:szCs w:val="24"/>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11,940</w:t>
            </w:r>
          </w:p>
        </w:tc>
        <w:tc>
          <w:tcPr>
            <w:tcW w:w="80" w:type="dxa"/>
            <w:vAlign w:val="bottom"/>
            <w:shd w:val="clear" w:color="auto" w:fill="D2DCE5"/>
          </w:tcPr>
          <w:p>
            <w:pPr>
              <w:spacing w:after="0"/>
              <w:rPr>
                <w:sz w:val="24"/>
                <w:szCs w:val="24"/>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40,977</w:t>
            </w:r>
          </w:p>
        </w:tc>
        <w:tc>
          <w:tcPr>
            <w:tcW w:w="100" w:type="dxa"/>
            <w:vAlign w:val="bottom"/>
            <w:shd w:val="clear" w:color="auto" w:fill="D2DCE5"/>
          </w:tcPr>
          <w:p>
            <w:pPr>
              <w:spacing w:after="0"/>
              <w:rPr>
                <w:sz w:val="24"/>
                <w:szCs w:val="24"/>
                <w:color w:val="auto"/>
              </w:rPr>
            </w:pPr>
          </w:p>
        </w:tc>
        <w:tc>
          <w:tcPr>
            <w:tcW w:w="40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w w:val="79"/>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19,002</w:t>
            </w:r>
          </w:p>
        </w:tc>
        <w:tc>
          <w:tcPr>
            <w:tcW w:w="0" w:type="dxa"/>
            <w:vAlign w:val="bottom"/>
          </w:tcPr>
          <w:p>
            <w:pPr>
              <w:spacing w:after="0"/>
              <w:rPr>
                <w:sz w:val="1"/>
                <w:szCs w:val="1"/>
                <w:color w:val="auto"/>
              </w:rPr>
            </w:pPr>
          </w:p>
        </w:tc>
      </w:tr>
      <w:tr>
        <w:trPr>
          <w:trHeight w:val="224"/>
        </w:trPr>
        <w:tc>
          <w:tcPr>
            <w:tcW w:w="5700" w:type="dxa"/>
            <w:vAlign w:val="bottom"/>
          </w:tcPr>
          <w:p>
            <w:pPr>
              <w:ind w:left="360"/>
              <w:spacing w:after="0"/>
              <w:rPr>
                <w:sz w:val="20"/>
                <w:szCs w:val="20"/>
                <w:color w:val="auto"/>
              </w:rPr>
            </w:pPr>
            <w:r>
              <w:rPr>
                <w:rFonts w:ascii="Arial" w:cs="Arial" w:eastAsia="Arial" w:hAnsi="Arial"/>
                <w:sz w:val="18"/>
                <w:szCs w:val="18"/>
                <w:color w:val="131E29"/>
              </w:rPr>
              <w:t>Increase in net income attributable to common stockholders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700" w:type="dxa"/>
            <w:vAlign w:val="bottom"/>
            <w:tcBorders>
              <w:bottom w:val="single" w:sz="8" w:color="D2DCE5"/>
            </w:tcBorders>
          </w:tcPr>
          <w:p>
            <w:pPr>
              <w:ind w:left="360"/>
              <w:spacing w:after="0"/>
              <w:rPr>
                <w:sz w:val="20"/>
                <w:szCs w:val="20"/>
                <w:color w:val="auto"/>
              </w:rPr>
            </w:pPr>
            <w:r>
              <w:rPr>
                <w:rFonts w:ascii="Arial" w:cs="Arial" w:eastAsia="Arial" w:hAnsi="Arial"/>
                <w:sz w:val="18"/>
                <w:szCs w:val="18"/>
                <w:color w:val="131E29"/>
              </w:rPr>
              <w:t>upon conversion of potentially dilutive instruments</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31</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23</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63</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44</w:t>
            </w:r>
          </w:p>
        </w:tc>
        <w:tc>
          <w:tcPr>
            <w:tcW w:w="0" w:type="dxa"/>
            <w:vAlign w:val="bottom"/>
          </w:tcPr>
          <w:p>
            <w:pPr>
              <w:spacing w:after="0"/>
              <w:rPr>
                <w:sz w:val="1"/>
                <w:szCs w:val="1"/>
                <w:color w:val="auto"/>
              </w:rPr>
            </w:pPr>
          </w:p>
        </w:tc>
      </w:tr>
      <w:tr>
        <w:trPr>
          <w:trHeight w:val="288"/>
        </w:trPr>
        <w:tc>
          <w:tcPr>
            <w:tcW w:w="5700" w:type="dxa"/>
            <w:vAlign w:val="bottom"/>
            <w:tcBorders>
              <w:bottom w:val="single" w:sz="8" w:color="D2DCE5"/>
            </w:tcBorders>
            <w:shd w:val="clear" w:color="auto" w:fill="D2DCE5"/>
          </w:tcPr>
          <w:p>
            <w:pPr>
              <w:ind w:left="240"/>
              <w:spacing w:after="0"/>
              <w:rPr>
                <w:sz w:val="20"/>
                <w:szCs w:val="20"/>
                <w:color w:val="auto"/>
              </w:rPr>
            </w:pPr>
            <w:r>
              <w:rPr>
                <w:rFonts w:ascii="Arial" w:cs="Arial" w:eastAsia="Arial" w:hAnsi="Arial"/>
                <w:sz w:val="18"/>
                <w:szCs w:val="18"/>
                <w:b w:val="1"/>
                <w:bCs w:val="1"/>
                <w:color w:val="131E29"/>
              </w:rPr>
              <w:t>Allocation of undistributed net income</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25,655</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11,963</w:t>
            </w:r>
          </w:p>
        </w:tc>
        <w:tc>
          <w:tcPr>
            <w:tcW w:w="8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41,040</w:t>
            </w:r>
          </w:p>
        </w:tc>
        <w:tc>
          <w:tcPr>
            <w:tcW w:w="100" w:type="dxa"/>
            <w:vAlign w:val="bottom"/>
            <w:tcBorders>
              <w:bottom w:val="single" w:sz="8" w:color="D2DCE5"/>
            </w:tcBorders>
            <w:shd w:val="clear" w:color="auto" w:fill="D2DCE5"/>
          </w:tcPr>
          <w:p>
            <w:pPr>
              <w:spacing w:after="0"/>
              <w:rPr>
                <w:sz w:val="24"/>
                <w:szCs w:val="24"/>
                <w:color w:val="auto"/>
              </w:rPr>
            </w:pPr>
          </w:p>
        </w:tc>
        <w:tc>
          <w:tcPr>
            <w:tcW w:w="400" w:type="dxa"/>
            <w:vAlign w:val="bottom"/>
            <w:tcBorders>
              <w:bottom w:val="single" w:sz="8" w:color="auto"/>
            </w:tcBorders>
            <w:shd w:val="clear" w:color="auto" w:fill="D2DCE5"/>
          </w:tcPr>
          <w:p>
            <w:pPr>
              <w:jc w:val="right"/>
              <w:ind w:right="210"/>
              <w:spacing w:after="0"/>
              <w:rPr>
                <w:sz w:val="20"/>
                <w:szCs w:val="20"/>
                <w:color w:val="auto"/>
              </w:rPr>
            </w:pPr>
            <w:r>
              <w:rPr>
                <w:rFonts w:ascii="Arial" w:cs="Arial" w:eastAsia="Arial" w:hAnsi="Arial"/>
                <w:sz w:val="18"/>
                <w:szCs w:val="18"/>
                <w:b w:val="1"/>
                <w:bCs w:val="1"/>
                <w:color w:val="131E29"/>
                <w:w w:val="79"/>
              </w:rPr>
              <w:t>$</w:t>
            </w:r>
          </w:p>
        </w:tc>
        <w:tc>
          <w:tcPr>
            <w:tcW w:w="9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19,046</w:t>
            </w:r>
          </w:p>
        </w:tc>
        <w:tc>
          <w:tcPr>
            <w:tcW w:w="0" w:type="dxa"/>
            <w:vAlign w:val="bottom"/>
          </w:tcPr>
          <w:p>
            <w:pPr>
              <w:spacing w:after="0"/>
              <w:rPr>
                <w:sz w:val="1"/>
                <w:szCs w:val="1"/>
                <w:color w:val="auto"/>
              </w:rPr>
            </w:pPr>
          </w:p>
        </w:tc>
      </w:tr>
      <w:tr>
        <w:trPr>
          <w:trHeight w:val="20"/>
        </w:trPr>
        <w:tc>
          <w:tcPr>
            <w:tcW w:w="57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9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D2DCE5"/>
          </w:tcPr>
          <w:p>
            <w:pPr>
              <w:ind w:left="180"/>
              <w:spacing w:after="0"/>
              <w:rPr>
                <w:sz w:val="20"/>
                <w:szCs w:val="20"/>
                <w:color w:val="auto"/>
              </w:rPr>
            </w:pPr>
            <w:r>
              <w:rPr>
                <w:rFonts w:ascii="Arial" w:cs="Arial" w:eastAsia="Arial" w:hAnsi="Arial"/>
                <w:sz w:val="18"/>
                <w:szCs w:val="18"/>
                <w:b w:val="1"/>
                <w:bCs w:val="1"/>
                <w:color w:val="131E29"/>
              </w:rPr>
              <w:t>Denominator:</w:t>
            </w:r>
          </w:p>
        </w:tc>
        <w:tc>
          <w:tcPr>
            <w:tcW w:w="34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9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00" w:type="dxa"/>
            <w:vAlign w:val="bottom"/>
            <w:shd w:val="clear" w:color="auto" w:fill="D2DCE5"/>
          </w:tcPr>
          <w:p>
            <w:pPr>
              <w:spacing w:after="0"/>
              <w:rPr>
                <w:sz w:val="23"/>
                <w:szCs w:val="23"/>
                <w:color w:val="auto"/>
              </w:rPr>
            </w:pPr>
          </w:p>
        </w:tc>
        <w:tc>
          <w:tcPr>
            <w:tcW w:w="90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60"/>
              <w:spacing w:after="0"/>
              <w:rPr>
                <w:sz w:val="20"/>
                <w:szCs w:val="20"/>
                <w:color w:val="auto"/>
              </w:rPr>
            </w:pPr>
            <w:r>
              <w:rPr>
                <w:rFonts w:ascii="Arial" w:cs="Arial" w:eastAsia="Arial" w:hAnsi="Arial"/>
                <w:sz w:val="18"/>
                <w:szCs w:val="18"/>
                <w:color w:val="131E29"/>
              </w:rPr>
              <w:t>Number of shares used in basic computation</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126,390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101,965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123,615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131E29"/>
              </w:rPr>
              <w:t>92,647</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D2DCE5"/>
            </w:tcBorders>
            <w:shd w:val="clear" w:color="auto" w:fill="D2DCE5"/>
          </w:tcPr>
          <w:p>
            <w:pPr>
              <w:ind w:left="360"/>
              <w:spacing w:after="0"/>
              <w:rPr>
                <w:sz w:val="20"/>
                <w:szCs w:val="20"/>
                <w:color w:val="auto"/>
              </w:rPr>
            </w:pPr>
            <w:r>
              <w:rPr>
                <w:rFonts w:ascii="Arial" w:cs="Arial" w:eastAsia="Arial" w:hAnsi="Arial"/>
                <w:sz w:val="18"/>
                <w:szCs w:val="18"/>
                <w:color w:val="131E29"/>
              </w:rPr>
              <w:t>Add: weighted-average effect of dilutive securities</w:t>
            </w:r>
          </w:p>
        </w:tc>
        <w:tc>
          <w:tcPr>
            <w:tcW w:w="34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520"/>
              <w:spacing w:after="0"/>
              <w:rPr>
                <w:sz w:val="20"/>
                <w:szCs w:val="20"/>
                <w:color w:val="auto"/>
              </w:rPr>
            </w:pPr>
            <w:r>
              <w:rPr>
                <w:rFonts w:ascii="Arial" w:cs="Arial" w:eastAsia="Arial" w:hAnsi="Arial"/>
                <w:sz w:val="18"/>
                <w:szCs w:val="18"/>
                <w:color w:val="131E29"/>
              </w:rPr>
              <w:t>RSAs</w:t>
            </w:r>
          </w:p>
        </w:tc>
        <w:tc>
          <w:tcPr>
            <w:tcW w:w="34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14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131E29"/>
              </w:rPr>
              <w:t>22</w:t>
            </w:r>
          </w:p>
        </w:tc>
        <w:tc>
          <w:tcPr>
            <w:tcW w:w="0" w:type="dxa"/>
            <w:vAlign w:val="bottom"/>
          </w:tcPr>
          <w:p>
            <w:pPr>
              <w:spacing w:after="0"/>
              <w:rPr>
                <w:sz w:val="1"/>
                <w:szCs w:val="1"/>
                <w:color w:val="auto"/>
              </w:rPr>
            </w:pPr>
          </w:p>
        </w:tc>
      </w:tr>
      <w:tr>
        <w:trPr>
          <w:trHeight w:val="270"/>
        </w:trPr>
        <w:tc>
          <w:tcPr>
            <w:tcW w:w="5700" w:type="dxa"/>
            <w:vAlign w:val="bottom"/>
            <w:shd w:val="clear" w:color="auto" w:fill="D2DCE5"/>
          </w:tcPr>
          <w:p>
            <w:pPr>
              <w:ind w:left="520"/>
              <w:spacing w:after="0"/>
              <w:rPr>
                <w:sz w:val="20"/>
                <w:szCs w:val="20"/>
                <w:color w:val="auto"/>
              </w:rPr>
            </w:pPr>
            <w:r>
              <w:rPr>
                <w:rFonts w:ascii="Arial" w:cs="Arial" w:eastAsia="Arial" w:hAnsi="Arial"/>
                <w:sz w:val="18"/>
                <w:szCs w:val="18"/>
                <w:color w:val="131E29"/>
              </w:rPr>
              <w:t>RSUs</w:t>
            </w:r>
          </w:p>
        </w:tc>
        <w:tc>
          <w:tcPr>
            <w:tcW w:w="34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440</w:t>
            </w:r>
          </w:p>
        </w:tc>
        <w:tc>
          <w:tcPr>
            <w:tcW w:w="100" w:type="dxa"/>
            <w:vAlign w:val="bottom"/>
            <w:shd w:val="clear" w:color="auto" w:fill="D2DCE5"/>
          </w:tcPr>
          <w:p>
            <w:pPr>
              <w:spacing w:after="0"/>
              <w:rPr>
                <w:sz w:val="23"/>
                <w:szCs w:val="23"/>
                <w:color w:val="auto"/>
              </w:rPr>
            </w:pPr>
          </w:p>
        </w:tc>
        <w:tc>
          <w:tcPr>
            <w:tcW w:w="360" w:type="dxa"/>
            <w:vAlign w:val="bottom"/>
            <w:tcBorders>
              <w:bottom w:val="single" w:sz="8" w:color="auto"/>
            </w:tcBorders>
            <w:shd w:val="clear" w:color="auto" w:fill="D2DCE5"/>
          </w:tcPr>
          <w:p>
            <w:pPr>
              <w:spacing w:after="0"/>
              <w:rPr>
                <w:sz w:val="23"/>
                <w:szCs w:val="23"/>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377</w:t>
            </w:r>
          </w:p>
        </w:tc>
        <w:tc>
          <w:tcPr>
            <w:tcW w:w="80" w:type="dxa"/>
            <w:vAlign w:val="bottom"/>
            <w:shd w:val="clear" w:color="auto" w:fill="D2DCE5"/>
          </w:tcPr>
          <w:p>
            <w:pPr>
              <w:spacing w:after="0"/>
              <w:rPr>
                <w:sz w:val="23"/>
                <w:szCs w:val="23"/>
                <w:color w:val="auto"/>
              </w:rPr>
            </w:pPr>
          </w:p>
        </w:tc>
        <w:tc>
          <w:tcPr>
            <w:tcW w:w="360" w:type="dxa"/>
            <w:vAlign w:val="bottom"/>
            <w:tcBorders>
              <w:bottom w:val="single" w:sz="8" w:color="auto"/>
            </w:tcBorders>
            <w:shd w:val="clear" w:color="auto" w:fill="D2DCE5"/>
          </w:tcPr>
          <w:p>
            <w:pPr>
              <w:spacing w:after="0"/>
              <w:rPr>
                <w:sz w:val="23"/>
                <w:szCs w:val="23"/>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563</w:t>
            </w:r>
          </w:p>
        </w:tc>
        <w:tc>
          <w:tcPr>
            <w:tcW w:w="100" w:type="dxa"/>
            <w:vAlign w:val="bottom"/>
            <w:shd w:val="clear" w:color="auto" w:fill="D2DCE5"/>
          </w:tcPr>
          <w:p>
            <w:pPr>
              <w:spacing w:after="0"/>
              <w:rPr>
                <w:sz w:val="23"/>
                <w:szCs w:val="23"/>
                <w:color w:val="auto"/>
              </w:rPr>
            </w:pPr>
          </w:p>
        </w:tc>
        <w:tc>
          <w:tcPr>
            <w:tcW w:w="400" w:type="dxa"/>
            <w:vAlign w:val="bottom"/>
            <w:tcBorders>
              <w:bottom w:val="single" w:sz="8" w:color="auto"/>
            </w:tcBorders>
            <w:shd w:val="clear" w:color="auto" w:fill="D2DCE5"/>
          </w:tcPr>
          <w:p>
            <w:pPr>
              <w:spacing w:after="0"/>
              <w:rPr>
                <w:sz w:val="23"/>
                <w:szCs w:val="23"/>
                <w:color w:val="auto"/>
              </w:rPr>
            </w:pPr>
          </w:p>
        </w:tc>
        <w:tc>
          <w:tcPr>
            <w:tcW w:w="9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380</w:t>
            </w:r>
          </w:p>
        </w:tc>
        <w:tc>
          <w:tcPr>
            <w:tcW w:w="0" w:type="dxa"/>
            <w:vAlign w:val="bottom"/>
          </w:tcPr>
          <w:p>
            <w:pPr>
              <w:spacing w:after="0"/>
              <w:rPr>
                <w:sz w:val="1"/>
                <w:szCs w:val="1"/>
                <w:color w:val="auto"/>
              </w:rPr>
            </w:pPr>
          </w:p>
        </w:tc>
      </w:tr>
      <w:tr>
        <w:trPr>
          <w:trHeight w:val="204"/>
        </w:trPr>
        <w:tc>
          <w:tcPr>
            <w:tcW w:w="5700" w:type="dxa"/>
            <w:vAlign w:val="bottom"/>
          </w:tcPr>
          <w:p>
            <w:pPr>
              <w:ind w:left="360"/>
              <w:spacing w:after="0" w:line="204" w:lineRule="exact"/>
              <w:rPr>
                <w:sz w:val="20"/>
                <w:szCs w:val="20"/>
                <w:color w:val="auto"/>
              </w:rPr>
            </w:pPr>
            <w:r>
              <w:rPr>
                <w:rFonts w:ascii="Arial" w:cs="Arial" w:eastAsia="Arial" w:hAnsi="Arial"/>
                <w:sz w:val="18"/>
                <w:szCs w:val="18"/>
                <w:color w:val="131E29"/>
              </w:rPr>
              <w:t>Weighted-average number of shares of Class A and Class D</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131E29"/>
              </w:rPr>
              <w:t>common stock outstanding used to calculate diluted net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700" w:type="dxa"/>
            <w:vAlign w:val="bottom"/>
            <w:tcBorders>
              <w:bottom w:val="single" w:sz="8" w:color="D2DCE5"/>
            </w:tcBorders>
          </w:tcPr>
          <w:p>
            <w:pPr>
              <w:ind w:left="360"/>
              <w:spacing w:after="0"/>
              <w:rPr>
                <w:sz w:val="20"/>
                <w:szCs w:val="20"/>
                <w:color w:val="auto"/>
              </w:rPr>
            </w:pPr>
            <w:r>
              <w:rPr>
                <w:rFonts w:ascii="Arial" w:cs="Arial" w:eastAsia="Arial" w:hAnsi="Arial"/>
                <w:sz w:val="18"/>
                <w:szCs w:val="18"/>
                <w:color w:val="131E29"/>
              </w:rPr>
              <w:t>income per share ¹</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126,830</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102,356</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124,178</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93,049</w:t>
            </w:r>
          </w:p>
        </w:tc>
        <w:tc>
          <w:tcPr>
            <w:tcW w:w="0" w:type="dxa"/>
            <w:vAlign w:val="bottom"/>
          </w:tcPr>
          <w:p>
            <w:pPr>
              <w:spacing w:after="0"/>
              <w:rPr>
                <w:sz w:val="1"/>
                <w:szCs w:val="1"/>
                <w:color w:val="auto"/>
              </w:rPr>
            </w:pPr>
          </w:p>
        </w:tc>
      </w:tr>
      <w:tr>
        <w:trPr>
          <w:trHeight w:val="204"/>
        </w:trPr>
        <w:tc>
          <w:tcPr>
            <w:tcW w:w="5700" w:type="dxa"/>
            <w:vAlign w:val="bottom"/>
            <w:shd w:val="clear" w:color="auto" w:fill="D2DCE5"/>
          </w:tcPr>
          <w:p>
            <w:pPr>
              <w:ind w:left="20"/>
              <w:spacing w:after="0" w:line="204" w:lineRule="exact"/>
              <w:rPr>
                <w:sz w:val="20"/>
                <w:szCs w:val="20"/>
                <w:color w:val="auto"/>
              </w:rPr>
            </w:pPr>
            <w:r>
              <w:rPr>
                <w:rFonts w:ascii="Arial" w:cs="Arial" w:eastAsia="Arial" w:hAnsi="Arial"/>
                <w:sz w:val="18"/>
                <w:szCs w:val="18"/>
                <w:b w:val="1"/>
                <w:bCs w:val="1"/>
                <w:color w:val="131E29"/>
              </w:rPr>
              <w:t>Diluted net income per share attributable to common</w:t>
            </w:r>
          </w:p>
        </w:tc>
        <w:tc>
          <w:tcPr>
            <w:tcW w:w="34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60" w:type="dxa"/>
            <w:vAlign w:val="bottom"/>
            <w:vMerge w:val="restart"/>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98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0.12</w:t>
            </w:r>
          </w:p>
        </w:tc>
        <w:tc>
          <w:tcPr>
            <w:tcW w:w="80" w:type="dxa"/>
            <w:vAlign w:val="bottom"/>
            <w:shd w:val="clear" w:color="auto" w:fill="D2DCE5"/>
          </w:tcPr>
          <w:p>
            <w:pPr>
              <w:spacing w:after="0"/>
              <w:rPr>
                <w:sz w:val="17"/>
                <w:szCs w:val="17"/>
                <w:color w:val="auto"/>
              </w:rPr>
            </w:pPr>
          </w:p>
        </w:tc>
        <w:tc>
          <w:tcPr>
            <w:tcW w:w="360" w:type="dxa"/>
            <w:vAlign w:val="bottom"/>
            <w:vMerge w:val="restart"/>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006098"/>
              </w:rPr>
              <w:t>0.33</w:t>
            </w:r>
          </w:p>
        </w:tc>
        <w:tc>
          <w:tcPr>
            <w:tcW w:w="100" w:type="dxa"/>
            <w:vAlign w:val="bottom"/>
            <w:shd w:val="clear" w:color="auto" w:fill="D2DCE5"/>
          </w:tcPr>
          <w:p>
            <w:pPr>
              <w:spacing w:after="0"/>
              <w:rPr>
                <w:sz w:val="17"/>
                <w:szCs w:val="17"/>
                <w:color w:val="auto"/>
              </w:rPr>
            </w:pPr>
          </w:p>
        </w:tc>
        <w:tc>
          <w:tcPr>
            <w:tcW w:w="400" w:type="dxa"/>
            <w:vAlign w:val="bottom"/>
            <w:vMerge w:val="restart"/>
            <w:shd w:val="clear" w:color="auto" w:fill="D2DCE5"/>
          </w:tcPr>
          <w:p>
            <w:pPr>
              <w:jc w:val="right"/>
              <w:ind w:right="210"/>
              <w:spacing w:after="0"/>
              <w:rPr>
                <w:sz w:val="20"/>
                <w:szCs w:val="20"/>
                <w:color w:val="auto"/>
              </w:rPr>
            </w:pPr>
            <w:r>
              <w:rPr>
                <w:rFonts w:ascii="Arial" w:cs="Arial" w:eastAsia="Arial" w:hAnsi="Arial"/>
                <w:sz w:val="18"/>
                <w:szCs w:val="18"/>
                <w:b w:val="1"/>
                <w:bCs w:val="1"/>
                <w:color w:val="131E29"/>
                <w:w w:val="79"/>
              </w:rPr>
              <w:t>$</w:t>
            </w:r>
          </w:p>
        </w:tc>
        <w:tc>
          <w:tcPr>
            <w:tcW w:w="90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0.20</w:t>
            </w:r>
          </w:p>
        </w:tc>
        <w:tc>
          <w:tcPr>
            <w:tcW w:w="0" w:type="dxa"/>
            <w:vAlign w:val="bottom"/>
          </w:tcPr>
          <w:p>
            <w:pPr>
              <w:spacing w:after="0"/>
              <w:rPr>
                <w:sz w:val="1"/>
                <w:szCs w:val="1"/>
                <w:color w:val="auto"/>
              </w:rPr>
            </w:pPr>
          </w:p>
        </w:tc>
      </w:tr>
      <w:tr>
        <w:trPr>
          <w:trHeight w:val="255"/>
        </w:trPr>
        <w:tc>
          <w:tcPr>
            <w:tcW w:w="57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b w:val="1"/>
                <w:bCs w:val="1"/>
                <w:color w:val="131E29"/>
              </w:rPr>
              <w:t>stockholders ¹</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0.20</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vMerge w:val="continue"/>
            <w:shd w:val="clear" w:color="auto" w:fill="D2DCE5"/>
          </w:tcPr>
          <w:p>
            <w:pPr>
              <w:spacing w:after="0"/>
              <w:rPr>
                <w:sz w:val="22"/>
                <w:szCs w:val="22"/>
                <w:color w:val="auto"/>
              </w:rPr>
            </w:pPr>
          </w:p>
        </w:tc>
        <w:tc>
          <w:tcPr>
            <w:tcW w:w="980" w:type="dxa"/>
            <w:vAlign w:val="bottom"/>
            <w:tcBorders>
              <w:bottom w:val="single" w:sz="8" w:color="auto"/>
            </w:tcBorders>
            <w:vMerge w:val="continue"/>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auto"/>
            </w:tcBorders>
            <w:vMerge w:val="continue"/>
            <w:shd w:val="clear" w:color="auto" w:fill="D2DCE5"/>
          </w:tcPr>
          <w:p>
            <w:pPr>
              <w:spacing w:after="0"/>
              <w:rPr>
                <w:sz w:val="22"/>
                <w:szCs w:val="22"/>
                <w:color w:val="auto"/>
              </w:rPr>
            </w:pPr>
          </w:p>
        </w:tc>
        <w:tc>
          <w:tcPr>
            <w:tcW w:w="960" w:type="dxa"/>
            <w:vAlign w:val="bottom"/>
            <w:tcBorders>
              <w:bottom w:val="single" w:sz="8" w:color="auto"/>
            </w:tcBorders>
            <w:vMerge w:val="continue"/>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400" w:type="dxa"/>
            <w:vAlign w:val="bottom"/>
            <w:tcBorders>
              <w:bottom w:val="single" w:sz="8" w:color="auto"/>
            </w:tcBorders>
            <w:vMerge w:val="continue"/>
            <w:shd w:val="clear" w:color="auto" w:fill="D2DCE5"/>
          </w:tcPr>
          <w:p>
            <w:pPr>
              <w:spacing w:after="0"/>
              <w:rPr>
                <w:sz w:val="22"/>
                <w:szCs w:val="22"/>
                <w:color w:val="auto"/>
              </w:rPr>
            </w:pPr>
          </w:p>
        </w:tc>
        <w:tc>
          <w:tcPr>
            <w:tcW w:w="900" w:type="dxa"/>
            <w:vAlign w:val="bottom"/>
            <w:tcBorders>
              <w:bottom w:val="single" w:sz="8" w:color="auto"/>
            </w:tcBorders>
            <w:vMerge w:val="continue"/>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9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73" w:lineRule="exact"/>
        <w:rPr>
          <w:sz w:val="20"/>
          <w:szCs w:val="20"/>
          <w:color w:val="auto"/>
        </w:rPr>
      </w:pPr>
    </w:p>
    <w:p>
      <w:pPr>
        <w:ind w:left="180" w:hanging="172"/>
        <w:spacing w:after="0" w:line="222" w:lineRule="auto"/>
        <w:tabs>
          <w:tab w:leader="none" w:pos="96" w:val="left"/>
        </w:tabs>
        <w:numPr>
          <w:ilvl w:val="0"/>
          <w:numId w:val="11"/>
        </w:numPr>
        <w:rPr>
          <w:rFonts w:ascii="Arial" w:cs="Arial" w:eastAsia="Arial" w:hAnsi="Arial"/>
          <w:sz w:val="19"/>
          <w:szCs w:val="19"/>
          <w:color w:val="131E29"/>
          <w:vertAlign w:val="superscript"/>
        </w:rPr>
      </w:pPr>
      <w:r>
        <w:rPr>
          <w:rFonts w:ascii="Arial" w:cs="Arial" w:eastAsia="Arial" w:hAnsi="Arial"/>
          <w:sz w:val="14"/>
          <w:szCs w:val="14"/>
          <w:color w:val="131E29"/>
        </w:rPr>
        <w:t>Class D common shares were included in net income per share and weighted-average number of shares calculations in periods prior to June 2024. As of June 2024, all Class D common shares were converted to Class A common shares.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following Class A common stock equivalents were excluded from diluted net income per share in the periods presented because they were anti-dilutive: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0" w:type="dxa"/>
            <w:vAlign w:val="bottom"/>
            <w:gridSpan w:val="4"/>
          </w:tcPr>
          <w:p>
            <w:pPr>
              <w:ind w:left="80"/>
              <w:spacing w:after="0"/>
              <w:rPr>
                <w:sz w:val="20"/>
                <w:szCs w:val="20"/>
                <w:color w:val="auto"/>
              </w:rPr>
            </w:pPr>
            <w:r>
              <w:rPr>
                <w:rFonts w:ascii="Arial" w:cs="Arial" w:eastAsia="Arial" w:hAnsi="Arial"/>
                <w:sz w:val="18"/>
                <w:szCs w:val="18"/>
                <w:b w:val="1"/>
                <w:bCs w:val="1"/>
                <w:color w:val="131E29"/>
              </w:rPr>
              <w:t>Three Months Ended June 30,</w:t>
            </w: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30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1300" w:type="dxa"/>
            <w:vAlign w:val="bottom"/>
            <w:tcBorders>
              <w:top w:val="single" w:sz="8" w:color="D7282F"/>
              <w:bottom w:val="single" w:sz="8" w:color="D7282F"/>
            </w:tcBorders>
          </w:tcPr>
          <w:p>
            <w:pPr>
              <w:jc w:val="right"/>
              <w:ind w:right="35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3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1280" w:type="dxa"/>
            <w:vAlign w:val="bottom"/>
            <w:tcBorders>
              <w:top w:val="single" w:sz="8" w:color="D7282F"/>
              <w:bottom w:val="single" w:sz="8" w:color="D7282F"/>
            </w:tcBorders>
          </w:tcPr>
          <w:p>
            <w:pPr>
              <w:jc w:val="right"/>
              <w:ind w:right="35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7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PSUs</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63</w:t>
            </w:r>
          </w:p>
        </w:tc>
        <w:tc>
          <w:tcPr>
            <w:tcW w:w="100" w:type="dxa"/>
            <w:vAlign w:val="bottom"/>
            <w:shd w:val="clear" w:color="auto" w:fill="D2DCE5"/>
          </w:tcPr>
          <w:p>
            <w:pPr>
              <w:spacing w:after="0"/>
              <w:rPr>
                <w:sz w:val="23"/>
                <w:szCs w:val="23"/>
                <w:color w:val="auto"/>
              </w:rPr>
            </w:pPr>
          </w:p>
        </w:tc>
        <w:tc>
          <w:tcPr>
            <w:tcW w:w="140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3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46</w:t>
            </w:r>
          </w:p>
        </w:tc>
        <w:tc>
          <w:tcPr>
            <w:tcW w:w="100" w:type="dxa"/>
            <w:vAlign w:val="bottom"/>
            <w:shd w:val="clear" w:color="auto" w:fill="D2DCE5"/>
          </w:tcPr>
          <w:p>
            <w:pPr>
              <w:spacing w:after="0"/>
              <w:rPr>
                <w:sz w:val="23"/>
                <w:szCs w:val="23"/>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70"/>
        </w:trPr>
        <w:tc>
          <w:tcPr>
            <w:tcW w:w="57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RSUs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243</w:t>
            </w:r>
          </w:p>
        </w:tc>
        <w:tc>
          <w:tcPr>
            <w:tcW w:w="100" w:type="dxa"/>
            <w:vAlign w:val="bottom"/>
            <w:tcBorders>
              <w:bottom w:val="single" w:sz="8" w:color="D2DCE5"/>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87</w:t>
            </w:r>
          </w:p>
        </w:tc>
        <w:tc>
          <w:tcPr>
            <w:tcW w:w="100" w:type="dxa"/>
            <w:vAlign w:val="bottom"/>
            <w:tcBorders>
              <w:bottom w:val="single" w:sz="8" w:color="D2DCE5"/>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172</w:t>
            </w:r>
          </w:p>
        </w:tc>
        <w:tc>
          <w:tcPr>
            <w:tcW w:w="100" w:type="dxa"/>
            <w:vAlign w:val="bottom"/>
            <w:tcBorders>
              <w:bottom w:val="single" w:sz="8" w:color="D2DCE5"/>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101</w:t>
            </w:r>
          </w:p>
        </w:tc>
      </w:tr>
      <w:tr>
        <w:trPr>
          <w:trHeight w:val="288"/>
        </w:trPr>
        <w:tc>
          <w:tcPr>
            <w:tcW w:w="57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anti-dilutive securities</w:t>
            </w: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306</w:t>
            </w:r>
          </w:p>
        </w:tc>
        <w:tc>
          <w:tcPr>
            <w:tcW w:w="100" w:type="dxa"/>
            <w:vAlign w:val="bottom"/>
            <w:tcBorders>
              <w:bottom w:val="single" w:sz="8" w:color="D2DCE5"/>
            </w:tcBorders>
            <w:shd w:val="clear" w:color="auto" w:fill="D2DCE5"/>
          </w:tcPr>
          <w:p>
            <w:pPr>
              <w:spacing w:after="0"/>
              <w:rPr>
                <w:sz w:val="24"/>
                <w:szCs w:val="24"/>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87</w:t>
            </w:r>
          </w:p>
        </w:tc>
        <w:tc>
          <w:tcPr>
            <w:tcW w:w="100" w:type="dxa"/>
            <w:vAlign w:val="bottom"/>
            <w:tcBorders>
              <w:bottom w:val="single" w:sz="8" w:color="D2DCE5"/>
            </w:tcBorders>
            <w:shd w:val="clear" w:color="auto" w:fill="D2DCE5"/>
          </w:tcPr>
          <w:p>
            <w:pPr>
              <w:spacing w:after="0"/>
              <w:rPr>
                <w:sz w:val="24"/>
                <w:szCs w:val="24"/>
                <w:color w:val="auto"/>
              </w:rPr>
            </w:pP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218</w:t>
            </w:r>
          </w:p>
        </w:tc>
        <w:tc>
          <w:tcPr>
            <w:tcW w:w="100" w:type="dxa"/>
            <w:vAlign w:val="bottom"/>
            <w:tcBorders>
              <w:bottom w:val="single" w:sz="8" w:color="D2DCE5"/>
            </w:tcBorders>
            <w:shd w:val="clear" w:color="auto" w:fill="D2DCE5"/>
          </w:tcPr>
          <w:p>
            <w:pPr>
              <w:spacing w:after="0"/>
              <w:rPr>
                <w:sz w:val="24"/>
                <w:szCs w:val="24"/>
                <w:color w:val="auto"/>
              </w:rPr>
            </w:pPr>
          </w:p>
        </w:tc>
        <w:tc>
          <w:tcPr>
            <w:tcW w:w="1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101</w:t>
            </w:r>
          </w:p>
        </w:tc>
      </w:tr>
      <w:tr>
        <w:trPr>
          <w:trHeight w:val="20"/>
        </w:trPr>
        <w:tc>
          <w:tcPr>
            <w:tcW w:w="56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80" w:type="dxa"/>
            <w:vAlign w:val="bottom"/>
            <w:tcBorders>
              <w:top w:val="single" w:sz="8" w:color="D2DCE5"/>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15 —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Purchase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enter into fixed-price and price-to-be fixed green coffee purchase commitments. For both fixed-price and price-to-be 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Guarantees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periodically provide guarantees to franchise partners for lease payments. Annually, we determine if a liability needs to be recorded related to these guarantees. As of June 30, 2025 and December 31, 2024, we had guaranteed approximately $8.0 million and $8.2 million, respectively, in franchise partners’ lease payments and have not established a liability for these guarantees as any liability arising from the guarantees is not material to the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Legal Proceedings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Any claim, proceeding, or litigation has an element of uncertainty, and an unfavorable outcome may have a material adverse effect on the Company’s financial condition, results of operations, or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Liabilities Under Tax Receivable Agreements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June 30, 2025, Dutch Bros Inc. recognized $824.4 million of liabilities related to its obligations under the TRAs. Refer to NOTE 11 — Income Taxes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16 —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Related party transactions were as follows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gridSpan w:val="7"/>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Distributions and TRA payments to Co-Founder and Sponsor ¹</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006098"/>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11,494</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280" w:type="dxa"/>
            <w:vAlign w:val="bottom"/>
            <w:gridSpan w:val="3"/>
            <w:shd w:val="clear" w:color="auto" w:fill="D2DCE5"/>
          </w:tcPr>
          <w:p>
            <w:pPr>
              <w:ind w:left="760"/>
              <w:spacing w:after="0"/>
              <w:rPr>
                <w:sz w:val="20"/>
                <w:szCs w:val="20"/>
                <w:color w:val="auto"/>
              </w:rPr>
            </w:pPr>
            <w:r>
              <w:rPr>
                <w:rFonts w:ascii="Arial" w:cs="Arial" w:eastAsia="Arial" w:hAnsi="Arial"/>
                <w:sz w:val="18"/>
                <w:szCs w:val="18"/>
                <w:color w:val="131E29"/>
              </w:rPr>
              <w:t xml:space="preserve">—  </w:t>
            </w:r>
            <w:r>
              <w:rPr>
                <w:rFonts w:ascii="Arial" w:cs="Arial" w:eastAsia="Arial" w:hAnsi="Arial"/>
                <w:sz w:val="18"/>
                <w:szCs w:val="18"/>
                <w:color w:val="006098"/>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11,565</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74"/>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Donations to Dutch Bros Foundation</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2,062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1,562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2,125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1,625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71" w:lineRule="exact"/>
        <w:rPr>
          <w:sz w:val="20"/>
          <w:szCs w:val="20"/>
          <w:color w:val="auto"/>
        </w:rPr>
      </w:pPr>
    </w:p>
    <w:p>
      <w:pPr>
        <w:ind w:left="80" w:hanging="72"/>
        <w:spacing w:after="0"/>
        <w:tabs>
          <w:tab w:leader="none" w:pos="80" w:val="left"/>
        </w:tabs>
        <w:numPr>
          <w:ilvl w:val="0"/>
          <w:numId w:val="12"/>
        </w:numPr>
        <w:rPr>
          <w:rFonts w:ascii="Arial" w:cs="Arial" w:eastAsia="Arial" w:hAnsi="Arial"/>
          <w:sz w:val="19"/>
          <w:szCs w:val="19"/>
          <w:color w:val="131E29"/>
          <w:vertAlign w:val="superscript"/>
        </w:rPr>
      </w:pPr>
      <w:r>
        <w:rPr>
          <w:rFonts w:ascii="Arial" w:cs="Arial" w:eastAsia="Arial" w:hAnsi="Arial"/>
          <w:sz w:val="14"/>
          <w:szCs w:val="14"/>
          <w:color w:val="131E29"/>
        </w:rPr>
        <w:t>See NOTE 11 — Income Taxes and NOTE 13 — Non-Controlling Interests for further information.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Dutch Bros Foundation is a not-for-profit organization founded by our Company that provides philanthropy to coffee farmers and local communities. Our Vice Chair, Chief Financial Officer, Chief People Officer, and Chief Legal Officer serve on the board of directors, our Vice Chair serves as the President, and our Chief Legal Officer serves as the Secretary-Treasurer.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17 — Segment Reporting</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coffee shop sales to end consumers. The Franchising and other segment includes bean and product sales to franchise partners, initial franchise fees, royalties, and marketing fees related to the franchise partners, as well as sales of products through our website.</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131E29"/>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No changes have been made to our segments during the three and six months ended June 30, 2025. In addition, no customer represented 10% or more of total revenue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Financial information for our reportable segments was as follows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2"/>
                <w:szCs w:val="22"/>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5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00" w:type="dxa"/>
            <w:vAlign w:val="bottom"/>
            <w:tcBorders>
              <w:top w:val="single" w:sz="8" w:color="D7282F"/>
              <w:bottom w:val="single" w:sz="8" w:color="D7282F"/>
            </w:tcBorders>
          </w:tcPr>
          <w:p>
            <w:pPr>
              <w:spacing w:after="0"/>
              <w:rPr>
                <w:sz w:val="22"/>
                <w:szCs w:val="22"/>
                <w:color w:val="auto"/>
              </w:rPr>
            </w:pPr>
          </w:p>
        </w:tc>
        <w:tc>
          <w:tcPr>
            <w:tcW w:w="102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D7282F"/>
              <w:bottom w:val="single" w:sz="8" w:color="D7282F"/>
            </w:tcBorders>
          </w:tcPr>
          <w:p>
            <w:pPr>
              <w:spacing w:after="0"/>
              <w:rPr>
                <w:sz w:val="22"/>
                <w:szCs w:val="22"/>
                <w:color w:val="auto"/>
              </w:rPr>
            </w:pPr>
          </w:p>
        </w:tc>
        <w:tc>
          <w:tcPr>
            <w:tcW w:w="116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280" w:type="dxa"/>
            <w:vAlign w:val="bottom"/>
            <w:tcBorders>
              <w:top w:val="single" w:sz="8" w:color="D7282F"/>
              <w:bottom w:val="single" w:sz="8" w:color="D7282F"/>
            </w:tcBorders>
          </w:tcPr>
          <w:p>
            <w:pPr>
              <w:spacing w:after="0"/>
              <w:rPr>
                <w:sz w:val="22"/>
                <w:szCs w:val="22"/>
                <w:color w:val="auto"/>
              </w:rPr>
            </w:pPr>
          </w:p>
        </w:tc>
        <w:tc>
          <w:tcPr>
            <w:tcW w:w="1040" w:type="dxa"/>
            <w:vAlign w:val="bottom"/>
            <w:tcBorders>
              <w:top w:val="single" w:sz="8" w:color="D7282F"/>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Revenues</w:t>
            </w: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47"/>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jc w:val="right"/>
              <w:ind w:right="90"/>
              <w:spacing w:after="0"/>
              <w:rPr>
                <w:sz w:val="20"/>
                <w:szCs w:val="20"/>
                <w:color w:val="auto"/>
              </w:rPr>
            </w:pPr>
            <w:r>
              <w:rPr>
                <w:rFonts w:ascii="Arial" w:cs="Arial" w:eastAsia="Arial" w:hAnsi="Arial"/>
                <w:sz w:val="18"/>
                <w:szCs w:val="18"/>
                <w:color w:val="006098"/>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006098"/>
              </w:rPr>
              <w:t>380,500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295,268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6098"/>
              </w:rPr>
              <w:t>706,921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543,353</w:t>
            </w: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35,313</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29,650</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64,044</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56,664</w:t>
            </w:r>
          </w:p>
        </w:tc>
      </w:tr>
      <w:tr>
        <w:trPr>
          <w:trHeight w:val="241"/>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415,813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324,918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770,965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600,017</w:t>
            </w:r>
          </w:p>
        </w:tc>
      </w:tr>
      <w:tr>
        <w:trPr>
          <w:trHeight w:val="23"/>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Cost of sales</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11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r>
      <w:tr>
        <w:trPr>
          <w:trHeight w:val="247"/>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Beverage, food &amp; packaging</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96,468</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75,147</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177,847</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138,863</w:t>
            </w:r>
          </w:p>
        </w:tc>
      </w:tr>
      <w:tr>
        <w:trPr>
          <w:trHeight w:val="247"/>
        </w:trPr>
        <w:tc>
          <w:tcPr>
            <w:tcW w:w="5660" w:type="dxa"/>
            <w:vAlign w:val="bottom"/>
            <w:gridSpan w:val="2"/>
          </w:tcPr>
          <w:p>
            <w:pPr>
              <w:ind w:left="300"/>
              <w:spacing w:after="0"/>
              <w:rPr>
                <w:sz w:val="20"/>
                <w:szCs w:val="20"/>
                <w:color w:val="auto"/>
              </w:rPr>
            </w:pPr>
            <w:r>
              <w:rPr>
                <w:rFonts w:ascii="Arial" w:cs="Arial" w:eastAsia="Arial" w:hAnsi="Arial"/>
                <w:sz w:val="18"/>
                <w:szCs w:val="18"/>
                <w:color w:val="131E29"/>
              </w:rPr>
              <w:t>Labor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101,270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80,236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190,709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145,663</w:t>
            </w: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Occupancy &amp; other costs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59,984</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44,277</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113,911</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85,773</w:t>
            </w:r>
          </w:p>
        </w:tc>
      </w:tr>
      <w:tr>
        <w:trPr>
          <w:trHeight w:val="247"/>
        </w:trPr>
        <w:tc>
          <w:tcPr>
            <w:tcW w:w="5660" w:type="dxa"/>
            <w:vAlign w:val="bottom"/>
            <w:gridSpan w:val="2"/>
          </w:tcPr>
          <w:p>
            <w:pPr>
              <w:ind w:left="300"/>
              <w:spacing w:after="0"/>
              <w:rPr>
                <w:sz w:val="20"/>
                <w:szCs w:val="20"/>
                <w:color w:val="auto"/>
              </w:rPr>
            </w:pPr>
            <w:r>
              <w:rPr>
                <w:rFonts w:ascii="Arial" w:cs="Arial" w:eastAsia="Arial" w:hAnsi="Arial"/>
                <w:sz w:val="18"/>
                <w:szCs w:val="18"/>
                <w:color w:val="131E29"/>
              </w:rPr>
              <w:t>Pre-opening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4,542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4,554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10,153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8,001</w:t>
            </w: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6,429</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8,308</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15,204</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16,483</w:t>
            </w:r>
          </w:p>
        </w:tc>
      </w:tr>
      <w:tr>
        <w:trPr>
          <w:trHeight w:val="263"/>
        </w:trPr>
        <w:tc>
          <w:tcPr>
            <w:tcW w:w="5660" w:type="dxa"/>
            <w:vAlign w:val="bottom"/>
            <w:tcBorders>
              <w:bottom w:val="single" w:sz="8" w:color="D2DCE5"/>
            </w:tcBorders>
            <w:gridSpan w:val="2"/>
          </w:tcPr>
          <w:p>
            <w:pPr>
              <w:ind w:left="360"/>
              <w:spacing w:after="0"/>
              <w:rPr>
                <w:sz w:val="20"/>
                <w:szCs w:val="20"/>
                <w:color w:val="auto"/>
              </w:rPr>
            </w:pPr>
            <w:r>
              <w:rPr>
                <w:rFonts w:ascii="Arial" w:cs="Arial" w:eastAsia="Arial" w:hAnsi="Arial"/>
                <w:sz w:val="18"/>
                <w:szCs w:val="18"/>
                <w:color w:val="131E29"/>
              </w:rPr>
              <w:t>Segment cost of sales</w:t>
            </w:r>
            <w:r>
              <w:rPr>
                <w:rFonts w:ascii="Arial" w:cs="Arial" w:eastAsia="Arial" w:hAnsi="Arial"/>
                <w:sz w:val="23"/>
                <w:szCs w:val="23"/>
                <w:color w:val="131E29"/>
                <w:vertAlign w:val="superscript"/>
              </w:rPr>
              <w:t>1</w:t>
            </w: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06098"/>
              </w:rPr>
              <w:t>268,693</w:t>
            </w:r>
          </w:p>
        </w:tc>
        <w:tc>
          <w:tcPr>
            <w:tcW w:w="100" w:type="dxa"/>
            <w:vAlign w:val="bottom"/>
            <w:tcBorders>
              <w:bottom w:val="single" w:sz="8" w:color="D2DCE5"/>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212,522</w:t>
            </w:r>
          </w:p>
        </w:tc>
        <w:tc>
          <w:tcPr>
            <w:tcW w:w="100" w:type="dxa"/>
            <w:vAlign w:val="bottom"/>
            <w:tcBorders>
              <w:bottom w:val="single" w:sz="8" w:color="D2DCE5"/>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06098"/>
              </w:rPr>
              <w:t>507,824</w:t>
            </w:r>
          </w:p>
        </w:tc>
        <w:tc>
          <w:tcPr>
            <w:tcW w:w="100" w:type="dxa"/>
            <w:vAlign w:val="bottom"/>
            <w:tcBorders>
              <w:bottom w:val="single" w:sz="8" w:color="D2DCE5"/>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394,783</w:t>
            </w:r>
          </w:p>
        </w:tc>
      </w:tr>
      <w:tr>
        <w:trPr>
          <w:trHeight w:val="25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Segment contribution</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11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r>
      <w:tr>
        <w:trPr>
          <w:trHeight w:val="247"/>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118,236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91,054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214,301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165,053</w:t>
            </w: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28,884</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21,342</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48,840</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40,181</w:t>
            </w:r>
          </w:p>
        </w:tc>
      </w:tr>
      <w:tr>
        <w:trPr>
          <w:trHeight w:val="263"/>
        </w:trPr>
        <w:tc>
          <w:tcPr>
            <w:tcW w:w="5660" w:type="dxa"/>
            <w:vAlign w:val="bottom"/>
            <w:gridSpan w:val="2"/>
          </w:tcPr>
          <w:p>
            <w:pPr>
              <w:ind w:left="360"/>
              <w:spacing w:after="0"/>
              <w:rPr>
                <w:sz w:val="20"/>
                <w:szCs w:val="20"/>
                <w:color w:val="auto"/>
              </w:rPr>
            </w:pPr>
            <w:r>
              <w:rPr>
                <w:rFonts w:ascii="Arial" w:cs="Arial" w:eastAsia="Arial" w:hAnsi="Arial"/>
                <w:sz w:val="18"/>
                <w:szCs w:val="18"/>
                <w:b w:val="1"/>
                <w:bCs w:val="1"/>
                <w:color w:val="131E29"/>
              </w:rPr>
              <w:t>Total segment contribution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147,120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112,396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263,141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205,234</w:t>
            </w:r>
          </w:p>
        </w:tc>
      </w:tr>
      <w:tr>
        <w:trPr>
          <w:trHeight w:val="20"/>
        </w:trPr>
        <w:tc>
          <w:tcPr>
            <w:tcW w:w="5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r>
      <w:tr>
        <w:trPr>
          <w:trHeight w:val="247"/>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Segment 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(27,076)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(22,115)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(53,104)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(43,104)</w:t>
            </w: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47"/>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(65,385)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(58,097)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(124,306)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(104,330)</w:t>
            </w: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(7,076)</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(6,997)</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(14,191)</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(13,390)</w:t>
            </w:r>
          </w:p>
        </w:tc>
      </w:tr>
      <w:tr>
        <w:trPr>
          <w:trHeight w:val="247"/>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Other income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(1,983)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(2,001)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6,593</w:t>
            </w:r>
          </w:p>
        </w:tc>
      </w:tr>
      <w:tr>
        <w:trPr>
          <w:trHeight w:val="23"/>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Income before income taxes</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45,600</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26,016</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69,539</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51,003</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__________________</w:t>
      </w:r>
    </w:p>
    <w:p>
      <w:pPr>
        <w:spacing w:after="0" w:line="44" w:lineRule="exact"/>
        <w:rPr>
          <w:sz w:val="20"/>
          <w:szCs w:val="20"/>
          <w:color w:val="auto"/>
        </w:rPr>
      </w:pPr>
    </w:p>
    <w:p>
      <w:pPr>
        <w:ind w:left="80" w:hanging="72"/>
        <w:spacing w:after="0"/>
        <w:tabs>
          <w:tab w:leader="none" w:pos="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Segment cost of sales for this presentation excludes the impact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D7282F"/>
        </w:rPr>
        <w:t>ITEM 2. MANAGEMENT’S DISCUSSION AND ANALYSIS OF FINANCIAL CONDITION AND RESULTS OF OPERATIONS</w:t>
      </w:r>
    </w:p>
    <w:p>
      <w:pPr>
        <w:spacing w:after="0" w:line="56" w:lineRule="exact"/>
        <w:rPr>
          <w:sz w:val="20"/>
          <w:szCs w:val="20"/>
          <w:color w:val="auto"/>
        </w:rPr>
      </w:pPr>
    </w:p>
    <w:p>
      <w:pPr>
        <w:jc w:val="center"/>
        <w:ind w:left="340" w:right="440"/>
        <w:spacing w:after="0" w:line="298" w:lineRule="auto"/>
        <w:rPr>
          <w:sz w:val="20"/>
          <w:szCs w:val="20"/>
          <w:color w:val="auto"/>
        </w:rPr>
      </w:pPr>
      <w:r>
        <w:rPr>
          <w:rFonts w:ascii="Arial" w:cs="Arial" w:eastAsia="Arial" w:hAnsi="Arial"/>
          <w:sz w:val="25"/>
          <w:szCs w:val="25"/>
          <w:b w:val="1"/>
          <w:bCs w:val="1"/>
          <w:color w:val="00416B"/>
        </w:rPr>
        <w:t>Index to Management’s Discussion and Analysis of Financial Condition and Results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6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006098"/>
              </w:rPr>
              <w:t>Section</w:t>
            </w:r>
          </w:p>
        </w:tc>
        <w:tc>
          <w:tcPr>
            <w:tcW w:w="100" w:type="dxa"/>
            <w:vAlign w:val="bottom"/>
            <w:tcBorders>
              <w:bottom w:val="single" w:sz="8" w:color="D2DCE5"/>
            </w:tcBorders>
          </w:tcPr>
          <w:p>
            <w:pPr>
              <w:spacing w:after="0"/>
              <w:rPr>
                <w:sz w:val="22"/>
                <w:szCs w:val="22"/>
                <w:color w:val="auto"/>
              </w:rPr>
            </w:pPr>
          </w:p>
        </w:tc>
        <w:tc>
          <w:tcPr>
            <w:tcW w:w="108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006098"/>
              </w:rPr>
              <w:t>Page</w:t>
            </w: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Overview and Highlights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33</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Impact of Global Events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33</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Results of Operations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34</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Key Performance Indicators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Company-operated Shops Results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37</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Franchising and Other Segment Performance</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40</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40</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41</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41</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Liquidity and Capital Resources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42</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101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auto"/>
              </w:rPr>
              <w:t>Non-GAAP Financial Measures</w:t>
            </w:r>
          </w:p>
        </w:tc>
        <w:tc>
          <w:tcPr>
            <w:tcW w:w="1080" w:type="dxa"/>
            <w:vAlign w:val="bottom"/>
            <w:shd w:val="clear" w:color="auto" w:fill="D2DCE5"/>
          </w:tcPr>
          <w:p>
            <w:pPr>
              <w:jc w:val="center"/>
              <w:spacing w:after="0"/>
              <w:rPr>
                <w:sz w:val="20"/>
                <w:szCs w:val="20"/>
                <w:color w:val="auto"/>
              </w:rPr>
            </w:pPr>
            <w:r>
              <w:rPr>
                <w:rFonts w:ascii="Arial" w:cs="Arial" w:eastAsia="Arial" w:hAnsi="Arial"/>
                <w:sz w:val="18"/>
                <w:szCs w:val="18"/>
                <w:color w:val="auto"/>
                <w:w w:val="99"/>
              </w:rPr>
              <w:t>44</w:t>
            </w:r>
          </w:p>
        </w:tc>
      </w:tr>
      <w:tr>
        <w:trPr>
          <w:trHeight w:val="23"/>
        </w:trPr>
        <w:tc>
          <w:tcPr>
            <w:tcW w:w="100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8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Overview</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Global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General Macroeconomic Uncertainties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a retailer that is dependent upon consumer discretionary spending, our results of operations are sensitive to changes in macroeconomic conditions. Inflation may have a material adverse effect on our business, financial condition or results of operations. Our customers may have or in the future may have less money available for discretionary purchases and may reduce or stop purchasing our products.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a macro level, conditions, including changes in tariffs, tax laws, interest rates, inflation, bank failures and other events affecting financial institutions, geopolitical conflicts, and significant weather events (such as the recent wildfires in California),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Minimum Wage Increases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continued to experience the effects of legislated minimum wage increases that took effect in 2024 in certain states. We expect these pressures to continue to affect our operating results in the foreseeable future. For example, California’s minimum wage increased to $20 per hour effective April 2024 for covered employees in our industry. Additionally, several other states that we operate in have increased their minimum wage requirements in 2025.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Results of Operations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of June 30, 2025, we had 1,043 company-operated and franchised shops in 19 states, an increase of approximately 14.4% from the same period in the prior year. For the three months ended June 30, 2025, we generated $415.8 million of revenue, $38.4 million of net income, and $0.20 of income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51435</wp:posOffset>
            </wp:positionV>
            <wp:extent cx="5143500" cy="4826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73" w:lineRule="exact"/>
        <w:rPr>
          <w:sz w:val="20"/>
          <w:szCs w:val="20"/>
          <w:color w:val="auto"/>
        </w:rPr>
      </w:pPr>
    </w:p>
    <w:p>
      <w:pPr>
        <w:ind w:left="180" w:hanging="172"/>
        <w:spacing w:after="0" w:line="222" w:lineRule="auto"/>
        <w:tabs>
          <w:tab w:leader="none" w:pos="23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6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2025 vs 2024</w:t>
            </w:r>
          </w:p>
        </w:tc>
      </w:tr>
      <w:tr>
        <w:trPr>
          <w:trHeight w:val="270"/>
        </w:trPr>
        <w:tc>
          <w:tcPr>
            <w:tcW w:w="89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Increase in total shops</w:t>
            </w:r>
          </w:p>
        </w:tc>
        <w:tc>
          <w:tcPr>
            <w:tcW w:w="23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14.4 %</w:t>
            </w:r>
          </w:p>
        </w:tc>
      </w:tr>
      <w:tr>
        <w:trPr>
          <w:trHeight w:val="274"/>
        </w:trPr>
        <w:tc>
          <w:tcPr>
            <w:tcW w:w="8940" w:type="dxa"/>
            <w:vAlign w:val="bottom"/>
            <w:gridSpan w:val="2"/>
          </w:tcPr>
          <w:p>
            <w:pPr>
              <w:ind w:left="20"/>
              <w:spacing w:after="0"/>
              <w:rPr>
                <w:sz w:val="20"/>
                <w:szCs w:val="20"/>
                <w:color w:val="auto"/>
              </w:rPr>
            </w:pPr>
            <w:r>
              <w:rPr>
                <w:rFonts w:ascii="Arial" w:cs="Arial" w:eastAsia="Arial" w:hAnsi="Arial"/>
                <w:sz w:val="18"/>
                <w:szCs w:val="18"/>
                <w:color w:val="131E29"/>
              </w:rPr>
              <w:t>Increase in total revenue</w:t>
            </w:r>
          </w:p>
        </w:tc>
        <w:tc>
          <w:tcPr>
            <w:tcW w:w="2300" w:type="dxa"/>
            <w:vAlign w:val="bottom"/>
          </w:tcPr>
          <w:p>
            <w:pPr>
              <w:jc w:val="right"/>
              <w:spacing w:after="0"/>
              <w:rPr>
                <w:sz w:val="20"/>
                <w:szCs w:val="20"/>
                <w:color w:val="auto"/>
              </w:rPr>
            </w:pPr>
            <w:r>
              <w:rPr>
                <w:rFonts w:ascii="Arial" w:cs="Arial" w:eastAsia="Arial" w:hAnsi="Arial"/>
                <w:sz w:val="18"/>
                <w:szCs w:val="18"/>
                <w:color w:val="131E29"/>
              </w:rPr>
              <w:t>28.0 %</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Key Performance Indicators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gridSpan w:val="11"/>
          </w:tcPr>
          <w:p>
            <w:pPr>
              <w:spacing w:after="0"/>
              <w:rPr>
                <w:sz w:val="20"/>
                <w:szCs w:val="20"/>
                <w:color w:val="auto"/>
              </w:rPr>
            </w:pPr>
            <w:r>
              <w:rPr>
                <w:rFonts w:ascii="Arial" w:cs="Arial" w:eastAsia="Arial" w:hAnsi="Arial"/>
                <w:sz w:val="18"/>
                <w:szCs w:val="18"/>
                <w:color w:val="131E29"/>
              </w:rPr>
              <w:t>The key performance indicators that we use to effectively manage and evaluate our business are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7"/>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5"/>
          </w:tcPr>
          <w:p>
            <w:pPr>
              <w:ind w:left="40"/>
              <w:spacing w:after="0"/>
              <w:rPr>
                <w:sz w:val="20"/>
                <w:szCs w:val="20"/>
                <w:color w:val="auto"/>
              </w:rPr>
            </w:pPr>
            <w:r>
              <w:rPr>
                <w:rFonts w:ascii="Arial" w:cs="Arial" w:eastAsia="Arial" w:hAnsi="Arial"/>
                <w:sz w:val="18"/>
                <w:szCs w:val="18"/>
                <w:b w:val="1"/>
                <w:bCs w:val="1"/>
                <w:color w:val="131E29"/>
              </w:rPr>
              <w:t>Three Months Ended June 30,</w:t>
            </w:r>
          </w:p>
        </w:tc>
        <w:tc>
          <w:tcPr>
            <w:tcW w:w="220" w:type="dxa"/>
            <w:vAlign w:val="bottom"/>
          </w:tcPr>
          <w:p>
            <w:pPr>
              <w:spacing w:after="0"/>
              <w:rPr>
                <w:sz w:val="24"/>
                <w:szCs w:val="24"/>
                <w:color w:val="auto"/>
              </w:rPr>
            </w:pPr>
          </w:p>
        </w:tc>
        <w:tc>
          <w:tcPr>
            <w:tcW w:w="27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131E29"/>
              </w:rPr>
              <w:t>Six Months Ended June 30,</w:t>
            </w:r>
          </w:p>
        </w:tc>
      </w:tr>
      <w:tr>
        <w:trPr>
          <w:trHeight w:val="263"/>
        </w:trPr>
        <w:tc>
          <w:tcPr>
            <w:tcW w:w="4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80" w:type="dxa"/>
            <w:vAlign w:val="bottom"/>
            <w:tcBorders>
              <w:bottom w:val="single" w:sz="8" w:color="D2DCE5"/>
            </w:tcBorders>
          </w:tcPr>
          <w:p>
            <w:pPr>
              <w:spacing w:after="0"/>
              <w:rPr>
                <w:sz w:val="22"/>
                <w:szCs w:val="22"/>
                <w:color w:val="auto"/>
              </w:rPr>
            </w:pPr>
          </w:p>
        </w:tc>
        <w:tc>
          <w:tcPr>
            <w:tcW w:w="180" w:type="dxa"/>
            <w:vAlign w:val="bottom"/>
            <w:tcBorders>
              <w:top w:val="single" w:sz="8" w:color="D7282F"/>
              <w:bottom w:val="single" w:sz="8" w:color="D7282F"/>
            </w:tcBorders>
          </w:tcPr>
          <w:p>
            <w:pPr>
              <w:spacing w:after="0"/>
              <w:rPr>
                <w:sz w:val="22"/>
                <w:szCs w:val="22"/>
                <w:color w:val="auto"/>
              </w:rPr>
            </w:pPr>
          </w:p>
        </w:tc>
        <w:tc>
          <w:tcPr>
            <w:tcW w:w="126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20" w:type="dxa"/>
            <w:vAlign w:val="bottom"/>
            <w:tcBorders>
              <w:top w:val="single" w:sz="8" w:color="D7282F"/>
              <w:bottom w:val="single" w:sz="8" w:color="D7282F"/>
            </w:tcBorders>
          </w:tcPr>
          <w:p>
            <w:pPr>
              <w:spacing w:after="0"/>
              <w:rPr>
                <w:sz w:val="22"/>
                <w:szCs w:val="22"/>
                <w:color w:val="auto"/>
              </w:rPr>
            </w:pPr>
          </w:p>
        </w:tc>
        <w:tc>
          <w:tcPr>
            <w:tcW w:w="112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20" w:type="dxa"/>
            <w:vAlign w:val="bottom"/>
            <w:tcBorders>
              <w:top w:val="single" w:sz="8" w:color="D7282F"/>
              <w:bottom w:val="single" w:sz="8" w:color="D7282F"/>
            </w:tcBorders>
          </w:tcPr>
          <w:p>
            <w:pPr>
              <w:spacing w:after="0"/>
              <w:rPr>
                <w:sz w:val="22"/>
                <w:szCs w:val="22"/>
                <w:color w:val="auto"/>
              </w:rPr>
            </w:pPr>
          </w:p>
        </w:tc>
        <w:tc>
          <w:tcPr>
            <w:tcW w:w="124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top w:val="single" w:sz="8" w:color="D7282F"/>
              <w:bottom w:val="single" w:sz="8" w:color="D2DCE5"/>
            </w:tcBorders>
          </w:tcPr>
          <w:p>
            <w:pPr>
              <w:spacing w:after="0"/>
              <w:rPr>
                <w:sz w:val="22"/>
                <w:szCs w:val="22"/>
                <w:color w:val="auto"/>
              </w:rPr>
            </w:pPr>
          </w:p>
        </w:tc>
        <w:tc>
          <w:tcPr>
            <w:tcW w:w="320" w:type="dxa"/>
            <w:vAlign w:val="bottom"/>
            <w:tcBorders>
              <w:top w:val="single" w:sz="8" w:color="D7282F"/>
              <w:bottom w:val="single" w:sz="8" w:color="D7282F"/>
            </w:tcBorders>
          </w:tcPr>
          <w:p>
            <w:pPr>
              <w:spacing w:after="0"/>
              <w:rPr>
                <w:sz w:val="22"/>
                <w:szCs w:val="22"/>
                <w:color w:val="auto"/>
              </w:rPr>
            </w:pPr>
          </w:p>
        </w:tc>
        <w:tc>
          <w:tcPr>
            <w:tcW w:w="1120" w:type="dxa"/>
            <w:vAlign w:val="bottom"/>
            <w:tcBorders>
              <w:top w:val="single" w:sz="8" w:color="D7282F"/>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2024</w:t>
            </w:r>
          </w:p>
        </w:tc>
      </w:tr>
      <w:tr>
        <w:trPr>
          <w:trHeight w:val="270"/>
        </w:trPr>
        <w:tc>
          <w:tcPr>
            <w:tcW w:w="51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beginning of period</w:t>
            </w: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r>
      <w:tr>
        <w:trPr>
          <w:trHeight w:val="247"/>
        </w:trPr>
        <w:tc>
          <w:tcPr>
            <w:tcW w:w="516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006098"/>
              </w:rPr>
              <w:t>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006098"/>
              </w:rPr>
              <w:t>670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542</w:t>
            </w:r>
          </w:p>
        </w:tc>
      </w:tr>
      <w:tr>
        <w:trPr>
          <w:trHeight w:val="2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180" w:type="dxa"/>
            <w:vAlign w:val="bottom"/>
            <w:tcBorders>
              <w:bottom w:val="single" w:sz="8" w:color="D2DCE5"/>
            </w:tcBorders>
            <w:shd w:val="clear" w:color="auto" w:fill="D2DCE5"/>
          </w:tcPr>
          <w:p>
            <w:pPr>
              <w:spacing w:after="0"/>
              <w:rPr>
                <w:sz w:val="23"/>
                <w:szCs w:val="23"/>
                <w:color w:val="auto"/>
              </w:rPr>
            </w:pPr>
          </w:p>
        </w:tc>
        <w:tc>
          <w:tcPr>
            <w:tcW w:w="126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006098"/>
              </w:rPr>
              <w:t>317</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294</w:t>
            </w:r>
          </w:p>
        </w:tc>
        <w:tc>
          <w:tcPr>
            <w:tcW w:w="100" w:type="dxa"/>
            <w:vAlign w:val="bottom"/>
            <w:tcBorders>
              <w:bottom w:val="single" w:sz="8" w:color="D2DCE5"/>
            </w:tcBorders>
            <w:shd w:val="clear" w:color="auto" w:fill="D2DCE5"/>
          </w:tcPr>
          <w:p>
            <w:pPr>
              <w:spacing w:after="0"/>
              <w:rPr>
                <w:sz w:val="23"/>
                <w:szCs w:val="23"/>
                <w:color w:val="auto"/>
              </w:rPr>
            </w:pPr>
          </w:p>
        </w:tc>
        <w:tc>
          <w:tcPr>
            <w:tcW w:w="220" w:type="dxa"/>
            <w:vAlign w:val="bottom"/>
            <w:tcBorders>
              <w:bottom w:val="single" w:sz="8" w:color="D2DCE5"/>
            </w:tcBorders>
            <w:shd w:val="clear" w:color="auto" w:fill="D2DCE5"/>
          </w:tcPr>
          <w:p>
            <w:pPr>
              <w:spacing w:after="0"/>
              <w:rPr>
                <w:sz w:val="23"/>
                <w:szCs w:val="23"/>
                <w:color w:val="auto"/>
              </w:rPr>
            </w:pPr>
          </w:p>
        </w:tc>
        <w:tc>
          <w:tcPr>
            <w:tcW w:w="1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006098"/>
              </w:rPr>
              <w:t>312</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289</w:t>
            </w:r>
          </w:p>
        </w:tc>
      </w:tr>
      <w:tr>
        <w:trPr>
          <w:trHeight w:val="263"/>
        </w:trPr>
        <w:tc>
          <w:tcPr>
            <w:tcW w:w="5160" w:type="dxa"/>
            <w:vAlign w:val="bottom"/>
            <w:gridSpan w:val="2"/>
          </w:tcPr>
          <w:p>
            <w:pPr>
              <w:ind w:left="520"/>
              <w:spacing w:after="0"/>
              <w:rPr>
                <w:sz w:val="20"/>
                <w:szCs w:val="20"/>
                <w:color w:val="auto"/>
              </w:rPr>
            </w:pPr>
            <w:r>
              <w:rPr>
                <w:rFonts w:ascii="Arial" w:cs="Arial" w:eastAsia="Arial" w:hAnsi="Arial"/>
                <w:sz w:val="18"/>
                <w:szCs w:val="18"/>
                <w:b w:val="1"/>
                <w:bCs w:val="1"/>
                <w:color w:val="131E29"/>
              </w:rPr>
              <w:t>Total shop count</w:t>
            </w:r>
          </w:p>
        </w:tc>
        <w:tc>
          <w:tcPr>
            <w:tcW w:w="1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006098"/>
              </w:rPr>
              <w:t>1,012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131E29"/>
              </w:rPr>
              <w:t>876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006098"/>
              </w:rPr>
              <w:t>982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131E29"/>
              </w:rPr>
              <w:t>831</w:t>
            </w:r>
          </w:p>
        </w:tc>
      </w:tr>
      <w:tr>
        <w:trPr>
          <w:trHeight w:val="20"/>
        </w:trPr>
        <w:tc>
          <w:tcPr>
            <w:tcW w:w="49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98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12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20" w:type="dxa"/>
            <w:vAlign w:val="bottom"/>
            <w:shd w:val="clear" w:color="auto" w:fill="D2DCE5"/>
          </w:tcPr>
          <w:p>
            <w:pPr>
              <w:spacing w:after="0"/>
              <w:rPr>
                <w:sz w:val="20"/>
                <w:szCs w:val="20"/>
                <w:color w:val="auto"/>
              </w:rPr>
            </w:pPr>
          </w:p>
        </w:tc>
        <w:tc>
          <w:tcPr>
            <w:tcW w:w="11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2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20" w:type="dxa"/>
            <w:vAlign w:val="bottom"/>
            <w:shd w:val="clear" w:color="auto" w:fill="D2DCE5"/>
          </w:tcPr>
          <w:p>
            <w:pPr>
              <w:spacing w:after="0"/>
              <w:rPr>
                <w:sz w:val="20"/>
                <w:szCs w:val="20"/>
                <w:color w:val="auto"/>
              </w:rPr>
            </w:pPr>
          </w:p>
        </w:tc>
        <w:tc>
          <w:tcPr>
            <w:tcW w:w="1120" w:type="dxa"/>
            <w:vAlign w:val="bottom"/>
            <w:shd w:val="clear" w:color="auto" w:fill="D2DCE5"/>
          </w:tcPr>
          <w:p>
            <w:pPr>
              <w:spacing w:after="0"/>
              <w:rPr>
                <w:sz w:val="20"/>
                <w:szCs w:val="20"/>
                <w:color w:val="auto"/>
              </w:rPr>
            </w:pPr>
          </w:p>
        </w:tc>
      </w:tr>
      <w:tr>
        <w:trPr>
          <w:trHeight w:val="247"/>
        </w:trPr>
        <w:tc>
          <w:tcPr>
            <w:tcW w:w="5160" w:type="dxa"/>
            <w:vAlign w:val="bottom"/>
            <w:gridSpan w:val="2"/>
          </w:tcPr>
          <w:p>
            <w:pPr>
              <w:ind w:left="20"/>
              <w:spacing w:after="0"/>
              <w:rPr>
                <w:sz w:val="20"/>
                <w:szCs w:val="20"/>
                <w:color w:val="auto"/>
              </w:rPr>
            </w:pPr>
            <w:r>
              <w:rPr>
                <w:rFonts w:ascii="Arial" w:cs="Arial" w:eastAsia="Arial" w:hAnsi="Arial"/>
                <w:sz w:val="18"/>
                <w:szCs w:val="18"/>
                <w:color w:val="131E29"/>
              </w:rPr>
              <w:t>Company-operated new openings</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006098"/>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006098"/>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70</w:t>
            </w:r>
          </w:p>
        </w:tc>
      </w:tr>
      <w:tr>
        <w:trPr>
          <w:trHeight w:val="2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Franchised new openings</w:t>
            </w:r>
          </w:p>
        </w:tc>
        <w:tc>
          <w:tcPr>
            <w:tcW w:w="180" w:type="dxa"/>
            <w:vAlign w:val="bottom"/>
            <w:tcBorders>
              <w:bottom w:val="single" w:sz="8" w:color="D2DCE5"/>
            </w:tcBorders>
            <w:shd w:val="clear" w:color="auto" w:fill="D2DCE5"/>
          </w:tcPr>
          <w:p>
            <w:pPr>
              <w:spacing w:after="0"/>
              <w:rPr>
                <w:sz w:val="21"/>
                <w:szCs w:val="21"/>
                <w:color w:val="auto"/>
              </w:rPr>
            </w:pPr>
          </w:p>
        </w:tc>
        <w:tc>
          <w:tcPr>
            <w:tcW w:w="126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006098"/>
              </w:rPr>
              <w:t>1</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6</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006098"/>
              </w:rPr>
              <w:t>6</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11</w:t>
            </w:r>
          </w:p>
        </w:tc>
      </w:tr>
      <w:tr>
        <w:trPr>
          <w:trHeight w:val="270"/>
        </w:trPr>
        <w:tc>
          <w:tcPr>
            <w:tcW w:w="4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1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end of period</w:t>
            </w: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r>
      <w:tr>
        <w:trPr>
          <w:trHeight w:val="247"/>
        </w:trPr>
        <w:tc>
          <w:tcPr>
            <w:tcW w:w="516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006098"/>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006098"/>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612</w:t>
            </w:r>
          </w:p>
        </w:tc>
      </w:tr>
      <w:tr>
        <w:trPr>
          <w:trHeight w:val="2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180" w:type="dxa"/>
            <w:vAlign w:val="bottom"/>
            <w:tcBorders>
              <w:bottom w:val="single" w:sz="8" w:color="D2DCE5"/>
            </w:tcBorders>
            <w:shd w:val="clear" w:color="auto" w:fill="D2DCE5"/>
          </w:tcPr>
          <w:p>
            <w:pPr>
              <w:spacing w:after="0"/>
              <w:rPr>
                <w:sz w:val="23"/>
                <w:szCs w:val="23"/>
                <w:color w:val="auto"/>
              </w:rPr>
            </w:pPr>
          </w:p>
        </w:tc>
        <w:tc>
          <w:tcPr>
            <w:tcW w:w="126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006098"/>
              </w:rPr>
              <w:t>318</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300</w:t>
            </w:r>
          </w:p>
        </w:tc>
        <w:tc>
          <w:tcPr>
            <w:tcW w:w="100" w:type="dxa"/>
            <w:vAlign w:val="bottom"/>
            <w:tcBorders>
              <w:bottom w:val="single" w:sz="8" w:color="D2DCE5"/>
            </w:tcBorders>
            <w:shd w:val="clear" w:color="auto" w:fill="D2DCE5"/>
          </w:tcPr>
          <w:p>
            <w:pPr>
              <w:spacing w:after="0"/>
              <w:rPr>
                <w:sz w:val="23"/>
                <w:szCs w:val="23"/>
                <w:color w:val="auto"/>
              </w:rPr>
            </w:pPr>
          </w:p>
        </w:tc>
        <w:tc>
          <w:tcPr>
            <w:tcW w:w="220" w:type="dxa"/>
            <w:vAlign w:val="bottom"/>
            <w:tcBorders>
              <w:bottom w:val="single" w:sz="8" w:color="D2DCE5"/>
            </w:tcBorders>
            <w:shd w:val="clear" w:color="auto" w:fill="D2DCE5"/>
          </w:tcPr>
          <w:p>
            <w:pPr>
              <w:spacing w:after="0"/>
              <w:rPr>
                <w:sz w:val="23"/>
                <w:szCs w:val="23"/>
                <w:color w:val="auto"/>
              </w:rPr>
            </w:pPr>
          </w:p>
        </w:tc>
        <w:tc>
          <w:tcPr>
            <w:tcW w:w="1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006098"/>
              </w:rPr>
              <w:t>318</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300</w:t>
            </w:r>
          </w:p>
        </w:tc>
      </w:tr>
      <w:tr>
        <w:trPr>
          <w:trHeight w:val="263"/>
        </w:trPr>
        <w:tc>
          <w:tcPr>
            <w:tcW w:w="5160" w:type="dxa"/>
            <w:vAlign w:val="bottom"/>
            <w:gridSpan w:val="2"/>
          </w:tcPr>
          <w:p>
            <w:pPr>
              <w:ind w:left="520"/>
              <w:spacing w:after="0"/>
              <w:rPr>
                <w:sz w:val="20"/>
                <w:szCs w:val="20"/>
                <w:color w:val="auto"/>
              </w:rPr>
            </w:pPr>
            <w:r>
              <w:rPr>
                <w:rFonts w:ascii="Arial" w:cs="Arial" w:eastAsia="Arial" w:hAnsi="Arial"/>
                <w:sz w:val="18"/>
                <w:szCs w:val="18"/>
                <w:b w:val="1"/>
                <w:bCs w:val="1"/>
                <w:color w:val="131E29"/>
              </w:rPr>
              <w:t>Total shop count</w:t>
            </w:r>
          </w:p>
        </w:tc>
        <w:tc>
          <w:tcPr>
            <w:tcW w:w="1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006098"/>
              </w:rPr>
              <w:t>1,043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131E29"/>
              </w:rPr>
              <w:t>912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006098"/>
              </w:rPr>
              <w:t>1,043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131E29"/>
              </w:rPr>
              <w:t>912</w:t>
            </w:r>
          </w:p>
        </w:tc>
      </w:tr>
      <w:tr>
        <w:trPr>
          <w:trHeight w:val="20"/>
        </w:trPr>
        <w:tc>
          <w:tcPr>
            <w:tcW w:w="49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98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12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20" w:type="dxa"/>
            <w:vAlign w:val="bottom"/>
            <w:shd w:val="clear" w:color="auto" w:fill="D2DCE5"/>
          </w:tcPr>
          <w:p>
            <w:pPr>
              <w:spacing w:after="0"/>
              <w:rPr>
                <w:sz w:val="20"/>
                <w:szCs w:val="20"/>
                <w:color w:val="auto"/>
              </w:rPr>
            </w:pPr>
          </w:p>
        </w:tc>
        <w:tc>
          <w:tcPr>
            <w:tcW w:w="11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2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20" w:type="dxa"/>
            <w:vAlign w:val="bottom"/>
            <w:shd w:val="clear" w:color="auto" w:fill="D2DCE5"/>
          </w:tcPr>
          <w:p>
            <w:pPr>
              <w:spacing w:after="0"/>
              <w:rPr>
                <w:sz w:val="20"/>
                <w:szCs w:val="20"/>
                <w:color w:val="auto"/>
              </w:rPr>
            </w:pPr>
          </w:p>
        </w:tc>
        <w:tc>
          <w:tcPr>
            <w:tcW w:w="1120" w:type="dxa"/>
            <w:vAlign w:val="bottom"/>
            <w:shd w:val="clear" w:color="auto" w:fill="D2DCE5"/>
          </w:tcPr>
          <w:p>
            <w:pPr>
              <w:spacing w:after="0"/>
              <w:rPr>
                <w:sz w:val="20"/>
                <w:szCs w:val="20"/>
                <w:color w:val="auto"/>
              </w:rPr>
            </w:pPr>
          </w:p>
        </w:tc>
      </w:tr>
      <w:tr>
        <w:trPr>
          <w:trHeight w:val="270"/>
        </w:trPr>
        <w:tc>
          <w:tcPr>
            <w:tcW w:w="516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AUV </w:t>
            </w:r>
            <w:r>
              <w:rPr>
                <w:rFonts w:ascii="Arial" w:cs="Arial" w:eastAsia="Arial" w:hAnsi="Arial"/>
                <w:sz w:val="23"/>
                <w:szCs w:val="23"/>
                <w:color w:val="131E29"/>
                <w:vertAlign w:val="superscript"/>
              </w:rPr>
              <w:t>1</w:t>
            </w:r>
          </w:p>
        </w:tc>
        <w:tc>
          <w:tcPr>
            <w:tcW w:w="180" w:type="dxa"/>
            <w:vAlign w:val="bottom"/>
          </w:tcPr>
          <w:p>
            <w:pPr>
              <w:spacing w:after="0"/>
              <w:rPr>
                <w:sz w:val="23"/>
                <w:szCs w:val="23"/>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006098"/>
              </w:rPr>
              <w:t>N/A</w:t>
            </w:r>
          </w:p>
        </w:tc>
        <w:tc>
          <w:tcPr>
            <w:tcW w:w="320" w:type="dxa"/>
            <w:vAlign w:val="bottom"/>
          </w:tcPr>
          <w:p>
            <w:pPr>
              <w:spacing w:after="0"/>
              <w:rPr>
                <w:sz w:val="23"/>
                <w:szCs w:val="23"/>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131E29"/>
              </w:rPr>
              <w:t>N/A</w:t>
            </w:r>
          </w:p>
        </w:tc>
        <w:tc>
          <w:tcPr>
            <w:tcW w:w="220" w:type="dxa"/>
            <w:vAlign w:val="bottom"/>
          </w:tcPr>
          <w:p>
            <w:pPr>
              <w:jc w:val="right"/>
              <w:ind w:right="10"/>
              <w:spacing w:after="0"/>
              <w:rPr>
                <w:sz w:val="20"/>
                <w:szCs w:val="20"/>
                <w:color w:val="auto"/>
              </w:rPr>
            </w:pPr>
            <w:r>
              <w:rPr>
                <w:rFonts w:ascii="Arial" w:cs="Arial" w:eastAsia="Arial" w:hAnsi="Arial"/>
                <w:sz w:val="18"/>
                <w:szCs w:val="18"/>
                <w:color w:val="006098"/>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006098"/>
              </w:rPr>
              <w:t>2,053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2,005</w:t>
            </w:r>
          </w:p>
        </w:tc>
      </w:tr>
      <w:tr>
        <w:trPr>
          <w:trHeight w:val="270"/>
        </w:trPr>
        <w:tc>
          <w:tcPr>
            <w:tcW w:w="51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 xml:space="preserve">Company-operated shops AUV </w:t>
            </w:r>
            <w:r>
              <w:rPr>
                <w:rFonts w:ascii="Arial" w:cs="Arial" w:eastAsia="Arial" w:hAnsi="Arial"/>
                <w:sz w:val="23"/>
                <w:szCs w:val="23"/>
                <w:color w:val="131E29"/>
                <w:vertAlign w:val="superscript"/>
              </w:rPr>
              <w:t>1</w:t>
            </w:r>
          </w:p>
        </w:tc>
        <w:tc>
          <w:tcPr>
            <w:tcW w:w="180" w:type="dxa"/>
            <w:vAlign w:val="bottom"/>
            <w:shd w:val="clear" w:color="auto" w:fill="D2DCE5"/>
          </w:tcPr>
          <w:p>
            <w:pPr>
              <w:spacing w:after="0"/>
              <w:rPr>
                <w:sz w:val="23"/>
                <w:szCs w:val="23"/>
                <w:color w:val="auto"/>
              </w:rPr>
            </w:pPr>
          </w:p>
        </w:tc>
        <w:tc>
          <w:tcPr>
            <w:tcW w:w="1360" w:type="dxa"/>
            <w:vAlign w:val="bottom"/>
            <w:gridSpan w:val="2"/>
            <w:shd w:val="clear" w:color="auto" w:fill="D2DCE5"/>
          </w:tcPr>
          <w:p>
            <w:pPr>
              <w:ind w:left="960"/>
              <w:spacing w:after="0"/>
              <w:rPr>
                <w:sz w:val="20"/>
                <w:szCs w:val="20"/>
                <w:color w:val="auto"/>
              </w:rPr>
            </w:pPr>
            <w:r>
              <w:rPr>
                <w:rFonts w:ascii="Arial" w:cs="Arial" w:eastAsia="Arial" w:hAnsi="Arial"/>
                <w:sz w:val="18"/>
                <w:szCs w:val="18"/>
                <w:color w:val="006098"/>
              </w:rPr>
              <w:t>N/A</w:t>
            </w:r>
          </w:p>
        </w:tc>
        <w:tc>
          <w:tcPr>
            <w:tcW w:w="320" w:type="dxa"/>
            <w:vAlign w:val="bottom"/>
            <w:shd w:val="clear" w:color="auto" w:fill="D2DCE5"/>
          </w:tcPr>
          <w:p>
            <w:pPr>
              <w:spacing w:after="0"/>
              <w:rPr>
                <w:sz w:val="23"/>
                <w:szCs w:val="23"/>
                <w:color w:val="auto"/>
              </w:rPr>
            </w:pPr>
          </w:p>
        </w:tc>
        <w:tc>
          <w:tcPr>
            <w:tcW w:w="1220" w:type="dxa"/>
            <w:vAlign w:val="bottom"/>
            <w:gridSpan w:val="2"/>
            <w:shd w:val="clear" w:color="auto" w:fill="D2DCE5"/>
          </w:tcPr>
          <w:p>
            <w:pPr>
              <w:ind w:left="820"/>
              <w:spacing w:after="0"/>
              <w:rPr>
                <w:sz w:val="20"/>
                <w:szCs w:val="20"/>
                <w:color w:val="auto"/>
              </w:rPr>
            </w:pPr>
            <w:r>
              <w:rPr>
                <w:rFonts w:ascii="Arial" w:cs="Arial" w:eastAsia="Arial" w:hAnsi="Arial"/>
                <w:sz w:val="18"/>
                <w:szCs w:val="18"/>
                <w:color w:val="131E29"/>
              </w:rPr>
              <w:t>N/A</w:t>
            </w:r>
          </w:p>
        </w:tc>
        <w:tc>
          <w:tcPr>
            <w:tcW w:w="22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006098"/>
                <w:w w:val="99"/>
              </w:rPr>
              <w:t>$</w:t>
            </w:r>
          </w:p>
        </w:tc>
        <w:tc>
          <w:tcPr>
            <w:tcW w:w="1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006098"/>
              </w:rPr>
              <w:t>1,982</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1,923</w:t>
            </w:r>
          </w:p>
        </w:tc>
      </w:tr>
      <w:tr>
        <w:trPr>
          <w:trHeight w:val="270"/>
        </w:trPr>
        <w:tc>
          <w:tcPr>
            <w:tcW w:w="4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1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Systemwide same shop sales </w:t>
            </w:r>
            <w:r>
              <w:rPr>
                <w:rFonts w:ascii="Arial" w:cs="Arial" w:eastAsia="Arial" w:hAnsi="Arial"/>
                <w:sz w:val="23"/>
                <w:szCs w:val="23"/>
                <w:color w:val="131E29"/>
                <w:vertAlign w:val="superscript"/>
              </w:rPr>
              <w:t>2, 3</w:t>
            </w: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6.1 %</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4.1 %</w:t>
            </w: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5.3 %</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6.8 %</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8"/>
                <w:szCs w:val="18"/>
                <w:color w:val="131E29"/>
              </w:rPr>
              <w:t>Ticket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6098"/>
              </w:rPr>
              <w:t>2.4 %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6.1 %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6098"/>
              </w:rPr>
              <w:t>3.0 %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7.4 %</w:t>
            </w:r>
          </w:p>
        </w:tc>
      </w:tr>
      <w:tr>
        <w:trPr>
          <w:trHeight w:val="270"/>
        </w:trPr>
        <w:tc>
          <w:tcPr>
            <w:tcW w:w="51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Transactions</w:t>
            </w: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3.7 %</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w:t>
            </w: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2.3 %</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(0.6)%</w:t>
            </w:r>
          </w:p>
        </w:tc>
      </w:tr>
      <w:tr>
        <w:trPr>
          <w:trHeight w:val="270"/>
        </w:trPr>
        <w:tc>
          <w:tcPr>
            <w:tcW w:w="5160" w:type="dxa"/>
            <w:vAlign w:val="bottom"/>
            <w:gridSpan w:val="2"/>
          </w:tcPr>
          <w:p>
            <w:pPr>
              <w:ind w:left="20"/>
              <w:spacing w:after="0"/>
              <w:rPr>
                <w:sz w:val="20"/>
                <w:szCs w:val="20"/>
                <w:color w:val="auto"/>
              </w:rPr>
            </w:pPr>
            <w:r>
              <w:rPr>
                <w:rFonts w:ascii="Arial" w:cs="Arial" w:eastAsia="Arial" w:hAnsi="Arial"/>
                <w:sz w:val="18"/>
                <w:szCs w:val="18"/>
                <w:color w:val="131E29"/>
              </w:rPr>
              <w:t xml:space="preserve">Company-operated same shop sales </w:t>
            </w:r>
            <w:r>
              <w:rPr>
                <w:rFonts w:ascii="Arial" w:cs="Arial" w:eastAsia="Arial" w:hAnsi="Arial"/>
                <w:sz w:val="23"/>
                <w:szCs w:val="23"/>
                <w:color w:val="131E29"/>
                <w:vertAlign w:val="superscript"/>
              </w:rPr>
              <w:t>2</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6098"/>
              </w:rPr>
              <w:t>7.8 %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5.2 %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6098"/>
              </w:rPr>
              <w:t>7.2 %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7.8 %</w:t>
            </w:r>
          </w:p>
        </w:tc>
      </w:tr>
      <w:tr>
        <w:trPr>
          <w:trHeight w:val="270"/>
        </w:trPr>
        <w:tc>
          <w:tcPr>
            <w:tcW w:w="51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Ticket</w:t>
            </w: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1.9 %</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6.0 %</w:t>
            </w: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2.6 %</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7.0 %</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8"/>
                <w:szCs w:val="18"/>
                <w:color w:val="131E29"/>
              </w:rPr>
              <w:t>Transactions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6098"/>
              </w:rPr>
              <w:t>5.9 %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6098"/>
              </w:rPr>
              <w:t>4.6 %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0.8 %</w:t>
            </w:r>
          </w:p>
        </w:tc>
      </w:tr>
      <w:tr>
        <w:trPr>
          <w:trHeight w:val="270"/>
        </w:trPr>
        <w:tc>
          <w:tcPr>
            <w:tcW w:w="498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r>
      <w:tr>
        <w:trPr>
          <w:trHeight w:val="270"/>
        </w:trPr>
        <w:tc>
          <w:tcPr>
            <w:tcW w:w="516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sales </w:t>
            </w:r>
            <w:r>
              <w:rPr>
                <w:rFonts w:ascii="Arial" w:cs="Arial" w:eastAsia="Arial" w:hAnsi="Arial"/>
                <w:sz w:val="23"/>
                <w:szCs w:val="23"/>
                <w:color w:val="131E29"/>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006098"/>
              </w:rPr>
              <w:t>571,273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466,432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006098"/>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006098"/>
              </w:rPr>
              <w:t>1,060,945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863,985</w:t>
            </w:r>
          </w:p>
        </w:tc>
      </w:tr>
      <w:tr>
        <w:trPr>
          <w:trHeight w:val="270"/>
        </w:trPr>
        <w:tc>
          <w:tcPr>
            <w:tcW w:w="51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shops operating weeks </w:t>
            </w:r>
            <w:r>
              <w:rPr>
                <w:rFonts w:ascii="Arial" w:cs="Arial" w:eastAsia="Arial" w:hAnsi="Arial"/>
                <w:sz w:val="23"/>
                <w:szCs w:val="23"/>
                <w:color w:val="131E29"/>
                <w:vertAlign w:val="superscript"/>
              </w:rPr>
              <w:t>4</w:t>
            </w: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006098"/>
              </w:rPr>
              <w:t>9,184</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7,709</w:t>
            </w: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006098"/>
              </w:rPr>
              <w:t>17,921</w:t>
            </w: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14,983</w:t>
            </w:r>
          </w:p>
        </w:tc>
      </w:tr>
      <w:tr>
        <w:trPr>
          <w:trHeight w:val="270"/>
        </w:trPr>
        <w:tc>
          <w:tcPr>
            <w:tcW w:w="5160" w:type="dxa"/>
            <w:vAlign w:val="bottom"/>
            <w:gridSpan w:val="2"/>
          </w:tcPr>
          <w:p>
            <w:pPr>
              <w:ind w:left="20"/>
              <w:spacing w:after="0"/>
              <w:rPr>
                <w:sz w:val="20"/>
                <w:szCs w:val="20"/>
                <w:color w:val="auto"/>
              </w:rPr>
            </w:pPr>
            <w:r>
              <w:rPr>
                <w:rFonts w:ascii="Arial" w:cs="Arial" w:eastAsia="Arial" w:hAnsi="Arial"/>
                <w:sz w:val="18"/>
                <w:szCs w:val="18"/>
                <w:color w:val="131E29"/>
              </w:rPr>
              <w:t xml:space="preserve">Franchising shops operating weeks </w:t>
            </w:r>
            <w:r>
              <w:rPr>
                <w:rFonts w:ascii="Arial" w:cs="Arial" w:eastAsia="Arial" w:hAnsi="Arial"/>
                <w:sz w:val="23"/>
                <w:szCs w:val="23"/>
                <w:color w:val="131E29"/>
                <w:vertAlign w:val="superscript"/>
              </w:rPr>
              <w:t>4</w:t>
            </w:r>
          </w:p>
        </w:tc>
        <w:tc>
          <w:tcPr>
            <w:tcW w:w="1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006098"/>
              </w:rPr>
              <w:t>4,119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3,842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006098"/>
              </w:rPr>
              <w:t>8,130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7,621</w:t>
            </w:r>
          </w:p>
        </w:tc>
      </w:tr>
      <w:tr>
        <w:trPr>
          <w:trHeight w:val="270"/>
        </w:trPr>
        <w:tc>
          <w:tcPr>
            <w:tcW w:w="498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12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12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r>
      <w:tr>
        <w:trPr>
          <w:trHeight w:val="224"/>
        </w:trPr>
        <w:tc>
          <w:tcPr>
            <w:tcW w:w="5160" w:type="dxa"/>
            <w:vAlign w:val="bottom"/>
            <w:gridSpan w:val="2"/>
          </w:tcPr>
          <w:p>
            <w:pPr>
              <w:ind w:left="20"/>
              <w:spacing w:after="0"/>
              <w:rPr>
                <w:sz w:val="20"/>
                <w:szCs w:val="20"/>
                <w:color w:val="auto"/>
              </w:rPr>
            </w:pPr>
            <w:r>
              <w:rPr>
                <w:rFonts w:ascii="Arial" w:cs="Arial" w:eastAsia="Arial" w:hAnsi="Arial"/>
                <w:sz w:val="18"/>
                <w:szCs w:val="18"/>
                <w:color w:val="131E29"/>
              </w:rPr>
              <w:t>Dutch Rewards transactions as a percentage of total</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22"/>
        </w:trPr>
        <w:tc>
          <w:tcPr>
            <w:tcW w:w="5160" w:type="dxa"/>
            <w:vAlign w:val="bottom"/>
            <w:gridSpan w:val="2"/>
          </w:tcPr>
          <w:p>
            <w:pPr>
              <w:ind w:left="20"/>
              <w:spacing w:after="0"/>
              <w:rPr>
                <w:sz w:val="20"/>
                <w:szCs w:val="20"/>
                <w:color w:val="auto"/>
              </w:rPr>
            </w:pPr>
            <w:r>
              <w:rPr>
                <w:rFonts w:ascii="Arial" w:cs="Arial" w:eastAsia="Arial" w:hAnsi="Arial"/>
                <w:sz w:val="18"/>
                <w:szCs w:val="18"/>
                <w:color w:val="131E29"/>
              </w:rPr>
              <w:t xml:space="preserve">transactions </w:t>
            </w:r>
            <w:r>
              <w:rPr>
                <w:rFonts w:ascii="Arial" w:cs="Arial" w:eastAsia="Arial" w:hAnsi="Arial"/>
                <w:sz w:val="23"/>
                <w:szCs w:val="23"/>
                <w:color w:val="131E29"/>
                <w:vertAlign w:val="superscript"/>
              </w:rPr>
              <w:t>5</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6098"/>
              </w:rPr>
              <w:t>71.6 %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66.7 %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6098"/>
              </w:rPr>
              <w:t>71.7 %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66.6 %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00" w:type="dxa"/>
            <w:vAlign w:val="bottom"/>
            <w:tcBorders>
              <w:bottom w:val="single" w:sz="8" w:color="D7282F"/>
            </w:tcBorders>
            <w:gridSpan w:val="8"/>
          </w:tcPr>
          <w:p>
            <w:pPr>
              <w:jc w:val="right"/>
              <w:ind w:right="20"/>
              <w:spacing w:after="0"/>
              <w:rPr>
                <w:sz w:val="20"/>
                <w:szCs w:val="20"/>
                <w:color w:val="auto"/>
              </w:rPr>
            </w:pPr>
            <w:r>
              <w:rPr>
                <w:rFonts w:ascii="Arial" w:cs="Arial" w:eastAsia="Arial" w:hAnsi="Arial"/>
                <w:sz w:val="18"/>
                <w:szCs w:val="18"/>
                <w:b w:val="1"/>
                <w:bCs w:val="1"/>
                <w:color w:val="131E29"/>
              </w:rPr>
              <w:t>Three Months Ended June 30,</w:t>
            </w:r>
          </w:p>
        </w:tc>
        <w:tc>
          <w:tcPr>
            <w:tcW w:w="52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3060" w:type="dxa"/>
            <w:vAlign w:val="bottom"/>
            <w:tcBorders>
              <w:bottom w:val="single" w:sz="8" w:color="D7282F"/>
            </w:tcBorders>
            <w:gridSpan w:val="8"/>
          </w:tcPr>
          <w:p>
            <w:pPr>
              <w:jc w:val="right"/>
              <w:ind w:right="60"/>
              <w:spacing w:after="0"/>
              <w:rPr>
                <w:sz w:val="20"/>
                <w:szCs w:val="20"/>
                <w:color w:val="auto"/>
              </w:rPr>
            </w:pPr>
            <w:r>
              <w:rPr>
                <w:rFonts w:ascii="Arial" w:cs="Arial" w:eastAsia="Arial" w:hAnsi="Arial"/>
                <w:sz w:val="18"/>
                <w:szCs w:val="18"/>
                <w:b w:val="1"/>
                <w:bCs w:val="1"/>
                <w:color w:val="131E29"/>
              </w:rPr>
              <w:t>Six Months Ended June 30,</w:t>
            </w:r>
          </w:p>
        </w:tc>
        <w:tc>
          <w:tcPr>
            <w:tcW w:w="600" w:type="dxa"/>
            <w:vAlign w:val="bottom"/>
            <w:tcBorders>
              <w:bottom w:val="single" w:sz="8" w:color="D7282F"/>
            </w:tcBorders>
          </w:tcPr>
          <w:p>
            <w:pPr>
              <w:spacing w:after="0"/>
              <w:rPr>
                <w:sz w:val="22"/>
                <w:szCs w:val="22"/>
                <w:color w:val="auto"/>
              </w:rPr>
            </w:pPr>
          </w:p>
        </w:tc>
      </w:tr>
      <w:tr>
        <w:trPr>
          <w:trHeight w:val="264"/>
        </w:trPr>
        <w:tc>
          <w:tcPr>
            <w:tcW w:w="3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8"/>
                <w:szCs w:val="18"/>
                <w:b w:val="1"/>
                <w:bCs w:val="1"/>
                <w:color w:val="131E29"/>
              </w:rPr>
              <w:t>2025</w:t>
            </w:r>
          </w:p>
        </w:tc>
        <w:tc>
          <w:tcPr>
            <w:tcW w:w="62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Borders>
              <w:bottom w:val="single" w:sz="8" w:color="D7282F"/>
            </w:tcBorders>
            <w:gridSpan w:val="3"/>
          </w:tcPr>
          <w:p>
            <w:pPr>
              <w:jc w:val="right"/>
              <w:ind w:right="160"/>
              <w:spacing w:after="0"/>
              <w:rPr>
                <w:sz w:val="20"/>
                <w:szCs w:val="20"/>
                <w:color w:val="auto"/>
              </w:rPr>
            </w:pPr>
            <w:r>
              <w:rPr>
                <w:rFonts w:ascii="Arial" w:cs="Arial" w:eastAsia="Arial" w:hAnsi="Arial"/>
                <w:sz w:val="18"/>
                <w:szCs w:val="18"/>
                <w:b w:val="1"/>
                <w:bCs w:val="1"/>
                <w:color w:val="131E29"/>
              </w:rPr>
              <w:t>2024</w:t>
            </w:r>
          </w:p>
        </w:tc>
        <w:tc>
          <w:tcPr>
            <w:tcW w:w="52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D7282F"/>
            </w:tcBorders>
            <w:gridSpan w:val="3"/>
          </w:tcPr>
          <w:p>
            <w:pPr>
              <w:jc w:val="right"/>
              <w:ind w:right="80"/>
              <w:spacing w:after="0"/>
              <w:rPr>
                <w:sz w:val="20"/>
                <w:szCs w:val="20"/>
                <w:color w:val="auto"/>
              </w:rPr>
            </w:pPr>
            <w:r>
              <w:rPr>
                <w:rFonts w:ascii="Arial" w:cs="Arial" w:eastAsia="Arial" w:hAnsi="Arial"/>
                <w:sz w:val="18"/>
                <w:szCs w:val="18"/>
                <w:b w:val="1"/>
                <w:bCs w:val="1"/>
                <w:color w:val="131E29"/>
              </w:rPr>
              <w:t>2025</w:t>
            </w:r>
          </w:p>
        </w:tc>
        <w:tc>
          <w:tcPr>
            <w:tcW w:w="60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D7282F"/>
            </w:tcBorders>
            <w:gridSpan w:val="3"/>
          </w:tcPr>
          <w:p>
            <w:pPr>
              <w:jc w:val="right"/>
              <w:ind w:right="100"/>
              <w:spacing w:after="0"/>
              <w:rPr>
                <w:sz w:val="20"/>
                <w:szCs w:val="20"/>
                <w:color w:val="auto"/>
              </w:rPr>
            </w:pPr>
            <w:r>
              <w:rPr>
                <w:rFonts w:ascii="Arial" w:cs="Arial" w:eastAsia="Arial" w:hAnsi="Arial"/>
                <w:sz w:val="18"/>
                <w:szCs w:val="18"/>
                <w:b w:val="1"/>
                <w:bCs w:val="1"/>
                <w:color w:val="131E29"/>
              </w:rPr>
              <w:t>2024</w:t>
            </w:r>
          </w:p>
        </w:tc>
        <w:tc>
          <w:tcPr>
            <w:tcW w:w="600" w:type="dxa"/>
            <w:vAlign w:val="bottom"/>
            <w:tcBorders>
              <w:bottom w:val="single" w:sz="8" w:color="D7282F"/>
            </w:tcBorders>
          </w:tcPr>
          <w:p>
            <w:pPr>
              <w:spacing w:after="0"/>
              <w:rPr>
                <w:sz w:val="22"/>
                <w:szCs w:val="22"/>
                <w:color w:val="auto"/>
              </w:rPr>
            </w:pPr>
          </w:p>
        </w:tc>
      </w:tr>
      <w:tr>
        <w:trPr>
          <w:trHeight w:val="263"/>
        </w:trPr>
        <w:tc>
          <w:tcPr>
            <w:tcW w:w="3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92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620" w:type="dxa"/>
            <w:vAlign w:val="bottom"/>
            <w:tcBorders>
              <w:bottom w:val="single" w:sz="8" w:color="D7282F"/>
            </w:tcBorders>
          </w:tcPr>
          <w:p>
            <w:pPr>
              <w:jc w:val="right"/>
              <w:ind w:right="21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96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D7282F"/>
            </w:tcBorders>
          </w:tcPr>
          <w:p>
            <w:pPr>
              <w:spacing w:after="0"/>
              <w:rPr>
                <w:sz w:val="22"/>
                <w:szCs w:val="22"/>
                <w:color w:val="auto"/>
              </w:rPr>
            </w:pPr>
          </w:p>
        </w:tc>
        <w:tc>
          <w:tcPr>
            <w:tcW w:w="52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96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60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960" w:type="dxa"/>
            <w:vAlign w:val="bottom"/>
            <w:tcBorders>
              <w:bottom w:val="single" w:sz="8" w:color="D7282F"/>
            </w:tcBorders>
          </w:tcPr>
          <w:p>
            <w:pPr>
              <w:jc w:val="right"/>
              <w:ind w:right="3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60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70"/>
        </w:trPr>
        <w:tc>
          <w:tcPr>
            <w:tcW w:w="3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 revenues</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380,500</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100.0</w:t>
            </w:r>
          </w:p>
        </w:tc>
        <w:tc>
          <w:tcPr>
            <w:tcW w:w="8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295,268</w:t>
            </w:r>
          </w:p>
        </w:tc>
        <w:tc>
          <w:tcPr>
            <w:tcW w:w="100" w:type="dxa"/>
            <w:vAlign w:val="bottom"/>
            <w:shd w:val="clear" w:color="auto" w:fill="D2DCE5"/>
          </w:tcPr>
          <w:p>
            <w:pPr>
              <w:spacing w:after="0"/>
              <w:rPr>
                <w:sz w:val="23"/>
                <w:szCs w:val="23"/>
                <w:color w:val="auto"/>
              </w:rPr>
            </w:pPr>
          </w:p>
        </w:tc>
        <w:tc>
          <w:tcPr>
            <w:tcW w:w="200" w:type="dxa"/>
            <w:vAlign w:val="bottom"/>
            <w:shd w:val="clear" w:color="auto" w:fill="D2DCE5"/>
          </w:tcPr>
          <w:p>
            <w:pPr>
              <w:spacing w:after="0"/>
              <w:rPr>
                <w:sz w:val="23"/>
                <w:szCs w:val="23"/>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7"/>
              </w:rPr>
              <w:t>100.0</w:t>
            </w:r>
          </w:p>
        </w:tc>
        <w:tc>
          <w:tcPr>
            <w:tcW w:w="10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706,921</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100.0</w:t>
            </w:r>
          </w:p>
        </w:tc>
        <w:tc>
          <w:tcPr>
            <w:tcW w:w="10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543,353</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100.0</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8"/>
                <w:szCs w:val="18"/>
                <w:color w:val="131E29"/>
              </w:rPr>
              <w:t>Company-operated shops gross profit</w:t>
            </w:r>
          </w:p>
        </w:tc>
        <w:tc>
          <w:tcPr>
            <w:tcW w:w="920" w:type="dxa"/>
            <w:vAlign w:val="bottom"/>
          </w:tcPr>
          <w:p>
            <w:pPr>
              <w:jc w:val="right"/>
              <w:spacing w:after="0"/>
              <w:rPr>
                <w:sz w:val="20"/>
                <w:szCs w:val="20"/>
                <w:color w:val="auto"/>
              </w:rPr>
            </w:pPr>
            <w:r>
              <w:rPr>
                <w:rFonts w:ascii="Arial" w:cs="Arial" w:eastAsia="Arial" w:hAnsi="Arial"/>
                <w:sz w:val="18"/>
                <w:szCs w:val="18"/>
                <w:color w:val="006098"/>
              </w:rPr>
              <w:t>92,552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06098"/>
              </w:rPr>
              <w:t>24.3</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70,016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131E29"/>
              </w:rPr>
              <w:t>23.7</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164,050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6098"/>
              </w:rPr>
              <w:t>23.2</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124,321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22.9</w:t>
            </w:r>
          </w:p>
        </w:tc>
      </w:tr>
      <w:tr>
        <w:trPr>
          <w:trHeight w:val="270"/>
        </w:trPr>
        <w:tc>
          <w:tcPr>
            <w:tcW w:w="3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shops contribution </w:t>
            </w:r>
            <w:r>
              <w:rPr>
                <w:rFonts w:ascii="Arial" w:cs="Arial" w:eastAsia="Arial" w:hAnsi="Arial"/>
                <w:sz w:val="23"/>
                <w:szCs w:val="23"/>
                <w:color w:val="131E29"/>
                <w:vertAlign w:val="superscript"/>
              </w:rPr>
              <w:t>6</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118,236</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31.1</w:t>
            </w:r>
          </w:p>
        </w:tc>
        <w:tc>
          <w:tcPr>
            <w:tcW w:w="8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91,054</w:t>
            </w:r>
          </w:p>
        </w:tc>
        <w:tc>
          <w:tcPr>
            <w:tcW w:w="100" w:type="dxa"/>
            <w:vAlign w:val="bottom"/>
            <w:shd w:val="clear" w:color="auto" w:fill="D2DCE5"/>
          </w:tcPr>
          <w:p>
            <w:pPr>
              <w:spacing w:after="0"/>
              <w:rPr>
                <w:sz w:val="23"/>
                <w:szCs w:val="23"/>
                <w:color w:val="auto"/>
              </w:rPr>
            </w:pPr>
          </w:p>
        </w:tc>
        <w:tc>
          <w:tcPr>
            <w:tcW w:w="200" w:type="dxa"/>
            <w:vAlign w:val="bottom"/>
            <w:shd w:val="clear" w:color="auto" w:fill="D2DCE5"/>
          </w:tcPr>
          <w:p>
            <w:pPr>
              <w:spacing w:after="0"/>
              <w:rPr>
                <w:sz w:val="23"/>
                <w:szCs w:val="23"/>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30.8</w:t>
            </w:r>
          </w:p>
        </w:tc>
        <w:tc>
          <w:tcPr>
            <w:tcW w:w="10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214,301</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30.3</w:t>
            </w:r>
          </w:p>
        </w:tc>
        <w:tc>
          <w:tcPr>
            <w:tcW w:w="10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165,053</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30.4</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006098"/>
              </w:rPr>
              <w:t>65,385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06098"/>
              </w:rPr>
              <w:t>15.7</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58,097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131E29"/>
              </w:rPr>
              <w:t>17.9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124,306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6098"/>
              </w:rPr>
              <w:t>16.1</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104,330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17.4</w:t>
            </w:r>
          </w:p>
        </w:tc>
      </w:tr>
      <w:tr>
        <w:trPr>
          <w:trHeight w:val="222"/>
        </w:trPr>
        <w:tc>
          <w:tcPr>
            <w:tcW w:w="3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Adjusted selling, general, and administrative</w:t>
            </w:r>
          </w:p>
        </w:tc>
        <w:tc>
          <w:tcPr>
            <w:tcW w:w="9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6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6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600" w:type="dxa"/>
            <w:vAlign w:val="bottom"/>
            <w:shd w:val="clear" w:color="auto" w:fill="D2DCE5"/>
          </w:tcPr>
          <w:p>
            <w:pPr>
              <w:spacing w:after="0"/>
              <w:rPr>
                <w:sz w:val="19"/>
                <w:szCs w:val="19"/>
                <w:color w:val="auto"/>
              </w:rPr>
            </w:pPr>
          </w:p>
        </w:tc>
      </w:tr>
      <w:tr>
        <w:trPr>
          <w:trHeight w:val="264"/>
        </w:trPr>
        <w:tc>
          <w:tcPr>
            <w:tcW w:w="3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expenses </w:t>
            </w:r>
            <w:r>
              <w:rPr>
                <w:rFonts w:ascii="Arial" w:cs="Arial" w:eastAsia="Arial" w:hAnsi="Arial"/>
                <w:sz w:val="23"/>
                <w:szCs w:val="23"/>
                <w:color w:val="131E29"/>
                <w:vertAlign w:val="superscript"/>
              </w:rPr>
              <w:t>6</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58,709</w:t>
            </w:r>
          </w:p>
        </w:tc>
        <w:tc>
          <w:tcPr>
            <w:tcW w:w="10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14.1</w:t>
            </w:r>
          </w:p>
        </w:tc>
        <w:tc>
          <w:tcPr>
            <w:tcW w:w="80" w:type="dxa"/>
            <w:vAlign w:val="bottom"/>
            <w:shd w:val="clear" w:color="auto" w:fill="D2DCE5"/>
          </w:tcPr>
          <w:p>
            <w:pPr>
              <w:spacing w:after="0"/>
              <w:rPr>
                <w:sz w:val="22"/>
                <w:szCs w:val="22"/>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47,584</w:t>
            </w:r>
          </w:p>
        </w:tc>
        <w:tc>
          <w:tcPr>
            <w:tcW w:w="100" w:type="dxa"/>
            <w:vAlign w:val="bottom"/>
            <w:shd w:val="clear" w:color="auto" w:fill="D2DCE5"/>
          </w:tcPr>
          <w:p>
            <w:pPr>
              <w:spacing w:after="0"/>
              <w:rPr>
                <w:sz w:val="22"/>
                <w:szCs w:val="22"/>
                <w:color w:val="auto"/>
              </w:rPr>
            </w:pPr>
          </w:p>
        </w:tc>
        <w:tc>
          <w:tcPr>
            <w:tcW w:w="200" w:type="dxa"/>
            <w:vAlign w:val="bottom"/>
            <w:shd w:val="clear" w:color="auto" w:fill="D2DCE5"/>
          </w:tcPr>
          <w:p>
            <w:pPr>
              <w:spacing w:after="0"/>
              <w:rPr>
                <w:sz w:val="22"/>
                <w:szCs w:val="22"/>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14.6</w:t>
            </w:r>
          </w:p>
        </w:tc>
        <w:tc>
          <w:tcPr>
            <w:tcW w:w="100" w:type="dxa"/>
            <w:vAlign w:val="bottom"/>
            <w:shd w:val="clear" w:color="auto" w:fill="D2DCE5"/>
          </w:tcPr>
          <w:p>
            <w:pPr>
              <w:spacing w:after="0"/>
              <w:rPr>
                <w:sz w:val="22"/>
                <w:szCs w:val="22"/>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112,206</w:t>
            </w:r>
          </w:p>
        </w:tc>
        <w:tc>
          <w:tcPr>
            <w:tcW w:w="10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14.6</w:t>
            </w:r>
          </w:p>
        </w:tc>
        <w:tc>
          <w:tcPr>
            <w:tcW w:w="100" w:type="dxa"/>
            <w:vAlign w:val="bottom"/>
            <w:shd w:val="clear" w:color="auto" w:fill="D2DCE5"/>
          </w:tcPr>
          <w:p>
            <w:pPr>
              <w:spacing w:after="0"/>
              <w:rPr>
                <w:sz w:val="22"/>
                <w:szCs w:val="22"/>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88,053</w:t>
            </w:r>
          </w:p>
        </w:tc>
        <w:tc>
          <w:tcPr>
            <w:tcW w:w="10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14.7</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920" w:type="dxa"/>
            <w:vAlign w:val="bottom"/>
          </w:tcPr>
          <w:p>
            <w:pPr>
              <w:jc w:val="right"/>
              <w:spacing w:after="0"/>
              <w:rPr>
                <w:sz w:val="20"/>
                <w:szCs w:val="20"/>
                <w:color w:val="auto"/>
              </w:rPr>
            </w:pPr>
            <w:r>
              <w:rPr>
                <w:rFonts w:ascii="Arial" w:cs="Arial" w:eastAsia="Arial" w:hAnsi="Arial"/>
                <w:sz w:val="18"/>
                <w:szCs w:val="18"/>
                <w:color w:val="006098"/>
              </w:rPr>
              <w:t>38,357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06098"/>
              </w:rPr>
              <w:t>9.2</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22,156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131E29"/>
              </w:rPr>
              <w:t>6.8</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60,837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6098"/>
              </w:rPr>
              <w:t>7.9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38,371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6.4</w:t>
            </w:r>
          </w:p>
        </w:tc>
      </w:tr>
      <w:tr>
        <w:trPr>
          <w:trHeight w:val="270"/>
        </w:trPr>
        <w:tc>
          <w:tcPr>
            <w:tcW w:w="3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Adjusted EBITDA </w:t>
            </w:r>
            <w:r>
              <w:rPr>
                <w:rFonts w:ascii="Arial" w:cs="Arial" w:eastAsia="Arial" w:hAnsi="Arial"/>
                <w:sz w:val="23"/>
                <w:szCs w:val="23"/>
                <w:color w:val="131E29"/>
                <w:vertAlign w:val="superscript"/>
              </w:rPr>
              <w:t>6</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89,003</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21.4</w:t>
            </w:r>
          </w:p>
        </w:tc>
        <w:tc>
          <w:tcPr>
            <w:tcW w:w="8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65,159</w:t>
            </w:r>
          </w:p>
        </w:tc>
        <w:tc>
          <w:tcPr>
            <w:tcW w:w="100" w:type="dxa"/>
            <w:vAlign w:val="bottom"/>
            <w:shd w:val="clear" w:color="auto" w:fill="D2DCE5"/>
          </w:tcPr>
          <w:p>
            <w:pPr>
              <w:spacing w:after="0"/>
              <w:rPr>
                <w:sz w:val="23"/>
                <w:szCs w:val="23"/>
                <w:color w:val="auto"/>
              </w:rPr>
            </w:pPr>
          </w:p>
        </w:tc>
        <w:tc>
          <w:tcPr>
            <w:tcW w:w="200" w:type="dxa"/>
            <w:vAlign w:val="bottom"/>
            <w:shd w:val="clear" w:color="auto" w:fill="D2DCE5"/>
          </w:tcPr>
          <w:p>
            <w:pPr>
              <w:spacing w:after="0"/>
              <w:rPr>
                <w:sz w:val="23"/>
                <w:szCs w:val="23"/>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20.1</w:t>
            </w:r>
          </w:p>
        </w:tc>
        <w:tc>
          <w:tcPr>
            <w:tcW w:w="10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151,909</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19.7</w:t>
            </w:r>
          </w:p>
        </w:tc>
        <w:tc>
          <w:tcPr>
            <w:tcW w:w="10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117,699</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19.6</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73" w:lineRule="exact"/>
        <w:rPr>
          <w:sz w:val="20"/>
          <w:szCs w:val="20"/>
          <w:color w:val="auto"/>
        </w:rPr>
      </w:pPr>
    </w:p>
    <w:p>
      <w:pPr>
        <w:jc w:val="both"/>
        <w:ind w:left="180" w:hanging="172"/>
        <w:spacing w:after="0" w:line="234" w:lineRule="auto"/>
        <w:tabs>
          <w:tab w:leader="none" w:pos="241" w:val="left"/>
        </w:tabs>
        <w:numPr>
          <w:ilvl w:val="0"/>
          <w:numId w:val="15"/>
        </w:numPr>
        <w:rPr>
          <w:rFonts w:ascii="Arial" w:cs="Arial" w:eastAsia="Arial" w:hAnsi="Arial"/>
          <w:sz w:val="19"/>
          <w:szCs w:val="19"/>
          <w:color w:val="131E29"/>
          <w:vertAlign w:val="superscript"/>
        </w:rPr>
      </w:pPr>
      <w:r>
        <w:rPr>
          <w:rFonts w:ascii="Arial" w:cs="Arial" w:eastAsia="Arial" w:hAnsi="Arial"/>
          <w:sz w:val="14"/>
          <w:szCs w:val="14"/>
          <w:color w:val="131E29"/>
        </w:rPr>
        <w:t>AUVs are determined based on the net sales for any trailing twelve-month period for systemwide and company-operated shops that have been open a minimum of 15 months. AUVs are calculated by dividing the systemwide and company-operated shops net sales by the total number of systemwide and company-operated shops, respectively. Management uses these metrics as an indicator of shop growth and future expectations of mature locations.</w:t>
      </w:r>
    </w:p>
    <w:p>
      <w:pPr>
        <w:spacing w:after="0" w:line="40" w:lineRule="exact"/>
        <w:rPr>
          <w:sz w:val="20"/>
          <w:szCs w:val="20"/>
          <w:color w:val="auto"/>
        </w:rPr>
      </w:pPr>
    </w:p>
    <w:p>
      <w:pPr>
        <w:jc w:val="both"/>
        <w:ind w:left="180" w:hanging="172"/>
        <w:spacing w:after="0"/>
        <w:tabs>
          <w:tab w:leader="none" w:pos="241" w:val="left"/>
        </w:tabs>
        <w:numPr>
          <w:ilvl w:val="0"/>
          <w:numId w:val="16"/>
        </w:numPr>
        <w:rPr>
          <w:rFonts w:ascii="Arial" w:cs="Arial" w:eastAsia="Arial" w:hAnsi="Arial"/>
          <w:sz w:val="19"/>
          <w:szCs w:val="19"/>
          <w:color w:val="131E29"/>
          <w:vertAlign w:val="superscript"/>
        </w:rPr>
      </w:pPr>
      <w:r>
        <w:rPr>
          <w:rFonts w:ascii="Arial" w:cs="Arial" w:eastAsia="Arial" w:hAnsi="Arial"/>
          <w:sz w:val="14"/>
          <w:szCs w:val="14"/>
          <w:color w:val="131E29"/>
        </w:rPr>
        <w:t>Same shop sales represents the estimated percentage change in year-over-year sales, for the comparable shop base, which we define as shops open for 15 complete months or longer as of the first day of the reporting period. Same shop sales can be impacted by changes in customer transaction counts and by changes in the per-ticket amounts. Management uses these metrics as an indicator of shop growth and future expansion strategy. The number of shops included in the systemwide and company-operated comparable bases for the respective periods are presented in the following table.</w:t>
      </w:r>
    </w:p>
    <w:p>
      <w:pPr>
        <w:spacing w:after="0" w:line="41"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4"/>
          </w:tcPr>
          <w:p>
            <w:pPr>
              <w:ind w:left="200"/>
              <w:spacing w:after="0"/>
              <w:rPr>
                <w:sz w:val="20"/>
                <w:szCs w:val="20"/>
                <w:color w:val="auto"/>
              </w:rPr>
            </w:pPr>
            <w:r>
              <w:rPr>
                <w:rFonts w:ascii="Arial" w:cs="Arial" w:eastAsia="Arial" w:hAnsi="Arial"/>
                <w:sz w:val="14"/>
                <w:szCs w:val="14"/>
                <w:b w:val="1"/>
                <w:bCs w:val="1"/>
                <w:color w:val="131E29"/>
              </w:rPr>
              <w:t>Three Months Ended June 30,</w:t>
            </w:r>
          </w:p>
        </w:tc>
        <w:tc>
          <w:tcPr>
            <w:tcW w:w="22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131E29"/>
              </w:rPr>
              <w:t>Six Months Ended June 30,</w:t>
            </w:r>
          </w:p>
        </w:tc>
      </w:tr>
      <w:tr>
        <w:trPr>
          <w:trHeight w:val="223"/>
        </w:trPr>
        <w:tc>
          <w:tcPr>
            <w:tcW w:w="5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(unaudited)</w:t>
            </w:r>
          </w:p>
        </w:tc>
        <w:tc>
          <w:tcPr>
            <w:tcW w:w="100" w:type="dxa"/>
            <w:vAlign w:val="bottom"/>
            <w:tcBorders>
              <w:bottom w:val="single" w:sz="8" w:color="D2DCE5"/>
            </w:tcBorders>
          </w:tcPr>
          <w:p>
            <w:pPr>
              <w:spacing w:after="0"/>
              <w:rPr>
                <w:sz w:val="19"/>
                <w:szCs w:val="19"/>
                <w:color w:val="auto"/>
              </w:rPr>
            </w:pPr>
          </w:p>
        </w:tc>
        <w:tc>
          <w:tcPr>
            <w:tcW w:w="1180" w:type="dxa"/>
            <w:vAlign w:val="bottom"/>
            <w:tcBorders>
              <w:top w:val="single" w:sz="8" w:color="D7282F"/>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131E29"/>
              </w:rPr>
              <w:t>2025</w:t>
            </w:r>
          </w:p>
        </w:tc>
        <w:tc>
          <w:tcPr>
            <w:tcW w:w="100" w:type="dxa"/>
            <w:vAlign w:val="bottom"/>
            <w:tcBorders>
              <w:top w:val="single" w:sz="8" w:color="D7282F"/>
              <w:bottom w:val="single" w:sz="8" w:color="D2DCE5"/>
            </w:tcBorders>
          </w:tcPr>
          <w:p>
            <w:pPr>
              <w:spacing w:after="0"/>
              <w:rPr>
                <w:sz w:val="19"/>
                <w:szCs w:val="19"/>
                <w:color w:val="auto"/>
              </w:rPr>
            </w:pPr>
          </w:p>
        </w:tc>
        <w:tc>
          <w:tcPr>
            <w:tcW w:w="1160" w:type="dxa"/>
            <w:vAlign w:val="bottom"/>
            <w:tcBorders>
              <w:top w:val="single" w:sz="8" w:color="D7282F"/>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9"/>
                <w:szCs w:val="19"/>
                <w:color w:val="auto"/>
              </w:rPr>
            </w:pPr>
          </w:p>
        </w:tc>
        <w:tc>
          <w:tcPr>
            <w:tcW w:w="106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131E29"/>
              </w:rPr>
              <w:t>2025</w:t>
            </w:r>
          </w:p>
        </w:tc>
        <w:tc>
          <w:tcPr>
            <w:tcW w:w="80" w:type="dxa"/>
            <w:vAlign w:val="bottom"/>
            <w:tcBorders>
              <w:top w:val="single" w:sz="8" w:color="D7282F"/>
              <w:bottom w:val="single" w:sz="8" w:color="D2DCE5"/>
            </w:tcBorders>
          </w:tcPr>
          <w:p>
            <w:pPr>
              <w:spacing w:after="0"/>
              <w:rPr>
                <w:sz w:val="19"/>
                <w:szCs w:val="19"/>
                <w:color w:val="auto"/>
              </w:rPr>
            </w:pPr>
          </w:p>
        </w:tc>
        <w:tc>
          <w:tcPr>
            <w:tcW w:w="106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131E29"/>
              </w:rPr>
              <w:t>2024</w:t>
            </w:r>
          </w:p>
        </w:tc>
      </w:tr>
      <w:tr>
        <w:trPr>
          <w:trHeight w:val="230"/>
        </w:trPr>
        <w:tc>
          <w:tcPr>
            <w:tcW w:w="60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831</w:t>
            </w:r>
          </w:p>
        </w:tc>
        <w:tc>
          <w:tcPr>
            <w:tcW w:w="100" w:type="dxa"/>
            <w:vAlign w:val="bottom"/>
            <w:shd w:val="clear" w:color="auto" w:fill="D2DCE5"/>
          </w:tcPr>
          <w:p>
            <w:pPr>
              <w:spacing w:after="0"/>
              <w:rPr>
                <w:sz w:val="19"/>
                <w:szCs w:val="19"/>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671</w:t>
            </w:r>
          </w:p>
        </w:tc>
        <w:tc>
          <w:tcPr>
            <w:tcW w:w="100" w:type="dxa"/>
            <w:vAlign w:val="bottom"/>
            <w:shd w:val="clear" w:color="auto" w:fill="D2DCE5"/>
          </w:tcPr>
          <w:p>
            <w:pPr>
              <w:spacing w:after="0"/>
              <w:rPr>
                <w:sz w:val="19"/>
                <w:szCs w:val="19"/>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794</w:t>
            </w:r>
          </w:p>
        </w:tc>
        <w:tc>
          <w:tcPr>
            <w:tcW w:w="80" w:type="dxa"/>
            <w:vAlign w:val="bottom"/>
            <w:shd w:val="clear" w:color="auto" w:fill="D2DCE5"/>
          </w:tcPr>
          <w:p>
            <w:pPr>
              <w:spacing w:after="0"/>
              <w:rPr>
                <w:sz w:val="19"/>
                <w:szCs w:val="19"/>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641</w:t>
            </w:r>
          </w:p>
        </w:tc>
      </w:tr>
      <w:tr>
        <w:trPr>
          <w:trHeight w:val="221"/>
        </w:trPr>
        <w:tc>
          <w:tcPr>
            <w:tcW w:w="6040" w:type="dxa"/>
            <w:vAlign w:val="bottom"/>
            <w:gridSpan w:val="2"/>
          </w:tcPr>
          <w:p>
            <w:pPr>
              <w:ind w:left="20"/>
              <w:spacing w:after="0"/>
              <w:rPr>
                <w:sz w:val="20"/>
                <w:szCs w:val="20"/>
                <w:color w:val="auto"/>
              </w:rPr>
            </w:pPr>
            <w:r>
              <w:rPr>
                <w:rFonts w:ascii="Arial" w:cs="Arial" w:eastAsia="Arial" w:hAnsi="Arial"/>
                <w:sz w:val="14"/>
                <w:szCs w:val="14"/>
                <w:color w:val="131E29"/>
              </w:rPr>
              <w:t>Company-operated shops base</w:t>
            </w:r>
          </w:p>
        </w:tc>
        <w:tc>
          <w:tcPr>
            <w:tcW w:w="1180" w:type="dxa"/>
            <w:vAlign w:val="bottom"/>
          </w:tcPr>
          <w:p>
            <w:pPr>
              <w:jc w:val="right"/>
              <w:spacing w:after="0"/>
              <w:rPr>
                <w:sz w:val="20"/>
                <w:szCs w:val="20"/>
                <w:color w:val="auto"/>
              </w:rPr>
            </w:pPr>
            <w:r>
              <w:rPr>
                <w:rFonts w:ascii="Arial" w:cs="Arial" w:eastAsia="Arial" w:hAnsi="Arial"/>
                <w:sz w:val="14"/>
                <w:szCs w:val="14"/>
                <w:color w:val="006098"/>
              </w:rPr>
              <w:t>542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396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6098"/>
              </w:rPr>
              <w:t>510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370</w:t>
            </w:r>
          </w:p>
        </w:tc>
      </w:tr>
    </w:tbl>
    <w:p>
      <w:pPr>
        <w:spacing w:after="0" w:line="147" w:lineRule="exact"/>
        <w:rPr>
          <w:sz w:val="20"/>
          <w:szCs w:val="20"/>
          <w:color w:val="auto"/>
        </w:rPr>
      </w:pPr>
    </w:p>
    <w:p>
      <w:pPr>
        <w:jc w:val="both"/>
        <w:ind w:left="180" w:right="80" w:hanging="172"/>
        <w:spacing w:after="0" w:line="245" w:lineRule="auto"/>
        <w:tabs>
          <w:tab w:leader="none" w:pos="241" w:val="left"/>
        </w:tabs>
        <w:numPr>
          <w:ilvl w:val="0"/>
          <w:numId w:val="17"/>
        </w:numPr>
        <w:rPr>
          <w:rFonts w:ascii="Arial" w:cs="Arial" w:eastAsia="Arial" w:hAnsi="Arial"/>
          <w:sz w:val="19"/>
          <w:szCs w:val="19"/>
          <w:color w:val="131E29"/>
          <w:vertAlign w:val="superscript"/>
        </w:rPr>
      </w:pPr>
      <w:r>
        <w:rPr>
          <w:rFonts w:ascii="Arial" w:cs="Arial" w:eastAsia="Arial" w:hAnsi="Arial"/>
          <w:sz w:val="14"/>
          <w:szCs w:val="14"/>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38" w:lineRule="exact"/>
        <w:rPr>
          <w:sz w:val="20"/>
          <w:szCs w:val="20"/>
          <w:color w:val="auto"/>
        </w:rPr>
      </w:pPr>
    </w:p>
    <w:p>
      <w:pPr>
        <w:jc w:val="both"/>
        <w:ind w:left="180" w:hanging="172"/>
        <w:spacing w:after="0" w:line="234" w:lineRule="auto"/>
        <w:tabs>
          <w:tab w:leader="none" w:pos="289" w:val="left"/>
        </w:tabs>
        <w:numPr>
          <w:ilvl w:val="0"/>
          <w:numId w:val="18"/>
        </w:numPr>
        <w:rPr>
          <w:rFonts w:ascii="Arial" w:cs="Arial" w:eastAsia="Arial" w:hAnsi="Arial"/>
          <w:sz w:val="19"/>
          <w:szCs w:val="19"/>
          <w:color w:val="131E29"/>
          <w:vertAlign w:val="superscript"/>
        </w:rPr>
      </w:pPr>
      <w:r>
        <w:rPr>
          <w:rFonts w:ascii="Arial" w:cs="Arial" w:eastAsia="Arial" w:hAnsi="Arial"/>
          <w:sz w:val="14"/>
          <w:szCs w:val="14"/>
          <w:color w:val="131E29"/>
        </w:rPr>
        <w:t>Company-operated and franchise shops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67" w:lineRule="exact"/>
        <w:rPr>
          <w:sz w:val="20"/>
          <w:szCs w:val="20"/>
          <w:color w:val="auto"/>
        </w:rPr>
      </w:pPr>
    </w:p>
    <w:p>
      <w:pPr>
        <w:ind w:left="180" w:right="20" w:hanging="172"/>
        <w:spacing w:after="0" w:line="310" w:lineRule="auto"/>
        <w:tabs>
          <w:tab w:leader="none" w:pos="174" w:val="left"/>
        </w:tabs>
        <w:numPr>
          <w:ilvl w:val="0"/>
          <w:numId w:val="19"/>
        </w:numPr>
        <w:rPr>
          <w:rFonts w:ascii="Arial" w:cs="Arial" w:eastAsia="Arial" w:hAnsi="Arial"/>
          <w:sz w:val="9"/>
          <w:szCs w:val="9"/>
          <w:color w:val="131E29"/>
        </w:rPr>
      </w:pPr>
      <w:r>
        <w:rPr>
          <w:rFonts w:ascii="Arial" w:cs="Arial" w:eastAsia="Arial" w:hAnsi="Arial"/>
          <w:sz w:val="14"/>
          <w:szCs w:val="14"/>
          <w:color w:val="131E29"/>
        </w:rPr>
        <w:t>Dutch Rewards is our digitally based rewards program available exclusively through the Dutch Rewards app. Management uses this metric as an indicator of customer loyalty adoption of our Dutch Rewards app and future promotional plans.</w:t>
      </w:r>
    </w:p>
    <w:p>
      <w:pPr>
        <w:spacing w:after="0" w:line="3" w:lineRule="exact"/>
        <w:rPr>
          <w:sz w:val="20"/>
          <w:szCs w:val="20"/>
          <w:color w:val="auto"/>
        </w:rPr>
      </w:pPr>
    </w:p>
    <w:p>
      <w:pPr>
        <w:ind w:left="180" w:hanging="172"/>
        <w:spacing w:after="0" w:line="231" w:lineRule="auto"/>
        <w:tabs>
          <w:tab w:leader="none" w:pos="174" w:val="left"/>
        </w:tabs>
        <w:numPr>
          <w:ilvl w:val="0"/>
          <w:numId w:val="20"/>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w:t>
      </w:r>
      <w:r>
        <w:rPr>
          <w:rFonts w:ascii="Arial" w:cs="Arial" w:eastAsia="Arial" w:hAnsi="Arial"/>
          <w:sz w:val="22"/>
          <w:szCs w:val="22"/>
          <w:b w:val="1"/>
          <w:bCs w:val="1"/>
          <w:color w:val="00497F"/>
        </w:rPr>
        <w:t>ps</w:t>
      </w:r>
      <w:r>
        <w:rPr>
          <w:rFonts w:ascii="Arial" w:cs="Arial" w:eastAsia="Arial" w:hAnsi="Arial"/>
          <w:sz w:val="22"/>
          <w:szCs w:val="22"/>
          <w:b w:val="1"/>
          <w:bCs w:val="1"/>
          <w:color w:val="00416B"/>
        </w:rPr>
        <w:t xml:space="preserve">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Results for our company-operated shops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20" w:type="dxa"/>
            <w:vAlign w:val="bottom"/>
            <w:tcBorders>
              <w:bottom w:val="single" w:sz="8" w:color="D7282F"/>
            </w:tcBorders>
            <w:gridSpan w:val="7"/>
          </w:tcPr>
          <w:p>
            <w:pPr>
              <w:ind w:left="620"/>
              <w:spacing w:after="0"/>
              <w:rPr>
                <w:sz w:val="20"/>
                <w:szCs w:val="20"/>
                <w:color w:val="auto"/>
              </w:rPr>
            </w:pPr>
            <w:r>
              <w:rPr>
                <w:rFonts w:ascii="Arial" w:cs="Arial" w:eastAsia="Arial" w:hAnsi="Arial"/>
                <w:sz w:val="18"/>
                <w:szCs w:val="18"/>
                <w:b w:val="1"/>
                <w:bCs w:val="1"/>
                <w:color w:val="131E29"/>
              </w:rPr>
              <w:t>Three Months Ended June 30,</w:t>
            </w:r>
          </w:p>
        </w:tc>
        <w:tc>
          <w:tcPr>
            <w:tcW w:w="60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3160" w:type="dxa"/>
            <w:vAlign w:val="bottom"/>
            <w:tcBorders>
              <w:bottom w:val="single" w:sz="8" w:color="D7282F"/>
            </w:tcBorders>
            <w:gridSpan w:val="6"/>
          </w:tcPr>
          <w:p>
            <w:pPr>
              <w:jc w:val="right"/>
              <w:ind w:right="60"/>
              <w:spacing w:after="0"/>
              <w:rPr>
                <w:sz w:val="20"/>
                <w:szCs w:val="20"/>
                <w:color w:val="auto"/>
              </w:rPr>
            </w:pPr>
            <w:r>
              <w:rPr>
                <w:rFonts w:ascii="Arial" w:cs="Arial" w:eastAsia="Arial" w:hAnsi="Arial"/>
                <w:sz w:val="18"/>
                <w:szCs w:val="18"/>
                <w:b w:val="1"/>
                <w:bCs w:val="1"/>
                <w:color w:val="131E29"/>
              </w:rPr>
              <w:t>Six Months Ended June 30,</w:t>
            </w:r>
          </w:p>
        </w:tc>
        <w:tc>
          <w:tcPr>
            <w:tcW w:w="72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bottom w:val="single" w:sz="8" w:color="D7282F"/>
            </w:tcBorders>
            <w:gridSpan w:val="2"/>
          </w:tcPr>
          <w:p>
            <w:pPr>
              <w:jc w:val="right"/>
              <w:ind w:right="60"/>
              <w:spacing w:after="0"/>
              <w:rPr>
                <w:sz w:val="20"/>
                <w:szCs w:val="20"/>
                <w:color w:val="auto"/>
              </w:rPr>
            </w:pPr>
            <w:r>
              <w:rPr>
                <w:rFonts w:ascii="Arial" w:cs="Arial" w:eastAsia="Arial" w:hAnsi="Arial"/>
                <w:sz w:val="18"/>
                <w:szCs w:val="18"/>
                <w:b w:val="1"/>
                <w:bCs w:val="1"/>
                <w:color w:val="131E29"/>
              </w:rPr>
              <w:t>2025</w:t>
            </w:r>
          </w:p>
        </w:tc>
        <w:tc>
          <w:tcPr>
            <w:tcW w:w="66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8"/>
                <w:szCs w:val="18"/>
                <w:b w:val="1"/>
                <w:bCs w:val="1"/>
                <w:color w:val="131E29"/>
              </w:rPr>
              <w:t>2024</w:t>
            </w:r>
          </w:p>
        </w:tc>
        <w:tc>
          <w:tcPr>
            <w:tcW w:w="140" w:type="dxa"/>
            <w:vAlign w:val="bottom"/>
            <w:tcBorders>
              <w:bottom w:val="single" w:sz="8" w:color="D7282F"/>
            </w:tcBorders>
          </w:tcPr>
          <w:p>
            <w:pPr>
              <w:spacing w:after="0"/>
              <w:rPr>
                <w:sz w:val="22"/>
                <w:szCs w:val="22"/>
                <w:color w:val="auto"/>
              </w:rPr>
            </w:pPr>
          </w:p>
        </w:tc>
        <w:tc>
          <w:tcPr>
            <w:tcW w:w="60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Borders>
              <w:bottom w:val="single" w:sz="8" w:color="D7282F"/>
            </w:tcBorders>
            <w:gridSpan w:val="2"/>
          </w:tcPr>
          <w:p>
            <w:pPr>
              <w:jc w:val="right"/>
              <w:spacing w:after="0"/>
              <w:rPr>
                <w:sz w:val="20"/>
                <w:szCs w:val="20"/>
                <w:color w:val="auto"/>
              </w:rPr>
            </w:pPr>
            <w:r>
              <w:rPr>
                <w:rFonts w:ascii="Arial" w:cs="Arial" w:eastAsia="Arial" w:hAnsi="Arial"/>
                <w:sz w:val="18"/>
                <w:szCs w:val="18"/>
                <w:b w:val="1"/>
                <w:bCs w:val="1"/>
                <w:color w:val="131E29"/>
              </w:rPr>
              <w:t>2025</w:t>
            </w:r>
          </w:p>
        </w:tc>
        <w:tc>
          <w:tcPr>
            <w:tcW w:w="74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8"/>
                <w:szCs w:val="18"/>
                <w:b w:val="1"/>
                <w:bCs w:val="1"/>
                <w:color w:val="131E29"/>
              </w:rPr>
              <w:t>2024</w:t>
            </w:r>
          </w:p>
        </w:tc>
        <w:tc>
          <w:tcPr>
            <w:tcW w:w="72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060" w:type="dxa"/>
            <w:vAlign w:val="bottom"/>
            <w:tcBorders>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66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060" w:type="dxa"/>
            <w:vAlign w:val="bottom"/>
            <w:tcBorders>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600" w:type="dxa"/>
            <w:vAlign w:val="bottom"/>
            <w:tcBorders>
              <w:bottom w:val="single" w:sz="8" w:color="D7282F"/>
            </w:tcBorders>
          </w:tcPr>
          <w:p>
            <w:pPr>
              <w:jc w:val="right"/>
              <w:ind w:right="21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1080" w:type="dxa"/>
            <w:vAlign w:val="bottom"/>
            <w:tcBorders>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7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1080" w:type="dxa"/>
            <w:vAlign w:val="bottom"/>
            <w:tcBorders>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72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revenues</w:t>
            </w: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380,500</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100.0</w:t>
            </w:r>
          </w:p>
        </w:tc>
        <w:tc>
          <w:tcPr>
            <w:tcW w:w="100" w:type="dxa"/>
            <w:vAlign w:val="bottom"/>
            <w:shd w:val="clear" w:color="auto" w:fill="D2DCE5"/>
          </w:tcPr>
          <w:p>
            <w:pPr>
              <w:spacing w:after="0"/>
              <w:rPr>
                <w:sz w:val="23"/>
                <w:szCs w:val="23"/>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295,268</w:t>
            </w: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100.0</w:t>
            </w:r>
          </w:p>
        </w:tc>
        <w:tc>
          <w:tcPr>
            <w:tcW w:w="80" w:type="dxa"/>
            <w:vAlign w:val="bottom"/>
            <w:shd w:val="clear" w:color="auto" w:fill="D2DCE5"/>
          </w:tcPr>
          <w:p>
            <w:pPr>
              <w:spacing w:after="0"/>
              <w:rPr>
                <w:sz w:val="23"/>
                <w:szCs w:val="23"/>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706,921</w:t>
            </w:r>
          </w:p>
        </w:tc>
        <w:tc>
          <w:tcPr>
            <w:tcW w:w="8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100.0</w:t>
            </w:r>
          </w:p>
        </w:tc>
        <w:tc>
          <w:tcPr>
            <w:tcW w:w="80" w:type="dxa"/>
            <w:vAlign w:val="bottom"/>
            <w:shd w:val="clear" w:color="auto" w:fill="D2DCE5"/>
          </w:tcPr>
          <w:p>
            <w:pPr>
              <w:spacing w:after="0"/>
              <w:rPr>
                <w:sz w:val="23"/>
                <w:szCs w:val="23"/>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543,353</w:t>
            </w: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100.0</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Beverage, food, and packaging costs</w:t>
            </w: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96,468</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25.3</w:t>
            </w:r>
          </w:p>
        </w:tc>
        <w:tc>
          <w:tcPr>
            <w:tcW w:w="100" w:type="dxa"/>
            <w:vAlign w:val="bottom"/>
            <w:shd w:val="clear" w:color="auto" w:fill="D2DCE5"/>
          </w:tcPr>
          <w:p>
            <w:pPr>
              <w:spacing w:after="0"/>
              <w:rPr>
                <w:sz w:val="23"/>
                <w:szCs w:val="23"/>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75,147</w:t>
            </w: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25.5</w:t>
            </w:r>
          </w:p>
        </w:tc>
        <w:tc>
          <w:tcPr>
            <w:tcW w:w="80" w:type="dxa"/>
            <w:vAlign w:val="bottom"/>
            <w:shd w:val="clear" w:color="auto" w:fill="D2DCE5"/>
          </w:tcPr>
          <w:p>
            <w:pPr>
              <w:spacing w:after="0"/>
              <w:rPr>
                <w:sz w:val="23"/>
                <w:szCs w:val="23"/>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177,847</w:t>
            </w:r>
          </w:p>
        </w:tc>
        <w:tc>
          <w:tcPr>
            <w:tcW w:w="8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25.2</w:t>
            </w:r>
          </w:p>
        </w:tc>
        <w:tc>
          <w:tcPr>
            <w:tcW w:w="80" w:type="dxa"/>
            <w:vAlign w:val="bottom"/>
            <w:shd w:val="clear" w:color="auto" w:fill="D2DCE5"/>
          </w:tcPr>
          <w:p>
            <w:pPr>
              <w:spacing w:after="0"/>
              <w:rPr>
                <w:sz w:val="23"/>
                <w:szCs w:val="23"/>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138,863</w:t>
            </w: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25.5</w:t>
            </w:r>
          </w:p>
        </w:tc>
        <w:tc>
          <w:tcPr>
            <w:tcW w:w="0" w:type="dxa"/>
            <w:vAlign w:val="bottom"/>
          </w:tcPr>
          <w:p>
            <w:pPr>
              <w:spacing w:after="0"/>
              <w:rPr>
                <w:sz w:val="1"/>
                <w:szCs w:val="1"/>
                <w:color w:val="auto"/>
              </w:rPr>
            </w:pPr>
          </w:p>
        </w:tc>
      </w:tr>
      <w:tr>
        <w:trPr>
          <w:trHeight w:val="270"/>
        </w:trPr>
        <w:tc>
          <w:tcPr>
            <w:tcW w:w="3460" w:type="dxa"/>
            <w:vAlign w:val="bottom"/>
            <w:gridSpan w:val="2"/>
          </w:tcPr>
          <w:p>
            <w:pPr>
              <w:ind w:left="20"/>
              <w:spacing w:after="0"/>
              <w:rPr>
                <w:sz w:val="20"/>
                <w:szCs w:val="20"/>
                <w:color w:val="auto"/>
              </w:rPr>
            </w:pPr>
            <w:r>
              <w:rPr>
                <w:rFonts w:ascii="Arial" w:cs="Arial" w:eastAsia="Arial" w:hAnsi="Arial"/>
                <w:sz w:val="18"/>
                <w:szCs w:val="18"/>
                <w:color w:val="131E29"/>
              </w:rPr>
              <w:t>Labor costs</w:t>
            </w:r>
          </w:p>
        </w:tc>
        <w:tc>
          <w:tcPr>
            <w:tcW w:w="1060" w:type="dxa"/>
            <w:vAlign w:val="bottom"/>
          </w:tcPr>
          <w:p>
            <w:pPr>
              <w:jc w:val="right"/>
              <w:spacing w:after="0"/>
              <w:rPr>
                <w:sz w:val="20"/>
                <w:szCs w:val="20"/>
                <w:color w:val="auto"/>
              </w:rPr>
            </w:pPr>
            <w:r>
              <w:rPr>
                <w:rFonts w:ascii="Arial" w:cs="Arial" w:eastAsia="Arial" w:hAnsi="Arial"/>
                <w:sz w:val="18"/>
                <w:szCs w:val="18"/>
                <w:color w:val="006098"/>
              </w:rPr>
              <w:t>101,270</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006098"/>
              </w:rPr>
              <w:t>26.6</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80,236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27.2</w:t>
            </w: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6098"/>
              </w:rPr>
              <w:t>190,709</w:t>
            </w: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27.0</w:t>
            </w: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145,663</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26.8</w:t>
            </w: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Occupancy and other costs</w:t>
            </w: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59,984</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15.8</w:t>
            </w:r>
          </w:p>
        </w:tc>
        <w:tc>
          <w:tcPr>
            <w:tcW w:w="100" w:type="dxa"/>
            <w:vAlign w:val="bottom"/>
            <w:shd w:val="clear" w:color="auto" w:fill="D2DCE5"/>
          </w:tcPr>
          <w:p>
            <w:pPr>
              <w:spacing w:after="0"/>
              <w:rPr>
                <w:sz w:val="23"/>
                <w:szCs w:val="23"/>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44,277</w:t>
            </w: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15.0</w:t>
            </w:r>
          </w:p>
        </w:tc>
        <w:tc>
          <w:tcPr>
            <w:tcW w:w="80" w:type="dxa"/>
            <w:vAlign w:val="bottom"/>
            <w:shd w:val="clear" w:color="auto" w:fill="D2DCE5"/>
          </w:tcPr>
          <w:p>
            <w:pPr>
              <w:spacing w:after="0"/>
              <w:rPr>
                <w:sz w:val="23"/>
                <w:szCs w:val="23"/>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113,911</w:t>
            </w:r>
          </w:p>
        </w:tc>
        <w:tc>
          <w:tcPr>
            <w:tcW w:w="8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16.1</w:t>
            </w:r>
          </w:p>
        </w:tc>
        <w:tc>
          <w:tcPr>
            <w:tcW w:w="80" w:type="dxa"/>
            <w:vAlign w:val="bottom"/>
            <w:shd w:val="clear" w:color="auto" w:fill="D2DCE5"/>
          </w:tcPr>
          <w:p>
            <w:pPr>
              <w:spacing w:after="0"/>
              <w:rPr>
                <w:sz w:val="23"/>
                <w:szCs w:val="23"/>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85,773</w:t>
            </w: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15.8</w:t>
            </w:r>
          </w:p>
        </w:tc>
        <w:tc>
          <w:tcPr>
            <w:tcW w:w="0" w:type="dxa"/>
            <w:vAlign w:val="bottom"/>
          </w:tcPr>
          <w:p>
            <w:pPr>
              <w:spacing w:after="0"/>
              <w:rPr>
                <w:sz w:val="1"/>
                <w:szCs w:val="1"/>
                <w:color w:val="auto"/>
              </w:rPr>
            </w:pPr>
          </w:p>
        </w:tc>
      </w:tr>
      <w:tr>
        <w:trPr>
          <w:trHeight w:val="270"/>
        </w:trPr>
        <w:tc>
          <w:tcPr>
            <w:tcW w:w="3460" w:type="dxa"/>
            <w:vAlign w:val="bottom"/>
            <w:gridSpan w:val="2"/>
          </w:tcPr>
          <w:p>
            <w:pPr>
              <w:ind w:left="20"/>
              <w:spacing w:after="0"/>
              <w:rPr>
                <w:sz w:val="20"/>
                <w:szCs w:val="20"/>
                <w:color w:val="auto"/>
              </w:rPr>
            </w:pPr>
            <w:r>
              <w:rPr>
                <w:rFonts w:ascii="Arial" w:cs="Arial" w:eastAsia="Arial" w:hAnsi="Arial"/>
                <w:sz w:val="18"/>
                <w:szCs w:val="18"/>
                <w:color w:val="131E29"/>
              </w:rPr>
              <w:t>Pre-opening costs</w:t>
            </w:r>
          </w:p>
        </w:tc>
        <w:tc>
          <w:tcPr>
            <w:tcW w:w="1060" w:type="dxa"/>
            <w:vAlign w:val="bottom"/>
          </w:tcPr>
          <w:p>
            <w:pPr>
              <w:jc w:val="right"/>
              <w:spacing w:after="0"/>
              <w:rPr>
                <w:sz w:val="20"/>
                <w:szCs w:val="20"/>
                <w:color w:val="auto"/>
              </w:rPr>
            </w:pPr>
            <w:r>
              <w:rPr>
                <w:rFonts w:ascii="Arial" w:cs="Arial" w:eastAsia="Arial" w:hAnsi="Arial"/>
                <w:sz w:val="18"/>
                <w:szCs w:val="18"/>
                <w:color w:val="006098"/>
              </w:rPr>
              <w:t>4,542</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006098"/>
              </w:rPr>
              <w:t>1.2</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4,554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1.5</w:t>
            </w: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6098"/>
              </w:rPr>
              <w:t>10,153</w:t>
            </w: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1.4</w:t>
            </w: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8,001</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1.5</w:t>
            </w:r>
          </w:p>
        </w:tc>
        <w:tc>
          <w:tcPr>
            <w:tcW w:w="0" w:type="dxa"/>
            <w:vAlign w:val="bottom"/>
          </w:tcPr>
          <w:p>
            <w:pPr>
              <w:spacing w:after="0"/>
              <w:rPr>
                <w:sz w:val="1"/>
                <w:szCs w:val="1"/>
                <w:color w:val="auto"/>
              </w:rPr>
            </w:pPr>
          </w:p>
        </w:tc>
      </w:tr>
      <w:tr>
        <w:trPr>
          <w:trHeight w:val="270"/>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25,684</w:t>
            </w:r>
          </w:p>
        </w:tc>
        <w:tc>
          <w:tcPr>
            <w:tcW w:w="100" w:type="dxa"/>
            <w:vAlign w:val="bottom"/>
            <w:shd w:val="clear" w:color="auto" w:fill="D2DCE5"/>
          </w:tcPr>
          <w:p>
            <w:pPr>
              <w:spacing w:after="0"/>
              <w:rPr>
                <w:sz w:val="23"/>
                <w:szCs w:val="23"/>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6.8</w:t>
            </w:r>
          </w:p>
        </w:tc>
        <w:tc>
          <w:tcPr>
            <w:tcW w:w="100" w:type="dxa"/>
            <w:vAlign w:val="bottom"/>
            <w:shd w:val="clear" w:color="auto" w:fill="D2DCE5"/>
          </w:tcPr>
          <w:p>
            <w:pPr>
              <w:spacing w:after="0"/>
              <w:rPr>
                <w:sz w:val="23"/>
                <w:szCs w:val="23"/>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21,038</w:t>
            </w:r>
          </w:p>
        </w:tc>
        <w:tc>
          <w:tcPr>
            <w:tcW w:w="100" w:type="dxa"/>
            <w:vAlign w:val="bottom"/>
            <w:shd w:val="clear" w:color="auto" w:fill="D2DCE5"/>
          </w:tcPr>
          <w:p>
            <w:pPr>
              <w:spacing w:after="0"/>
              <w:rPr>
                <w:sz w:val="23"/>
                <w:szCs w:val="23"/>
                <w:color w:val="auto"/>
              </w:rPr>
            </w:pPr>
          </w:p>
        </w:tc>
        <w:tc>
          <w:tcPr>
            <w:tcW w:w="140" w:type="dxa"/>
            <w:vAlign w:val="bottom"/>
            <w:tcBorders>
              <w:bottom w:val="single" w:sz="8" w:color="auto"/>
            </w:tcBorders>
            <w:shd w:val="clear" w:color="auto" w:fill="D2DCE5"/>
          </w:tcPr>
          <w:p>
            <w:pPr>
              <w:spacing w:after="0"/>
              <w:rPr>
                <w:sz w:val="23"/>
                <w:szCs w:val="23"/>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7.1</w:t>
            </w:r>
          </w:p>
        </w:tc>
        <w:tc>
          <w:tcPr>
            <w:tcW w:w="80" w:type="dxa"/>
            <w:vAlign w:val="bottom"/>
            <w:shd w:val="clear" w:color="auto" w:fill="D2DCE5"/>
          </w:tcPr>
          <w:p>
            <w:pPr>
              <w:spacing w:after="0"/>
              <w:rPr>
                <w:sz w:val="23"/>
                <w:szCs w:val="23"/>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50,251</w:t>
            </w:r>
          </w:p>
        </w:tc>
        <w:tc>
          <w:tcPr>
            <w:tcW w:w="80" w:type="dxa"/>
            <w:vAlign w:val="bottom"/>
            <w:shd w:val="clear" w:color="auto" w:fill="D2DCE5"/>
          </w:tcPr>
          <w:p>
            <w:pPr>
              <w:spacing w:after="0"/>
              <w:rPr>
                <w:sz w:val="23"/>
                <w:szCs w:val="23"/>
                <w:color w:val="auto"/>
              </w:rPr>
            </w:pP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7.1</w:t>
            </w:r>
          </w:p>
        </w:tc>
        <w:tc>
          <w:tcPr>
            <w:tcW w:w="80" w:type="dxa"/>
            <w:vAlign w:val="bottom"/>
            <w:shd w:val="clear" w:color="auto" w:fill="D2DCE5"/>
          </w:tcPr>
          <w:p>
            <w:pPr>
              <w:spacing w:after="0"/>
              <w:rPr>
                <w:sz w:val="23"/>
                <w:szCs w:val="23"/>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40,732</w:t>
            </w:r>
          </w:p>
        </w:tc>
        <w:tc>
          <w:tcPr>
            <w:tcW w:w="100" w:type="dxa"/>
            <w:vAlign w:val="bottom"/>
            <w:shd w:val="clear" w:color="auto" w:fill="D2DCE5"/>
          </w:tcPr>
          <w:p>
            <w:pPr>
              <w:spacing w:after="0"/>
              <w:rPr>
                <w:sz w:val="23"/>
                <w:szCs w:val="23"/>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7.5</w:t>
            </w:r>
          </w:p>
        </w:tc>
        <w:tc>
          <w:tcPr>
            <w:tcW w:w="0" w:type="dxa"/>
            <w:vAlign w:val="bottom"/>
          </w:tcPr>
          <w:p>
            <w:pPr>
              <w:spacing w:after="0"/>
              <w:rPr>
                <w:sz w:val="1"/>
                <w:szCs w:val="1"/>
                <w:color w:val="auto"/>
              </w:rPr>
            </w:pPr>
          </w:p>
        </w:tc>
      </w:tr>
      <w:tr>
        <w:trPr>
          <w:trHeight w:val="204"/>
        </w:trPr>
        <w:tc>
          <w:tcPr>
            <w:tcW w:w="3460" w:type="dxa"/>
            <w:vAlign w:val="bottom"/>
            <w:gridSpan w:val="2"/>
          </w:tcPr>
          <w:p>
            <w:pPr>
              <w:ind w:left="20"/>
              <w:spacing w:after="0" w:line="204" w:lineRule="exact"/>
              <w:rPr>
                <w:sz w:val="20"/>
                <w:szCs w:val="20"/>
                <w:color w:val="auto"/>
              </w:rPr>
            </w:pPr>
            <w:r>
              <w:rPr>
                <w:rFonts w:ascii="Arial" w:cs="Arial" w:eastAsia="Arial" w:hAnsi="Arial"/>
                <w:sz w:val="18"/>
                <w:szCs w:val="18"/>
                <w:color w:val="131E29"/>
              </w:rPr>
              <w:t>Company-operated shops costs and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46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287,948</w:t>
            </w:r>
          </w:p>
        </w:tc>
        <w:tc>
          <w:tcPr>
            <w:tcW w:w="100" w:type="dxa"/>
            <w:vAlign w:val="bottom"/>
            <w:tcBorders>
              <w:bottom w:val="single" w:sz="8" w:color="D2DCE5"/>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75.7</w:t>
            </w:r>
          </w:p>
        </w:tc>
        <w:tc>
          <w:tcPr>
            <w:tcW w:w="100" w:type="dxa"/>
            <w:vAlign w:val="bottom"/>
            <w:tcBorders>
              <w:bottom w:val="single" w:sz="8" w:color="D2DCE5"/>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225,252</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76.3</w:t>
            </w:r>
          </w:p>
        </w:tc>
        <w:tc>
          <w:tcPr>
            <w:tcW w:w="80" w:type="dxa"/>
            <w:vAlign w:val="bottom"/>
            <w:tcBorders>
              <w:bottom w:val="single" w:sz="8" w:color="D2DCE5"/>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542,871</w:t>
            </w:r>
          </w:p>
        </w:tc>
        <w:tc>
          <w:tcPr>
            <w:tcW w:w="80" w:type="dxa"/>
            <w:vAlign w:val="bottom"/>
            <w:tcBorders>
              <w:bottom w:val="single" w:sz="8" w:color="D2DCE5"/>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76.8</w:t>
            </w:r>
          </w:p>
        </w:tc>
        <w:tc>
          <w:tcPr>
            <w:tcW w:w="80" w:type="dxa"/>
            <w:vAlign w:val="bottom"/>
            <w:tcBorders>
              <w:bottom w:val="single" w:sz="8" w:color="D2DCE5"/>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419,032</w:t>
            </w:r>
          </w:p>
        </w:tc>
        <w:tc>
          <w:tcPr>
            <w:tcW w:w="100" w:type="dxa"/>
            <w:vAlign w:val="bottom"/>
            <w:tcBorders>
              <w:bottom w:val="single" w:sz="8" w:color="D2DCE5"/>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77.1</w:t>
            </w:r>
          </w:p>
        </w:tc>
        <w:tc>
          <w:tcPr>
            <w:tcW w:w="0" w:type="dxa"/>
            <w:vAlign w:val="bottom"/>
          </w:tcPr>
          <w:p>
            <w:pPr>
              <w:spacing w:after="0"/>
              <w:rPr>
                <w:sz w:val="1"/>
                <w:szCs w:val="1"/>
                <w:color w:val="auto"/>
              </w:rPr>
            </w:pPr>
          </w:p>
        </w:tc>
      </w:tr>
      <w:tr>
        <w:trPr>
          <w:trHeight w:val="204"/>
        </w:trPr>
        <w:tc>
          <w:tcPr>
            <w:tcW w:w="3460" w:type="dxa"/>
            <w:vAlign w:val="bottom"/>
            <w:gridSpan w:val="2"/>
            <w:shd w:val="clear" w:color="auto" w:fill="D2DCE5"/>
          </w:tcPr>
          <w:p>
            <w:pPr>
              <w:ind w:left="180"/>
              <w:spacing w:after="0" w:line="204" w:lineRule="exact"/>
              <w:rPr>
                <w:sz w:val="20"/>
                <w:szCs w:val="20"/>
                <w:color w:val="auto"/>
              </w:rPr>
            </w:pPr>
            <w:r>
              <w:rPr>
                <w:rFonts w:ascii="Arial" w:cs="Arial" w:eastAsia="Arial" w:hAnsi="Arial"/>
                <w:sz w:val="18"/>
                <w:szCs w:val="18"/>
                <w:b w:val="1"/>
                <w:bCs w:val="1"/>
                <w:color w:val="131E29"/>
              </w:rPr>
              <w:t>Company-operated shops gross</w:t>
            </w: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006098"/>
              </w:rPr>
              <w:t>92,552</w:t>
            </w:r>
          </w:p>
        </w:tc>
        <w:tc>
          <w:tcPr>
            <w:tcW w:w="100" w:type="dxa"/>
            <w:vAlign w:val="bottom"/>
            <w:shd w:val="clear" w:color="auto" w:fill="D2DCE5"/>
          </w:tcPr>
          <w:p>
            <w:pPr>
              <w:spacing w:after="0"/>
              <w:rPr>
                <w:sz w:val="17"/>
                <w:szCs w:val="17"/>
                <w:color w:val="auto"/>
              </w:rPr>
            </w:pPr>
          </w:p>
        </w:tc>
        <w:tc>
          <w:tcPr>
            <w:tcW w:w="6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70,016</w:t>
            </w:r>
          </w:p>
        </w:tc>
        <w:tc>
          <w:tcPr>
            <w:tcW w:w="10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23.7</w:t>
            </w:r>
          </w:p>
        </w:tc>
        <w:tc>
          <w:tcPr>
            <w:tcW w:w="80" w:type="dxa"/>
            <w:vAlign w:val="bottom"/>
            <w:shd w:val="clear" w:color="auto" w:fill="D2DCE5"/>
          </w:tcPr>
          <w:p>
            <w:pPr>
              <w:spacing w:after="0"/>
              <w:rPr>
                <w:sz w:val="17"/>
                <w:szCs w:val="17"/>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006098"/>
              </w:rPr>
              <w:t>164,050</w:t>
            </w:r>
          </w:p>
        </w:tc>
        <w:tc>
          <w:tcPr>
            <w:tcW w:w="80" w:type="dxa"/>
            <w:vAlign w:val="bottom"/>
            <w:shd w:val="clear" w:color="auto" w:fill="D2DCE5"/>
          </w:tcPr>
          <w:p>
            <w:pPr>
              <w:spacing w:after="0"/>
              <w:rPr>
                <w:sz w:val="17"/>
                <w:szCs w:val="17"/>
                <w:color w:val="auto"/>
              </w:rPr>
            </w:pP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006098"/>
              </w:rPr>
              <w:t>23.2</w:t>
            </w:r>
          </w:p>
        </w:tc>
        <w:tc>
          <w:tcPr>
            <w:tcW w:w="80" w:type="dxa"/>
            <w:vAlign w:val="bottom"/>
            <w:shd w:val="clear" w:color="auto" w:fill="D2DCE5"/>
          </w:tcPr>
          <w:p>
            <w:pPr>
              <w:spacing w:after="0"/>
              <w:rPr>
                <w:sz w:val="17"/>
                <w:szCs w:val="17"/>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124,321</w:t>
            </w:r>
          </w:p>
        </w:tc>
        <w:tc>
          <w:tcPr>
            <w:tcW w:w="100" w:type="dxa"/>
            <w:vAlign w:val="bottom"/>
            <w:shd w:val="clear" w:color="auto" w:fill="D2DCE5"/>
          </w:tcPr>
          <w:p>
            <w:pPr>
              <w:spacing w:after="0"/>
              <w:rPr>
                <w:sz w:val="17"/>
                <w:szCs w:val="17"/>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8"/>
                <w:szCs w:val="18"/>
                <w:b w:val="1"/>
                <w:bCs w:val="1"/>
                <w:color w:val="131E29"/>
              </w:rPr>
              <w:t>22.9</w:t>
            </w:r>
          </w:p>
        </w:tc>
        <w:tc>
          <w:tcPr>
            <w:tcW w:w="0" w:type="dxa"/>
            <w:vAlign w:val="bottom"/>
          </w:tcPr>
          <w:p>
            <w:pPr>
              <w:spacing w:after="0"/>
              <w:rPr>
                <w:sz w:val="1"/>
                <w:szCs w:val="1"/>
                <w:color w:val="auto"/>
              </w:rPr>
            </w:pPr>
          </w:p>
        </w:tc>
      </w:tr>
      <w:tr>
        <w:trPr>
          <w:trHeight w:val="255"/>
        </w:trPr>
        <w:tc>
          <w:tcPr>
            <w:tcW w:w="34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profit</w:t>
            </w:r>
          </w:p>
        </w:tc>
        <w:tc>
          <w:tcPr>
            <w:tcW w:w="1060" w:type="dxa"/>
            <w:vAlign w:val="bottom"/>
            <w:tcBorders>
              <w:bottom w:val="single" w:sz="8" w:color="auto"/>
            </w:tcBorders>
            <w:vMerge w:val="continue"/>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24.3</w:t>
            </w:r>
          </w:p>
        </w:tc>
        <w:tc>
          <w:tcPr>
            <w:tcW w:w="100" w:type="dxa"/>
            <w:vAlign w:val="bottom"/>
            <w:tcBorders>
              <w:bottom w:val="single" w:sz="8" w:color="D2DCE5"/>
            </w:tcBorders>
            <w:shd w:val="clear" w:color="auto" w:fill="D2DCE5"/>
          </w:tcPr>
          <w:p>
            <w:pPr>
              <w:spacing w:after="0"/>
              <w:rPr>
                <w:sz w:val="22"/>
                <w:szCs w:val="22"/>
                <w:color w:val="auto"/>
              </w:rPr>
            </w:pPr>
          </w:p>
        </w:tc>
        <w:tc>
          <w:tcPr>
            <w:tcW w:w="1060" w:type="dxa"/>
            <w:vAlign w:val="bottom"/>
            <w:tcBorders>
              <w:bottom w:val="single" w:sz="8" w:color="auto"/>
            </w:tcBorders>
            <w:vMerge w:val="continue"/>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140" w:type="dxa"/>
            <w:vAlign w:val="bottom"/>
            <w:tcBorders>
              <w:bottom w:val="single" w:sz="8" w:color="auto"/>
            </w:tcBorders>
            <w:shd w:val="clear" w:color="auto" w:fill="D2DCE5"/>
          </w:tcPr>
          <w:p>
            <w:pPr>
              <w:spacing w:after="0"/>
              <w:rPr>
                <w:sz w:val="22"/>
                <w:szCs w:val="22"/>
                <w:color w:val="auto"/>
              </w:rPr>
            </w:pPr>
          </w:p>
        </w:tc>
        <w:tc>
          <w:tcPr>
            <w:tcW w:w="600" w:type="dxa"/>
            <w:vAlign w:val="bottom"/>
            <w:tcBorders>
              <w:bottom w:val="single" w:sz="8" w:color="auto"/>
            </w:tcBorders>
            <w:vMerge w:val="continue"/>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1080" w:type="dxa"/>
            <w:vAlign w:val="bottom"/>
            <w:tcBorders>
              <w:bottom w:val="single" w:sz="8" w:color="auto"/>
            </w:tcBorders>
            <w:vMerge w:val="continue"/>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740" w:type="dxa"/>
            <w:vAlign w:val="bottom"/>
            <w:tcBorders>
              <w:bottom w:val="single" w:sz="8" w:color="auto"/>
            </w:tcBorders>
            <w:vMerge w:val="continue"/>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1080" w:type="dxa"/>
            <w:vAlign w:val="bottom"/>
            <w:tcBorders>
              <w:bottom w:val="single" w:sz="8" w:color="auto"/>
            </w:tcBorders>
            <w:vMerge w:val="continue"/>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720" w:type="dxa"/>
            <w:vAlign w:val="bottom"/>
            <w:tcBorders>
              <w:bottom w:val="single" w:sz="8" w:color="auto"/>
            </w:tcBorders>
            <w:vMerge w:val="continue"/>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 contribution</w:t>
            </w:r>
            <w:r>
              <w:rPr>
                <w:rFonts w:ascii="Arial" w:cs="Arial" w:eastAsia="Arial" w:hAnsi="Arial"/>
                <w:sz w:val="23"/>
                <w:szCs w:val="23"/>
                <w:color w:val="131E29"/>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006098"/>
              </w:rPr>
              <w:t>118,236</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006098"/>
              </w:rPr>
              <w:t>31.1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91,054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30.8</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6098"/>
              </w:rPr>
              <w:t>214,301</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30.3</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165,053</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30.4</w:t>
            </w:r>
          </w:p>
        </w:tc>
        <w:tc>
          <w:tcPr>
            <w:tcW w:w="0" w:type="dxa"/>
            <w:vAlign w:val="bottom"/>
          </w:tcPr>
          <w:p>
            <w:pPr>
              <w:spacing w:after="0"/>
              <w:rPr>
                <w:sz w:val="1"/>
                <w:szCs w:val="1"/>
                <w:color w:val="auto"/>
              </w:rPr>
            </w:pPr>
          </w:p>
        </w:tc>
      </w:tr>
      <w:tr>
        <w:trPr>
          <w:trHeight w:val="255"/>
        </w:trPr>
        <w:tc>
          <w:tcPr>
            <w:tcW w:w="3360" w:type="dxa"/>
            <w:vAlign w:val="bottom"/>
          </w:tcPr>
          <w:p>
            <w:pPr>
              <w:spacing w:after="0"/>
              <w:rPr>
                <w:sz w:val="20"/>
                <w:szCs w:val="20"/>
                <w:color w:val="auto"/>
              </w:rPr>
            </w:pPr>
            <w:r>
              <w:rPr>
                <w:rFonts w:ascii="Arial" w:cs="Arial" w:eastAsia="Arial" w:hAnsi="Arial"/>
                <w:sz w:val="18"/>
                <w:szCs w:val="18"/>
                <w:color w:val="131E29"/>
              </w:rPr>
              <w:t>_________________</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80" w:hanging="172"/>
        <w:spacing w:after="0" w:line="231" w:lineRule="auto"/>
        <w:tabs>
          <w:tab w:leader="none" w:pos="174" w:val="left"/>
        </w:tabs>
        <w:numPr>
          <w:ilvl w:val="0"/>
          <w:numId w:val="21"/>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Shops Segment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Shops Revenue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D7282F"/>
            </w:tcBorders>
          </w:tcPr>
          <w:p>
            <w:pPr>
              <w:spacing w:after="0"/>
              <w:rPr>
                <w:sz w:val="19"/>
                <w:szCs w:val="19"/>
                <w:color w:val="auto"/>
              </w:rPr>
            </w:pPr>
          </w:p>
        </w:tc>
        <w:tc>
          <w:tcPr>
            <w:tcW w:w="2460" w:type="dxa"/>
            <w:vAlign w:val="bottom"/>
            <w:tcBorders>
              <w:bottom w:val="single" w:sz="8" w:color="D7282F"/>
            </w:tcBorders>
            <w:gridSpan w:val="5"/>
          </w:tcPr>
          <w:p>
            <w:pPr>
              <w:jc w:val="right"/>
              <w:ind w:right="39"/>
              <w:spacing w:after="0"/>
              <w:rPr>
                <w:sz w:val="20"/>
                <w:szCs w:val="20"/>
                <w:color w:val="auto"/>
              </w:rPr>
            </w:pPr>
            <w:r>
              <w:rPr>
                <w:rFonts w:ascii="Arial" w:cs="Arial" w:eastAsia="Arial" w:hAnsi="Arial"/>
                <w:sz w:val="16"/>
                <w:szCs w:val="16"/>
                <w:b w:val="1"/>
                <w:bCs w:val="1"/>
                <w:color w:val="131E29"/>
              </w:rPr>
              <w:t>Three Months Ended June 30,</w:t>
            </w:r>
          </w:p>
        </w:tc>
        <w:tc>
          <w:tcPr>
            <w:tcW w:w="780" w:type="dxa"/>
            <w:vAlign w:val="bottom"/>
            <w:tcBorders>
              <w:bottom w:val="single" w:sz="8" w:color="D7282F"/>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D7282F"/>
            </w:tcBorders>
          </w:tcPr>
          <w:p>
            <w:pPr>
              <w:spacing w:after="0"/>
              <w:rPr>
                <w:sz w:val="19"/>
                <w:szCs w:val="19"/>
                <w:color w:val="auto"/>
              </w:rPr>
            </w:pPr>
          </w:p>
        </w:tc>
        <w:tc>
          <w:tcPr>
            <w:tcW w:w="2360" w:type="dxa"/>
            <w:vAlign w:val="bottom"/>
            <w:tcBorders>
              <w:bottom w:val="single" w:sz="8" w:color="D7282F"/>
            </w:tcBorders>
            <w:gridSpan w:val="5"/>
          </w:tcPr>
          <w:p>
            <w:pPr>
              <w:jc w:val="right"/>
              <w:ind w:right="99"/>
              <w:spacing w:after="0"/>
              <w:rPr>
                <w:sz w:val="20"/>
                <w:szCs w:val="20"/>
                <w:color w:val="auto"/>
              </w:rPr>
            </w:pPr>
            <w:r>
              <w:rPr>
                <w:rFonts w:ascii="Arial" w:cs="Arial" w:eastAsia="Arial" w:hAnsi="Arial"/>
                <w:sz w:val="16"/>
                <w:szCs w:val="16"/>
                <w:b w:val="1"/>
                <w:bCs w:val="1"/>
                <w:color w:val="131E29"/>
              </w:rPr>
              <w:t>Six Months Ended June 30,</w:t>
            </w:r>
          </w:p>
        </w:tc>
        <w:tc>
          <w:tcPr>
            <w:tcW w:w="820" w:type="dxa"/>
            <w:vAlign w:val="bottom"/>
            <w:tcBorders>
              <w:bottom w:val="single" w:sz="8" w:color="D7282F"/>
            </w:tcBorders>
          </w:tcPr>
          <w:p>
            <w:pPr>
              <w:spacing w:after="0"/>
              <w:rPr>
                <w:sz w:val="19"/>
                <w:szCs w:val="19"/>
                <w:color w:val="auto"/>
              </w:rPr>
            </w:pPr>
          </w:p>
        </w:tc>
      </w:tr>
      <w:tr>
        <w:trPr>
          <w:trHeight w:val="236"/>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60" w:type="dxa"/>
            <w:vAlign w:val="bottom"/>
            <w:tcBorders>
              <w:bottom w:val="single" w:sz="8" w:color="D7282F"/>
            </w:tcBorders>
          </w:tcPr>
          <w:p>
            <w:pPr>
              <w:jc w:val="right"/>
              <w:ind w:right="99"/>
              <w:spacing w:after="0"/>
              <w:rPr>
                <w:sz w:val="20"/>
                <w:szCs w:val="20"/>
                <w:color w:val="auto"/>
              </w:rPr>
            </w:pPr>
            <w:r>
              <w:rPr>
                <w:rFonts w:ascii="Arial" w:cs="Arial" w:eastAsia="Arial" w:hAnsi="Arial"/>
                <w:sz w:val="16"/>
                <w:szCs w:val="16"/>
                <w:b w:val="1"/>
                <w:bCs w:val="1"/>
                <w:color w:val="131E29"/>
              </w:rPr>
              <w:t>2025</w:t>
            </w:r>
          </w:p>
        </w:tc>
        <w:tc>
          <w:tcPr>
            <w:tcW w:w="12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right"/>
              <w:ind w:right="239"/>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20" w:type="dxa"/>
            <w:vAlign w:val="bottom"/>
            <w:tcBorders>
              <w:bottom w:val="single" w:sz="8" w:color="D7282F"/>
            </w:tcBorders>
            <w:gridSpan w:val="2"/>
          </w:tcPr>
          <w:p>
            <w:pPr>
              <w:jc w:val="right"/>
              <w:ind w:right="419"/>
              <w:spacing w:after="0"/>
              <w:rPr>
                <w:sz w:val="20"/>
                <w:szCs w:val="20"/>
                <w:color w:val="auto"/>
              </w:rPr>
            </w:pPr>
            <w:r>
              <w:rPr>
                <w:rFonts w:ascii="Arial" w:cs="Arial" w:eastAsia="Arial" w:hAnsi="Arial"/>
                <w:sz w:val="16"/>
                <w:szCs w:val="16"/>
                <w:b w:val="1"/>
                <w:bCs w:val="1"/>
                <w:color w:val="131E29"/>
              </w:rPr>
              <w:t>2025 v. 2024</w:t>
            </w:r>
          </w:p>
        </w:tc>
        <w:tc>
          <w:tcPr>
            <w:tcW w:w="80" w:type="dxa"/>
            <w:vAlign w:val="bottom"/>
            <w:tcBorders>
              <w:bottom w:val="single" w:sz="8" w:color="D2DCE5"/>
            </w:tcBorders>
          </w:tcPr>
          <w:p>
            <w:pPr>
              <w:spacing w:after="0"/>
              <w:rPr>
                <w:sz w:val="20"/>
                <w:szCs w:val="20"/>
                <w:color w:val="auto"/>
              </w:rPr>
            </w:pPr>
          </w:p>
        </w:tc>
        <w:tc>
          <w:tcPr>
            <w:tcW w:w="920" w:type="dxa"/>
            <w:vAlign w:val="bottom"/>
            <w:tcBorders>
              <w:bottom w:val="single" w:sz="8" w:color="D7282F"/>
            </w:tcBorders>
          </w:tcPr>
          <w:p>
            <w:pPr>
              <w:jc w:val="right"/>
              <w:ind w:right="159"/>
              <w:spacing w:after="0"/>
              <w:rPr>
                <w:sz w:val="20"/>
                <w:szCs w:val="20"/>
                <w:color w:val="auto"/>
              </w:rPr>
            </w:pPr>
            <w:r>
              <w:rPr>
                <w:rFonts w:ascii="Arial" w:cs="Arial" w:eastAsia="Arial" w:hAnsi="Arial"/>
                <w:sz w:val="16"/>
                <w:szCs w:val="16"/>
                <w:b w:val="1"/>
                <w:bCs w:val="1"/>
                <w:color w:val="131E29"/>
              </w:rPr>
              <w:t>2025</w:t>
            </w:r>
          </w:p>
        </w:tc>
        <w:tc>
          <w:tcPr>
            <w:tcW w:w="8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20" w:type="dxa"/>
            <w:vAlign w:val="bottom"/>
            <w:tcBorders>
              <w:bottom w:val="single" w:sz="8" w:color="D7282F"/>
            </w:tcBorders>
          </w:tcPr>
          <w:p>
            <w:pPr>
              <w:jc w:val="right"/>
              <w:ind w:right="259"/>
              <w:spacing w:after="0"/>
              <w:rPr>
                <w:sz w:val="20"/>
                <w:szCs w:val="20"/>
                <w:color w:val="auto"/>
              </w:rPr>
            </w:pPr>
            <w:r>
              <w:rPr>
                <w:rFonts w:ascii="Arial" w:cs="Arial" w:eastAsia="Arial" w:hAnsi="Arial"/>
                <w:sz w:val="16"/>
                <w:szCs w:val="16"/>
                <w:b w:val="1"/>
                <w:bCs w:val="1"/>
                <w:color w:val="131E29"/>
              </w:rPr>
              <w:t>2024</w:t>
            </w:r>
          </w:p>
        </w:tc>
        <w:tc>
          <w:tcPr>
            <w:tcW w:w="8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jc w:val="right"/>
              <w:ind w:right="399"/>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shops revenue</w:t>
            </w: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$380,500</w:t>
            </w:r>
          </w:p>
        </w:tc>
        <w:tc>
          <w:tcPr>
            <w:tcW w:w="1220" w:type="dxa"/>
            <w:vAlign w:val="bottom"/>
            <w:gridSpan w:val="3"/>
            <w:shd w:val="clear" w:color="auto" w:fill="D2DCE5"/>
          </w:tcPr>
          <w:p>
            <w:pPr>
              <w:jc w:val="right"/>
              <w:ind w:right="79"/>
              <w:spacing w:after="0"/>
              <w:rPr>
                <w:sz w:val="20"/>
                <w:szCs w:val="20"/>
                <w:color w:val="auto"/>
              </w:rPr>
            </w:pPr>
            <w:r>
              <w:rPr>
                <w:rFonts w:ascii="Arial" w:cs="Arial" w:eastAsia="Arial" w:hAnsi="Arial"/>
                <w:sz w:val="16"/>
                <w:szCs w:val="16"/>
                <w:color w:val="131E29"/>
              </w:rPr>
              <w:t>$295,268</w:t>
            </w:r>
          </w:p>
        </w:tc>
        <w:tc>
          <w:tcPr>
            <w:tcW w:w="100" w:type="dxa"/>
            <w:vAlign w:val="bottom"/>
            <w:shd w:val="clear" w:color="auto" w:fill="D2DCE5"/>
          </w:tcPr>
          <w:p>
            <w:pPr>
              <w:spacing w:after="0"/>
              <w:rPr>
                <w:sz w:val="20"/>
                <w:szCs w:val="20"/>
                <w:color w:val="auto"/>
              </w:rPr>
            </w:pPr>
          </w:p>
        </w:tc>
        <w:tc>
          <w:tcPr>
            <w:tcW w:w="1140" w:type="dxa"/>
            <w:vAlign w:val="bottom"/>
            <w:shd w:val="clear" w:color="auto" w:fill="D2DCE5"/>
          </w:tcPr>
          <w:p>
            <w:pPr>
              <w:jc w:val="right"/>
              <w:ind w:right="299"/>
              <w:spacing w:after="0"/>
              <w:rPr>
                <w:sz w:val="20"/>
                <w:szCs w:val="20"/>
                <w:color w:val="auto"/>
              </w:rPr>
            </w:pPr>
            <w:r>
              <w:rPr>
                <w:rFonts w:ascii="Arial" w:cs="Arial" w:eastAsia="Arial" w:hAnsi="Arial"/>
                <w:sz w:val="16"/>
                <w:szCs w:val="16"/>
                <w:color w:val="131E29"/>
              </w:rPr>
              <w:t>$85,232</w:t>
            </w:r>
          </w:p>
        </w:tc>
        <w:tc>
          <w:tcPr>
            <w:tcW w:w="780" w:type="dxa"/>
            <w:vAlign w:val="bottom"/>
            <w:shd w:val="clear" w:color="auto" w:fill="D2DCE5"/>
          </w:tcPr>
          <w:p>
            <w:pPr>
              <w:jc w:val="right"/>
              <w:ind w:right="139"/>
              <w:spacing w:after="0"/>
              <w:rPr>
                <w:sz w:val="20"/>
                <w:szCs w:val="20"/>
                <w:color w:val="auto"/>
              </w:rPr>
            </w:pPr>
            <w:r>
              <w:rPr>
                <w:rFonts w:ascii="Arial" w:cs="Arial" w:eastAsia="Arial" w:hAnsi="Arial"/>
                <w:sz w:val="16"/>
                <w:szCs w:val="16"/>
                <w:color w:val="131E29"/>
              </w:rPr>
              <w:t>28.9%</w:t>
            </w:r>
          </w:p>
        </w:tc>
        <w:tc>
          <w:tcPr>
            <w:tcW w:w="80" w:type="dxa"/>
            <w:vAlign w:val="bottom"/>
            <w:shd w:val="clear" w:color="auto" w:fill="D2DCE5"/>
          </w:tcPr>
          <w:p>
            <w:pPr>
              <w:spacing w:after="0"/>
              <w:rPr>
                <w:sz w:val="20"/>
                <w:szCs w:val="20"/>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$706,921</w:t>
            </w:r>
          </w:p>
        </w:tc>
        <w:tc>
          <w:tcPr>
            <w:tcW w:w="1200" w:type="dxa"/>
            <w:vAlign w:val="bottom"/>
            <w:gridSpan w:val="3"/>
            <w:shd w:val="clear" w:color="auto" w:fill="D2DCE5"/>
          </w:tcPr>
          <w:p>
            <w:pPr>
              <w:jc w:val="right"/>
              <w:ind w:right="99"/>
              <w:spacing w:after="0"/>
              <w:rPr>
                <w:sz w:val="20"/>
                <w:szCs w:val="20"/>
                <w:color w:val="auto"/>
              </w:rPr>
            </w:pPr>
            <w:r>
              <w:rPr>
                <w:rFonts w:ascii="Arial" w:cs="Arial" w:eastAsia="Arial" w:hAnsi="Arial"/>
                <w:sz w:val="16"/>
                <w:szCs w:val="16"/>
                <w:color w:val="131E29"/>
              </w:rPr>
              <w:t>$543,353</w:t>
            </w:r>
          </w:p>
        </w:tc>
        <w:tc>
          <w:tcPr>
            <w:tcW w:w="80" w:type="dxa"/>
            <w:vAlign w:val="bottom"/>
            <w:shd w:val="clear" w:color="auto" w:fill="D2DCE5"/>
          </w:tcPr>
          <w:p>
            <w:pPr>
              <w:spacing w:after="0"/>
              <w:rPr>
                <w:sz w:val="20"/>
                <w:szCs w:val="20"/>
                <w:color w:val="auto"/>
              </w:rPr>
            </w:pPr>
          </w:p>
        </w:tc>
        <w:tc>
          <w:tcPr>
            <w:tcW w:w="108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rPr>
              <w:t>$163,568</w:t>
            </w:r>
          </w:p>
        </w:tc>
        <w:tc>
          <w:tcPr>
            <w:tcW w:w="82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rPr>
              <w:t>30.1%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company-operated shops revenue increase was driven by $63.9 million from newly opened shops not yet in the comparable shop base and $21.3 million from a 7.8% increase in same shop sales within the comparable shop base.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company-operated shops revenue increase was driven by $128.1 million from newly opened shops not yet in the comparable shop base and $35.5 million from a 7.2% increase in same shop sales within the comparable shop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829310</wp:posOffset>
            </wp:positionV>
            <wp:extent cx="5349240" cy="1397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Beverage, Food, and Packaging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D7282F"/>
            </w:tcBorders>
          </w:tcPr>
          <w:p>
            <w:pPr>
              <w:spacing w:after="0"/>
              <w:rPr>
                <w:sz w:val="19"/>
                <w:szCs w:val="19"/>
                <w:color w:val="auto"/>
              </w:rPr>
            </w:pPr>
          </w:p>
        </w:tc>
        <w:tc>
          <w:tcPr>
            <w:tcW w:w="2420" w:type="dxa"/>
            <w:vAlign w:val="bottom"/>
            <w:tcBorders>
              <w:bottom w:val="single" w:sz="8" w:color="D7282F"/>
            </w:tcBorders>
            <w:gridSpan w:val="5"/>
          </w:tcPr>
          <w:p>
            <w:pPr>
              <w:ind w:left="40"/>
              <w:spacing w:after="0"/>
              <w:rPr>
                <w:sz w:val="20"/>
                <w:szCs w:val="20"/>
                <w:color w:val="auto"/>
              </w:rPr>
            </w:pPr>
            <w:r>
              <w:rPr>
                <w:rFonts w:ascii="Arial" w:cs="Arial" w:eastAsia="Arial" w:hAnsi="Arial"/>
                <w:sz w:val="16"/>
                <w:szCs w:val="16"/>
                <w:b w:val="1"/>
                <w:bCs w:val="1"/>
                <w:color w:val="131E29"/>
              </w:rPr>
              <w:t>Three Months Ended June 30,</w:t>
            </w:r>
          </w:p>
        </w:tc>
        <w:tc>
          <w:tcPr>
            <w:tcW w:w="800" w:type="dxa"/>
            <w:vAlign w:val="bottom"/>
            <w:tcBorders>
              <w:bottom w:val="single" w:sz="8" w:color="D7282F"/>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D7282F"/>
            </w:tcBorders>
          </w:tcPr>
          <w:p>
            <w:pPr>
              <w:spacing w:after="0"/>
              <w:rPr>
                <w:sz w:val="19"/>
                <w:szCs w:val="19"/>
                <w:color w:val="auto"/>
              </w:rPr>
            </w:pPr>
          </w:p>
        </w:tc>
        <w:tc>
          <w:tcPr>
            <w:tcW w:w="2340" w:type="dxa"/>
            <w:vAlign w:val="bottom"/>
            <w:tcBorders>
              <w:bottom w:val="single" w:sz="8" w:color="D7282F"/>
            </w:tcBorders>
            <w:gridSpan w:val="5"/>
          </w:tcPr>
          <w:p>
            <w:pPr>
              <w:ind w:left="100"/>
              <w:spacing w:after="0"/>
              <w:rPr>
                <w:sz w:val="20"/>
                <w:szCs w:val="20"/>
                <w:color w:val="auto"/>
              </w:rPr>
            </w:pPr>
            <w:r>
              <w:rPr>
                <w:rFonts w:ascii="Arial" w:cs="Arial" w:eastAsia="Arial" w:hAnsi="Arial"/>
                <w:sz w:val="16"/>
                <w:szCs w:val="16"/>
                <w:b w:val="1"/>
                <w:bCs w:val="1"/>
                <w:color w:val="131E29"/>
              </w:rPr>
              <w:t>Six Months Ended June 30,</w:t>
            </w:r>
          </w:p>
        </w:tc>
        <w:tc>
          <w:tcPr>
            <w:tcW w:w="860" w:type="dxa"/>
            <w:vAlign w:val="bottom"/>
            <w:tcBorders>
              <w:bottom w:val="single" w:sz="8" w:color="D7282F"/>
            </w:tcBorders>
          </w:tcPr>
          <w:p>
            <w:pPr>
              <w:spacing w:after="0"/>
              <w:rPr>
                <w:sz w:val="19"/>
                <w:szCs w:val="19"/>
                <w:color w:val="auto"/>
              </w:rPr>
            </w:pPr>
          </w:p>
        </w:tc>
      </w:tr>
      <w:tr>
        <w:trPr>
          <w:trHeight w:val="237"/>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40" w:type="dxa"/>
            <w:vAlign w:val="bottom"/>
            <w:tcBorders>
              <w:bottom w:val="single" w:sz="8" w:color="D7282F"/>
            </w:tcBorders>
          </w:tcPr>
          <w:p>
            <w:pPr>
              <w:jc w:val="center"/>
              <w:ind w:left="79"/>
              <w:spacing w:after="0"/>
              <w:rPr>
                <w:sz w:val="20"/>
                <w:szCs w:val="20"/>
                <w:color w:val="auto"/>
              </w:rPr>
            </w:pPr>
            <w:r>
              <w:rPr>
                <w:rFonts w:ascii="Arial" w:cs="Arial" w:eastAsia="Arial" w:hAnsi="Arial"/>
                <w:sz w:val="16"/>
                <w:szCs w:val="16"/>
                <w:b w:val="1"/>
                <w:bCs w:val="1"/>
                <w:color w:val="131E29"/>
              </w:rPr>
              <w:t>2025</w:t>
            </w:r>
          </w:p>
        </w:tc>
        <w:tc>
          <w:tcPr>
            <w:tcW w:w="16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860" w:type="dxa"/>
            <w:vAlign w:val="bottom"/>
            <w:tcBorders>
              <w:bottom w:val="single" w:sz="8" w:color="D7282F"/>
            </w:tcBorders>
            <w:gridSpan w:val="2"/>
          </w:tcPr>
          <w:p>
            <w:pPr>
              <w:ind w:left="460"/>
              <w:spacing w:after="0"/>
              <w:rPr>
                <w:sz w:val="20"/>
                <w:szCs w:val="20"/>
                <w:color w:val="auto"/>
              </w:rPr>
            </w:pPr>
            <w:r>
              <w:rPr>
                <w:rFonts w:ascii="Arial" w:cs="Arial" w:eastAsia="Arial" w:hAnsi="Arial"/>
                <w:sz w:val="16"/>
                <w:szCs w:val="16"/>
                <w:b w:val="1"/>
                <w:bCs w:val="1"/>
                <w:color w:val="131E29"/>
              </w:rPr>
              <w:t>2025 v. 2024</w:t>
            </w:r>
          </w:p>
        </w:tc>
        <w:tc>
          <w:tcPr>
            <w:tcW w:w="100" w:type="dxa"/>
            <w:vAlign w:val="bottom"/>
            <w:tcBorders>
              <w:bottom w:val="single" w:sz="8" w:color="D2DCE5"/>
            </w:tcBorders>
          </w:tcPr>
          <w:p>
            <w:pPr>
              <w:spacing w:after="0"/>
              <w:rPr>
                <w:sz w:val="20"/>
                <w:szCs w:val="20"/>
                <w:color w:val="auto"/>
              </w:rPr>
            </w:pPr>
          </w:p>
        </w:tc>
        <w:tc>
          <w:tcPr>
            <w:tcW w:w="92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7282F"/>
            </w:tcBorders>
          </w:tcPr>
          <w:p>
            <w:pPr>
              <w:spacing w:after="0"/>
              <w:rPr>
                <w:sz w:val="20"/>
                <w:szCs w:val="20"/>
                <w:color w:val="auto"/>
              </w:rPr>
            </w:pPr>
          </w:p>
        </w:tc>
        <w:tc>
          <w:tcPr>
            <w:tcW w:w="80" w:type="dxa"/>
            <w:vAlign w:val="bottom"/>
            <w:tcBorders>
              <w:bottom w:val="single" w:sz="8" w:color="D2DCE5"/>
            </w:tcBorders>
          </w:tcPr>
          <w:p>
            <w:pPr>
              <w:spacing w:after="0"/>
              <w:rPr>
                <w:sz w:val="20"/>
                <w:szCs w:val="20"/>
                <w:color w:val="auto"/>
              </w:rPr>
            </w:pPr>
          </w:p>
        </w:tc>
        <w:tc>
          <w:tcPr>
            <w:tcW w:w="102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 packaging costs</w:t>
            </w:r>
          </w:p>
        </w:tc>
        <w:tc>
          <w:tcPr>
            <w:tcW w:w="840" w:type="dxa"/>
            <w:vAlign w:val="bottom"/>
            <w:shd w:val="clear" w:color="auto" w:fill="D2DCE5"/>
          </w:tcPr>
          <w:p>
            <w:pPr>
              <w:jc w:val="center"/>
              <w:ind w:left="99"/>
              <w:spacing w:after="0"/>
              <w:rPr>
                <w:sz w:val="20"/>
                <w:szCs w:val="20"/>
                <w:color w:val="auto"/>
              </w:rPr>
            </w:pPr>
            <w:r>
              <w:rPr>
                <w:rFonts w:ascii="Arial" w:cs="Arial" w:eastAsia="Arial" w:hAnsi="Arial"/>
                <w:sz w:val="16"/>
                <w:szCs w:val="16"/>
                <w:color w:val="006098"/>
              </w:rPr>
              <w:t>$96,468</w:t>
            </w:r>
          </w:p>
        </w:tc>
        <w:tc>
          <w:tcPr>
            <w:tcW w:w="1260" w:type="dxa"/>
            <w:vAlign w:val="bottom"/>
            <w:gridSpan w:val="3"/>
            <w:shd w:val="clear" w:color="auto" w:fill="D2DCE5"/>
          </w:tcPr>
          <w:p>
            <w:pPr>
              <w:jc w:val="center"/>
              <w:ind w:left="179"/>
              <w:spacing w:after="0"/>
              <w:rPr>
                <w:sz w:val="20"/>
                <w:szCs w:val="20"/>
                <w:color w:val="auto"/>
              </w:rPr>
            </w:pPr>
            <w:r>
              <w:rPr>
                <w:rFonts w:ascii="Arial" w:cs="Arial" w:eastAsia="Arial" w:hAnsi="Arial"/>
                <w:sz w:val="16"/>
                <w:szCs w:val="16"/>
                <w:color w:val="131E29"/>
              </w:rPr>
              <w:t>$75,147</w:t>
            </w:r>
          </w:p>
        </w:tc>
        <w:tc>
          <w:tcPr>
            <w:tcW w:w="100" w:type="dxa"/>
            <w:vAlign w:val="bottom"/>
            <w:shd w:val="clear" w:color="auto" w:fill="D2DCE5"/>
          </w:tcPr>
          <w:p>
            <w:pPr>
              <w:spacing w:after="0"/>
              <w:rPr>
                <w:sz w:val="20"/>
                <w:szCs w:val="20"/>
                <w:color w:val="auto"/>
              </w:rPr>
            </w:pPr>
          </w:p>
        </w:tc>
        <w:tc>
          <w:tcPr>
            <w:tcW w:w="106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$21,321</w:t>
            </w:r>
          </w:p>
        </w:tc>
        <w:tc>
          <w:tcPr>
            <w:tcW w:w="80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rPr>
              <w:t>28.4%</w:t>
            </w:r>
          </w:p>
        </w:tc>
        <w:tc>
          <w:tcPr>
            <w:tcW w:w="100" w:type="dxa"/>
            <w:vAlign w:val="bottom"/>
            <w:shd w:val="clear" w:color="auto" w:fill="D2DCE5"/>
          </w:tcPr>
          <w:p>
            <w:pPr>
              <w:spacing w:after="0"/>
              <w:rPr>
                <w:sz w:val="20"/>
                <w:szCs w:val="20"/>
                <w:color w:val="auto"/>
              </w:rPr>
            </w:pPr>
          </w:p>
        </w:tc>
        <w:tc>
          <w:tcPr>
            <w:tcW w:w="920" w:type="dxa"/>
            <w:vAlign w:val="bottom"/>
            <w:shd w:val="clear" w:color="auto" w:fill="D2DCE5"/>
          </w:tcPr>
          <w:p>
            <w:pPr>
              <w:jc w:val="center"/>
              <w:ind w:left="19"/>
              <w:spacing w:after="0"/>
              <w:rPr>
                <w:sz w:val="20"/>
                <w:szCs w:val="20"/>
                <w:color w:val="auto"/>
              </w:rPr>
            </w:pPr>
            <w:r>
              <w:rPr>
                <w:rFonts w:ascii="Arial" w:cs="Arial" w:eastAsia="Arial" w:hAnsi="Arial"/>
                <w:sz w:val="16"/>
                <w:szCs w:val="16"/>
                <w:color w:val="006098"/>
                <w:w w:val="98"/>
              </w:rPr>
              <w:t>$177,847</w:t>
            </w:r>
          </w:p>
        </w:tc>
        <w:tc>
          <w:tcPr>
            <w:tcW w:w="1200" w:type="dxa"/>
            <w:vAlign w:val="bottom"/>
            <w:gridSpan w:val="3"/>
            <w:shd w:val="clear" w:color="auto" w:fill="D2DCE5"/>
          </w:tcPr>
          <w:p>
            <w:pPr>
              <w:jc w:val="center"/>
              <w:ind w:left="119"/>
              <w:spacing w:after="0"/>
              <w:rPr>
                <w:sz w:val="20"/>
                <w:szCs w:val="20"/>
                <w:color w:val="auto"/>
              </w:rPr>
            </w:pPr>
            <w:r>
              <w:rPr>
                <w:rFonts w:ascii="Arial" w:cs="Arial" w:eastAsia="Arial" w:hAnsi="Arial"/>
                <w:sz w:val="16"/>
                <w:szCs w:val="16"/>
                <w:color w:val="131E29"/>
              </w:rPr>
              <w:t>$138,863</w:t>
            </w:r>
          </w:p>
        </w:tc>
        <w:tc>
          <w:tcPr>
            <w:tcW w:w="100" w:type="dxa"/>
            <w:vAlign w:val="bottom"/>
            <w:shd w:val="clear" w:color="auto" w:fill="D2DCE5"/>
          </w:tcPr>
          <w:p>
            <w:pPr>
              <w:spacing w:after="0"/>
              <w:rPr>
                <w:sz w:val="20"/>
                <w:szCs w:val="20"/>
                <w:color w:val="auto"/>
              </w:rPr>
            </w:pPr>
          </w:p>
        </w:tc>
        <w:tc>
          <w:tcPr>
            <w:tcW w:w="104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131E29"/>
              </w:rPr>
              <w:t>$38,984</w:t>
            </w:r>
          </w:p>
        </w:tc>
        <w:tc>
          <w:tcPr>
            <w:tcW w:w="860" w:type="dxa"/>
            <w:vAlign w:val="bottom"/>
            <w:shd w:val="clear" w:color="auto" w:fill="D2DCE5"/>
          </w:tcPr>
          <w:p>
            <w:pPr>
              <w:jc w:val="right"/>
              <w:ind w:right="119"/>
              <w:spacing w:after="0"/>
              <w:rPr>
                <w:sz w:val="20"/>
                <w:szCs w:val="20"/>
                <w:color w:val="auto"/>
              </w:rPr>
            </w:pPr>
            <w:r>
              <w:rPr>
                <w:rFonts w:ascii="Arial" w:cs="Arial" w:eastAsia="Arial" w:hAnsi="Arial"/>
                <w:sz w:val="16"/>
                <w:szCs w:val="16"/>
                <w:color w:val="131E29"/>
              </w:rPr>
              <w:t>28.1%</w:t>
            </w:r>
          </w:p>
        </w:tc>
      </w:tr>
      <w:tr>
        <w:trPr>
          <w:trHeight w:val="204"/>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shops revenues</w:t>
            </w:r>
          </w:p>
        </w:tc>
        <w:tc>
          <w:tcPr>
            <w:tcW w:w="840" w:type="dxa"/>
            <w:vAlign w:val="bottom"/>
          </w:tcPr>
          <w:p>
            <w:pPr>
              <w:jc w:val="center"/>
              <w:ind w:left="99"/>
              <w:spacing w:after="0"/>
              <w:rPr>
                <w:sz w:val="20"/>
                <w:szCs w:val="20"/>
                <w:color w:val="auto"/>
              </w:rPr>
            </w:pPr>
            <w:r>
              <w:rPr>
                <w:rFonts w:ascii="Arial" w:cs="Arial" w:eastAsia="Arial" w:hAnsi="Arial"/>
                <w:sz w:val="16"/>
                <w:szCs w:val="16"/>
                <w:color w:val="006098"/>
              </w:rPr>
              <w:t>25.3%</w:t>
            </w:r>
          </w:p>
        </w:tc>
        <w:tc>
          <w:tcPr>
            <w:tcW w:w="1260" w:type="dxa"/>
            <w:vAlign w:val="bottom"/>
            <w:gridSpan w:val="3"/>
          </w:tcPr>
          <w:p>
            <w:pPr>
              <w:jc w:val="center"/>
              <w:ind w:left="159"/>
              <w:spacing w:after="0"/>
              <w:rPr>
                <w:sz w:val="20"/>
                <w:szCs w:val="20"/>
                <w:color w:val="auto"/>
              </w:rPr>
            </w:pPr>
            <w:r>
              <w:rPr>
                <w:rFonts w:ascii="Arial" w:cs="Arial" w:eastAsia="Arial" w:hAnsi="Arial"/>
                <w:sz w:val="16"/>
                <w:szCs w:val="16"/>
                <w:color w:val="131E29"/>
              </w:rPr>
              <w:t>25.5%</w:t>
            </w:r>
          </w:p>
        </w:tc>
        <w:tc>
          <w:tcPr>
            <w:tcW w:w="100" w:type="dxa"/>
            <w:vAlign w:val="bottom"/>
          </w:tcPr>
          <w:p>
            <w:pPr>
              <w:spacing w:after="0"/>
              <w:rPr>
                <w:sz w:val="19"/>
                <w:szCs w:val="19"/>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color w:val="131E29"/>
              </w:rPr>
              <w:t>N/A</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131E29"/>
                <w:w w:val="98"/>
              </w:rPr>
              <w:t>(20) bps</w:t>
            </w:r>
          </w:p>
        </w:tc>
        <w:tc>
          <w:tcPr>
            <w:tcW w:w="920" w:type="dxa"/>
            <w:vAlign w:val="bottom"/>
          </w:tcPr>
          <w:p>
            <w:pPr>
              <w:jc w:val="center"/>
              <w:ind w:left="19"/>
              <w:spacing w:after="0"/>
              <w:rPr>
                <w:sz w:val="20"/>
                <w:szCs w:val="20"/>
                <w:color w:val="auto"/>
              </w:rPr>
            </w:pPr>
            <w:r>
              <w:rPr>
                <w:rFonts w:ascii="Arial" w:cs="Arial" w:eastAsia="Arial" w:hAnsi="Arial"/>
                <w:sz w:val="16"/>
                <w:szCs w:val="16"/>
                <w:color w:val="006098"/>
              </w:rPr>
              <w:t>25.2%</w:t>
            </w:r>
          </w:p>
        </w:tc>
        <w:tc>
          <w:tcPr>
            <w:tcW w:w="1200" w:type="dxa"/>
            <w:vAlign w:val="bottom"/>
            <w:gridSpan w:val="3"/>
          </w:tcPr>
          <w:p>
            <w:pPr>
              <w:jc w:val="center"/>
              <w:ind w:left="99"/>
              <w:spacing w:after="0"/>
              <w:rPr>
                <w:sz w:val="20"/>
                <w:szCs w:val="20"/>
                <w:color w:val="auto"/>
              </w:rPr>
            </w:pPr>
            <w:r>
              <w:rPr>
                <w:rFonts w:ascii="Arial" w:cs="Arial" w:eastAsia="Arial" w:hAnsi="Arial"/>
                <w:sz w:val="16"/>
                <w:szCs w:val="16"/>
                <w:color w:val="131E29"/>
              </w:rPr>
              <w:t>25.5%</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131E29"/>
              </w:rPr>
              <w:t>N/A</w:t>
            </w:r>
          </w:p>
        </w:tc>
        <w:tc>
          <w:tcPr>
            <w:tcW w:w="860" w:type="dxa"/>
            <w:vAlign w:val="bottom"/>
          </w:tcPr>
          <w:p>
            <w:pPr>
              <w:jc w:val="center"/>
              <w:spacing w:after="0"/>
              <w:rPr>
                <w:sz w:val="20"/>
                <w:szCs w:val="20"/>
                <w:color w:val="auto"/>
              </w:rPr>
            </w:pPr>
            <w:r>
              <w:rPr>
                <w:rFonts w:ascii="Arial" w:cs="Arial" w:eastAsia="Arial" w:hAnsi="Arial"/>
                <w:sz w:val="16"/>
                <w:szCs w:val="16"/>
                <w:color w:val="131E29"/>
              </w:rPr>
              <w:t>(30) bps</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2025 v.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a percentage of company-operated shops revenues, beverage, food and packaging costs decreased by 20 basis points. This was primarily due to a 60 basis point decrease for the impact of pricing on the comparable shop base, offset by an increase in ingredient costs. The increase in ingredient costs was driven by higher coffee costs and partially offset by favorable dairy pricing.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2025 v.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a percentage of company-operated shops revenues, beverage, food and packaging costs decreased by 30 basis points. This was primarily due to a 70 basis point decrease for the impact of pricing on the comparable shop base, partially offset by a 50 basis point increase in ingredient costs</w:t>
      </w:r>
      <w:r>
        <w:rPr>
          <w:rFonts w:ascii="Arial" w:cs="Arial" w:eastAsia="Arial" w:hAnsi="Arial"/>
          <w:sz w:val="14"/>
          <w:szCs w:val="14"/>
          <w:color w:val="131E29"/>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Labor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D7282F"/>
            </w:tcBorders>
          </w:tcPr>
          <w:p>
            <w:pPr>
              <w:spacing w:after="0"/>
              <w:rPr>
                <w:sz w:val="19"/>
                <w:szCs w:val="19"/>
                <w:color w:val="auto"/>
              </w:rPr>
            </w:pPr>
          </w:p>
        </w:tc>
        <w:tc>
          <w:tcPr>
            <w:tcW w:w="2420" w:type="dxa"/>
            <w:vAlign w:val="bottom"/>
            <w:tcBorders>
              <w:bottom w:val="single" w:sz="8" w:color="D7282F"/>
            </w:tcBorders>
            <w:gridSpan w:val="5"/>
          </w:tcPr>
          <w:p>
            <w:pPr>
              <w:ind w:left="40"/>
              <w:spacing w:after="0"/>
              <w:rPr>
                <w:sz w:val="20"/>
                <w:szCs w:val="20"/>
                <w:color w:val="auto"/>
              </w:rPr>
            </w:pPr>
            <w:r>
              <w:rPr>
                <w:rFonts w:ascii="Arial" w:cs="Arial" w:eastAsia="Arial" w:hAnsi="Arial"/>
                <w:sz w:val="16"/>
                <w:szCs w:val="16"/>
                <w:b w:val="1"/>
                <w:bCs w:val="1"/>
                <w:color w:val="131E29"/>
              </w:rPr>
              <w:t>Three Months Ended June 30,</w:t>
            </w:r>
          </w:p>
        </w:tc>
        <w:tc>
          <w:tcPr>
            <w:tcW w:w="800" w:type="dxa"/>
            <w:vAlign w:val="bottom"/>
            <w:tcBorders>
              <w:bottom w:val="single" w:sz="8" w:color="D7282F"/>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D7282F"/>
            </w:tcBorders>
          </w:tcPr>
          <w:p>
            <w:pPr>
              <w:spacing w:after="0"/>
              <w:rPr>
                <w:sz w:val="19"/>
                <w:szCs w:val="19"/>
                <w:color w:val="auto"/>
              </w:rPr>
            </w:pPr>
          </w:p>
        </w:tc>
        <w:tc>
          <w:tcPr>
            <w:tcW w:w="2260" w:type="dxa"/>
            <w:vAlign w:val="bottom"/>
            <w:tcBorders>
              <w:bottom w:val="single" w:sz="8" w:color="D7282F"/>
            </w:tcBorders>
            <w:gridSpan w:val="4"/>
          </w:tcPr>
          <w:p>
            <w:pPr>
              <w:spacing w:after="0"/>
              <w:rPr>
                <w:sz w:val="20"/>
                <w:szCs w:val="20"/>
                <w:color w:val="auto"/>
              </w:rPr>
            </w:pPr>
            <w:r>
              <w:rPr>
                <w:rFonts w:ascii="Arial" w:cs="Arial" w:eastAsia="Arial" w:hAnsi="Arial"/>
                <w:sz w:val="16"/>
                <w:szCs w:val="16"/>
                <w:b w:val="1"/>
                <w:bCs w:val="1"/>
                <w:color w:val="131E29"/>
              </w:rPr>
              <w:t>Six Months Ended June 30,</w:t>
            </w:r>
          </w:p>
        </w:tc>
        <w:tc>
          <w:tcPr>
            <w:tcW w:w="840" w:type="dxa"/>
            <w:vAlign w:val="bottom"/>
            <w:tcBorders>
              <w:bottom w:val="single" w:sz="8" w:color="D7282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60" w:type="dxa"/>
            <w:vAlign w:val="bottom"/>
            <w:tcBorders>
              <w:bottom w:val="single" w:sz="8" w:color="D7282F"/>
            </w:tcBorders>
          </w:tcPr>
          <w:p>
            <w:pPr>
              <w:jc w:val="center"/>
              <w:ind w:left="59"/>
              <w:spacing w:after="0"/>
              <w:rPr>
                <w:sz w:val="20"/>
                <w:szCs w:val="20"/>
                <w:color w:val="auto"/>
              </w:rPr>
            </w:pPr>
            <w:r>
              <w:rPr>
                <w:rFonts w:ascii="Arial" w:cs="Arial" w:eastAsia="Arial" w:hAnsi="Arial"/>
                <w:sz w:val="16"/>
                <w:szCs w:val="16"/>
                <w:b w:val="1"/>
                <w:bCs w:val="1"/>
                <w:color w:val="131E29"/>
              </w:rPr>
              <w:t>2025</w:t>
            </w:r>
          </w:p>
        </w:tc>
        <w:tc>
          <w:tcPr>
            <w:tcW w:w="14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880" w:type="dxa"/>
            <w:vAlign w:val="bottom"/>
            <w:tcBorders>
              <w:bottom w:val="single" w:sz="8" w:color="D7282F"/>
            </w:tcBorders>
            <w:gridSpan w:val="2"/>
          </w:tcPr>
          <w:p>
            <w:pPr>
              <w:ind w:left="460"/>
              <w:spacing w:after="0"/>
              <w:rPr>
                <w:sz w:val="20"/>
                <w:szCs w:val="20"/>
                <w:color w:val="auto"/>
              </w:rPr>
            </w:pPr>
            <w:r>
              <w:rPr>
                <w:rFonts w:ascii="Arial" w:cs="Arial" w:eastAsia="Arial" w:hAnsi="Arial"/>
                <w:sz w:val="16"/>
                <w:szCs w:val="16"/>
                <w:b w:val="1"/>
                <w:bCs w:val="1"/>
                <w:color w:val="131E29"/>
              </w:rPr>
              <w:t>2025 v. 2024</w:t>
            </w: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80" w:type="dxa"/>
            <w:vAlign w:val="bottom"/>
            <w:tcBorders>
              <w:bottom w:val="single" w:sz="8" w:color="D2DCE5"/>
            </w:tcBorders>
          </w:tcPr>
          <w:p>
            <w:pPr>
              <w:spacing w:after="0"/>
              <w:rPr>
                <w:sz w:val="20"/>
                <w:szCs w:val="20"/>
                <w:color w:val="auto"/>
              </w:rPr>
            </w:pPr>
          </w:p>
        </w:tc>
        <w:tc>
          <w:tcPr>
            <w:tcW w:w="102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c>
          <w:tcPr>
            <w:tcW w:w="0" w:type="dxa"/>
            <w:vAlign w:val="bottom"/>
          </w:tcPr>
          <w:p>
            <w:pPr>
              <w:spacing w:after="0"/>
              <w:rPr>
                <w:sz w:val="1"/>
                <w:szCs w:val="1"/>
                <w:color w:val="auto"/>
              </w:rPr>
            </w:pPr>
          </w:p>
        </w:tc>
      </w:tr>
      <w:tr>
        <w:trPr>
          <w:trHeight w:val="240"/>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Labor costs</w:t>
            </w:r>
          </w:p>
        </w:tc>
        <w:tc>
          <w:tcPr>
            <w:tcW w:w="860" w:type="dxa"/>
            <w:vAlign w:val="bottom"/>
            <w:shd w:val="clear" w:color="auto" w:fill="D2DCE5"/>
          </w:tcPr>
          <w:p>
            <w:pPr>
              <w:jc w:val="center"/>
              <w:ind w:left="59"/>
              <w:spacing w:after="0"/>
              <w:rPr>
                <w:sz w:val="20"/>
                <w:szCs w:val="20"/>
                <w:color w:val="auto"/>
              </w:rPr>
            </w:pPr>
            <w:r>
              <w:rPr>
                <w:rFonts w:ascii="Arial" w:cs="Arial" w:eastAsia="Arial" w:hAnsi="Arial"/>
                <w:sz w:val="16"/>
                <w:szCs w:val="16"/>
                <w:color w:val="006098"/>
              </w:rPr>
              <w:t>$101,270</w:t>
            </w:r>
          </w:p>
        </w:tc>
        <w:tc>
          <w:tcPr>
            <w:tcW w:w="1240" w:type="dxa"/>
            <w:vAlign w:val="bottom"/>
            <w:gridSpan w:val="3"/>
            <w:shd w:val="clear" w:color="auto" w:fill="D2DCE5"/>
          </w:tcPr>
          <w:p>
            <w:pPr>
              <w:jc w:val="center"/>
              <w:ind w:left="159"/>
              <w:spacing w:after="0"/>
              <w:rPr>
                <w:sz w:val="20"/>
                <w:szCs w:val="20"/>
                <w:color w:val="auto"/>
              </w:rPr>
            </w:pPr>
            <w:r>
              <w:rPr>
                <w:rFonts w:ascii="Arial" w:cs="Arial" w:eastAsia="Arial" w:hAnsi="Arial"/>
                <w:sz w:val="16"/>
                <w:szCs w:val="16"/>
                <w:color w:val="131E29"/>
              </w:rPr>
              <w:t>$80,236</w:t>
            </w:r>
          </w:p>
        </w:tc>
        <w:tc>
          <w:tcPr>
            <w:tcW w:w="100" w:type="dxa"/>
            <w:vAlign w:val="bottom"/>
            <w:shd w:val="clear" w:color="auto" w:fill="D2DCE5"/>
          </w:tcPr>
          <w:p>
            <w:pPr>
              <w:spacing w:after="0"/>
              <w:rPr>
                <w:sz w:val="20"/>
                <w:szCs w:val="20"/>
                <w:color w:val="auto"/>
              </w:rPr>
            </w:pPr>
          </w:p>
        </w:tc>
        <w:tc>
          <w:tcPr>
            <w:tcW w:w="108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rPr>
              <w:t>$21,034</w:t>
            </w:r>
          </w:p>
        </w:tc>
        <w:tc>
          <w:tcPr>
            <w:tcW w:w="800" w:type="dxa"/>
            <w:vAlign w:val="bottom"/>
            <w:shd w:val="clear" w:color="auto" w:fill="D2DCE5"/>
          </w:tcPr>
          <w:p>
            <w:pPr>
              <w:jc w:val="right"/>
              <w:ind w:right="119"/>
              <w:spacing w:after="0"/>
              <w:rPr>
                <w:sz w:val="20"/>
                <w:szCs w:val="20"/>
                <w:color w:val="auto"/>
              </w:rPr>
            </w:pPr>
            <w:r>
              <w:rPr>
                <w:rFonts w:ascii="Arial" w:cs="Arial" w:eastAsia="Arial" w:hAnsi="Arial"/>
                <w:sz w:val="16"/>
                <w:szCs w:val="16"/>
                <w:color w:val="131E29"/>
              </w:rPr>
              <w:t>26.2%</w:t>
            </w:r>
          </w:p>
        </w:tc>
        <w:tc>
          <w:tcPr>
            <w:tcW w:w="100" w:type="dxa"/>
            <w:vAlign w:val="bottom"/>
            <w:shd w:val="clear" w:color="auto" w:fill="D2DCE5"/>
          </w:tcPr>
          <w:p>
            <w:pPr>
              <w:spacing w:after="0"/>
              <w:rPr>
                <w:sz w:val="20"/>
                <w:szCs w:val="20"/>
                <w:color w:val="auto"/>
              </w:rPr>
            </w:pPr>
          </w:p>
        </w:tc>
        <w:tc>
          <w:tcPr>
            <w:tcW w:w="100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$190,709</w:t>
            </w:r>
          </w:p>
        </w:tc>
        <w:tc>
          <w:tcPr>
            <w:tcW w:w="1100" w:type="dxa"/>
            <w:vAlign w:val="bottom"/>
            <w:gridSpan w:val="2"/>
            <w:shd w:val="clear" w:color="auto" w:fill="D2DCE5"/>
          </w:tcPr>
          <w:p>
            <w:pPr>
              <w:jc w:val="center"/>
              <w:ind w:left="19"/>
              <w:spacing w:after="0"/>
              <w:rPr>
                <w:sz w:val="20"/>
                <w:szCs w:val="20"/>
                <w:color w:val="auto"/>
              </w:rPr>
            </w:pPr>
            <w:r>
              <w:rPr>
                <w:rFonts w:ascii="Arial" w:cs="Arial" w:eastAsia="Arial" w:hAnsi="Arial"/>
                <w:sz w:val="16"/>
                <w:szCs w:val="16"/>
                <w:color w:val="131E29"/>
              </w:rPr>
              <w:t>$145,663</w:t>
            </w:r>
          </w:p>
        </w:tc>
        <w:tc>
          <w:tcPr>
            <w:tcW w:w="100" w:type="dxa"/>
            <w:vAlign w:val="bottom"/>
            <w:shd w:val="clear" w:color="auto" w:fill="D2DCE5"/>
          </w:tcPr>
          <w:p>
            <w:pPr>
              <w:spacing w:after="0"/>
              <w:rPr>
                <w:sz w:val="20"/>
                <w:szCs w:val="20"/>
                <w:color w:val="auto"/>
              </w:rPr>
            </w:pPr>
          </w:p>
        </w:tc>
        <w:tc>
          <w:tcPr>
            <w:tcW w:w="106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$45,046</w:t>
            </w:r>
          </w:p>
        </w:tc>
        <w:tc>
          <w:tcPr>
            <w:tcW w:w="84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30.9%</w:t>
            </w:r>
          </w:p>
        </w:tc>
        <w:tc>
          <w:tcPr>
            <w:tcW w:w="0" w:type="dxa"/>
            <w:vAlign w:val="bottom"/>
          </w:tcPr>
          <w:p>
            <w:pPr>
              <w:spacing w:after="0"/>
              <w:rPr>
                <w:sz w:val="1"/>
                <w:szCs w:val="1"/>
                <w:color w:val="auto"/>
              </w:rPr>
            </w:pPr>
          </w:p>
        </w:tc>
      </w:tr>
      <w:tr>
        <w:trPr>
          <w:trHeight w:val="217"/>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w:t>
            </w:r>
          </w:p>
        </w:tc>
        <w:tc>
          <w:tcPr>
            <w:tcW w:w="860" w:type="dxa"/>
            <w:vAlign w:val="bottom"/>
            <w:vMerge w:val="restart"/>
          </w:tcPr>
          <w:p>
            <w:pPr>
              <w:jc w:val="center"/>
              <w:ind w:left="79"/>
              <w:spacing w:after="0"/>
              <w:rPr>
                <w:sz w:val="20"/>
                <w:szCs w:val="20"/>
                <w:color w:val="auto"/>
              </w:rPr>
            </w:pPr>
            <w:r>
              <w:rPr>
                <w:rFonts w:ascii="Arial" w:cs="Arial" w:eastAsia="Arial" w:hAnsi="Arial"/>
                <w:sz w:val="16"/>
                <w:szCs w:val="16"/>
                <w:color w:val="006098"/>
              </w:rPr>
              <w:t>26.6%</w:t>
            </w:r>
          </w:p>
        </w:tc>
        <w:tc>
          <w:tcPr>
            <w:tcW w:w="1240" w:type="dxa"/>
            <w:vAlign w:val="bottom"/>
            <w:gridSpan w:val="3"/>
            <w:vMerge w:val="restart"/>
          </w:tcPr>
          <w:p>
            <w:pPr>
              <w:jc w:val="center"/>
              <w:ind w:left="139"/>
              <w:spacing w:after="0"/>
              <w:rPr>
                <w:sz w:val="20"/>
                <w:szCs w:val="20"/>
                <w:color w:val="auto"/>
              </w:rPr>
            </w:pPr>
            <w:r>
              <w:rPr>
                <w:rFonts w:ascii="Arial" w:cs="Arial" w:eastAsia="Arial" w:hAnsi="Arial"/>
                <w:sz w:val="16"/>
                <w:szCs w:val="16"/>
                <w:color w:val="131E29"/>
              </w:rPr>
              <w:t>27.2%</w:t>
            </w:r>
          </w:p>
        </w:tc>
        <w:tc>
          <w:tcPr>
            <w:tcW w:w="100" w:type="dxa"/>
            <w:vAlign w:val="bottom"/>
          </w:tcPr>
          <w:p>
            <w:pPr>
              <w:spacing w:after="0"/>
              <w:rPr>
                <w:sz w:val="18"/>
                <w:szCs w:val="18"/>
                <w:color w:val="auto"/>
              </w:rPr>
            </w:pPr>
          </w:p>
        </w:tc>
        <w:tc>
          <w:tcPr>
            <w:tcW w:w="1080" w:type="dxa"/>
            <w:vAlign w:val="bottom"/>
            <w:vMerge w:val="restart"/>
          </w:tcPr>
          <w:p>
            <w:pPr>
              <w:jc w:val="center"/>
              <w:ind w:right="79"/>
              <w:spacing w:after="0"/>
              <w:rPr>
                <w:sz w:val="20"/>
                <w:szCs w:val="20"/>
                <w:color w:val="auto"/>
              </w:rPr>
            </w:pPr>
            <w:r>
              <w:rPr>
                <w:rFonts w:ascii="Arial" w:cs="Arial" w:eastAsia="Arial" w:hAnsi="Arial"/>
                <w:sz w:val="16"/>
                <w:szCs w:val="16"/>
                <w:color w:val="131E29"/>
              </w:rPr>
              <w:t>N/A</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131E29"/>
              </w:rPr>
              <w:t>(60) bps</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006098"/>
              </w:rPr>
              <w:t>27.0%</w:t>
            </w: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131E29"/>
              </w:rPr>
              <w:t>26.8%</w:t>
            </w:r>
          </w:p>
        </w:tc>
        <w:tc>
          <w:tcPr>
            <w:tcW w:w="100" w:type="dxa"/>
            <w:vAlign w:val="bottom"/>
          </w:tcPr>
          <w:p>
            <w:pPr>
              <w:spacing w:after="0"/>
              <w:rPr>
                <w:sz w:val="18"/>
                <w:szCs w:val="18"/>
                <w:color w:val="auto"/>
              </w:rPr>
            </w:pPr>
          </w:p>
        </w:tc>
        <w:tc>
          <w:tcPr>
            <w:tcW w:w="1060" w:type="dxa"/>
            <w:vAlign w:val="bottom"/>
            <w:vMerge w:val="restart"/>
          </w:tcPr>
          <w:p>
            <w:pPr>
              <w:jc w:val="center"/>
              <w:ind w:right="19"/>
              <w:spacing w:after="0"/>
              <w:rPr>
                <w:sz w:val="20"/>
                <w:szCs w:val="20"/>
                <w:color w:val="auto"/>
              </w:rPr>
            </w:pPr>
            <w:r>
              <w:rPr>
                <w:rFonts w:ascii="Arial" w:cs="Arial" w:eastAsia="Arial" w:hAnsi="Arial"/>
                <w:sz w:val="16"/>
                <w:szCs w:val="16"/>
                <w:color w:val="131E29"/>
              </w:rPr>
              <w:t>N/A</w:t>
            </w:r>
          </w:p>
        </w:tc>
        <w:tc>
          <w:tcPr>
            <w:tcW w:w="840" w:type="dxa"/>
            <w:vAlign w:val="bottom"/>
            <w:vMerge w:val="restart"/>
          </w:tcPr>
          <w:p>
            <w:pPr>
              <w:ind w:left="180"/>
              <w:spacing w:after="0"/>
              <w:rPr>
                <w:sz w:val="20"/>
                <w:szCs w:val="20"/>
                <w:color w:val="auto"/>
              </w:rPr>
            </w:pPr>
            <w:r>
              <w:rPr>
                <w:rFonts w:ascii="Arial" w:cs="Arial" w:eastAsia="Arial" w:hAnsi="Arial"/>
                <w:sz w:val="16"/>
                <w:szCs w:val="16"/>
                <w:color w:val="131E29"/>
              </w:rPr>
              <w:t>20 bps</w:t>
            </w:r>
          </w:p>
        </w:tc>
        <w:tc>
          <w:tcPr>
            <w:tcW w:w="0" w:type="dxa"/>
            <w:vAlign w:val="bottom"/>
          </w:tcPr>
          <w:p>
            <w:pPr>
              <w:spacing w:after="0"/>
              <w:rPr>
                <w:sz w:val="1"/>
                <w:szCs w:val="1"/>
                <w:color w:val="auto"/>
              </w:rPr>
            </w:pPr>
          </w:p>
        </w:tc>
      </w:tr>
      <w:tr>
        <w:trPr>
          <w:trHeight w:val="213"/>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shops revenues</w:t>
            </w:r>
          </w:p>
        </w:tc>
        <w:tc>
          <w:tcPr>
            <w:tcW w:w="86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2025 v.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As a percentage of company-operated shops revenues, labor costs decreased by 60 basis points primarily due to the impact of pricing.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a percentage of company-operated shops revenues, labor costs increased by 20 basis points. This was primarily due to 90 basis points from increased wages partially offset by a decrease of 80 basis points from the impact of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Occupancy and Other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D7282F"/>
            </w:tcBorders>
          </w:tcPr>
          <w:p>
            <w:pPr>
              <w:spacing w:after="0"/>
              <w:rPr>
                <w:sz w:val="19"/>
                <w:szCs w:val="19"/>
                <w:color w:val="auto"/>
              </w:rPr>
            </w:pPr>
          </w:p>
        </w:tc>
        <w:tc>
          <w:tcPr>
            <w:tcW w:w="2460" w:type="dxa"/>
            <w:vAlign w:val="bottom"/>
            <w:tcBorders>
              <w:bottom w:val="single" w:sz="8" w:color="D7282F"/>
            </w:tcBorders>
            <w:gridSpan w:val="5"/>
          </w:tcPr>
          <w:p>
            <w:pPr>
              <w:ind w:left="60"/>
              <w:spacing w:after="0"/>
              <w:rPr>
                <w:sz w:val="20"/>
                <w:szCs w:val="20"/>
                <w:color w:val="auto"/>
              </w:rPr>
            </w:pPr>
            <w:r>
              <w:rPr>
                <w:rFonts w:ascii="Arial" w:cs="Arial" w:eastAsia="Arial" w:hAnsi="Arial"/>
                <w:sz w:val="16"/>
                <w:szCs w:val="16"/>
                <w:b w:val="1"/>
                <w:bCs w:val="1"/>
                <w:color w:val="131E29"/>
              </w:rPr>
              <w:t>Three Months Ended June 30,</w:t>
            </w:r>
          </w:p>
        </w:tc>
        <w:tc>
          <w:tcPr>
            <w:tcW w:w="780" w:type="dxa"/>
            <w:vAlign w:val="bottom"/>
            <w:tcBorders>
              <w:bottom w:val="single" w:sz="8" w:color="D7282F"/>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D7282F"/>
            </w:tcBorders>
          </w:tcPr>
          <w:p>
            <w:pPr>
              <w:spacing w:after="0"/>
              <w:rPr>
                <w:sz w:val="19"/>
                <w:szCs w:val="19"/>
                <w:color w:val="auto"/>
              </w:rPr>
            </w:pPr>
          </w:p>
        </w:tc>
        <w:tc>
          <w:tcPr>
            <w:tcW w:w="2260" w:type="dxa"/>
            <w:vAlign w:val="bottom"/>
            <w:tcBorders>
              <w:bottom w:val="single" w:sz="8" w:color="D7282F"/>
            </w:tcBorders>
            <w:gridSpan w:val="4"/>
          </w:tcPr>
          <w:p>
            <w:pPr>
              <w:spacing w:after="0"/>
              <w:rPr>
                <w:sz w:val="20"/>
                <w:szCs w:val="20"/>
                <w:color w:val="auto"/>
              </w:rPr>
            </w:pPr>
            <w:r>
              <w:rPr>
                <w:rFonts w:ascii="Arial" w:cs="Arial" w:eastAsia="Arial" w:hAnsi="Arial"/>
                <w:sz w:val="16"/>
                <w:szCs w:val="16"/>
                <w:b w:val="1"/>
                <w:bCs w:val="1"/>
                <w:color w:val="131E29"/>
              </w:rPr>
              <w:t>Six Months Ended June 30,</w:t>
            </w:r>
          </w:p>
        </w:tc>
        <w:tc>
          <w:tcPr>
            <w:tcW w:w="840" w:type="dxa"/>
            <w:vAlign w:val="bottom"/>
            <w:tcBorders>
              <w:bottom w:val="single" w:sz="8" w:color="D7282F"/>
            </w:tcBorders>
          </w:tcPr>
          <w:p>
            <w:pPr>
              <w:spacing w:after="0"/>
              <w:rPr>
                <w:sz w:val="19"/>
                <w:szCs w:val="19"/>
                <w:color w:val="auto"/>
              </w:rPr>
            </w:pPr>
          </w:p>
        </w:tc>
      </w:tr>
      <w:tr>
        <w:trPr>
          <w:trHeight w:val="237"/>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40" w:type="dxa"/>
            <w:vAlign w:val="bottom"/>
            <w:tcBorders>
              <w:bottom w:val="single" w:sz="8" w:color="D7282F"/>
            </w:tcBorders>
          </w:tcPr>
          <w:p>
            <w:pPr>
              <w:jc w:val="center"/>
              <w:ind w:left="79"/>
              <w:spacing w:after="0"/>
              <w:rPr>
                <w:sz w:val="20"/>
                <w:szCs w:val="20"/>
                <w:color w:val="auto"/>
              </w:rPr>
            </w:pPr>
            <w:r>
              <w:rPr>
                <w:rFonts w:ascii="Arial" w:cs="Arial" w:eastAsia="Arial" w:hAnsi="Arial"/>
                <w:sz w:val="16"/>
                <w:szCs w:val="16"/>
                <w:b w:val="1"/>
                <w:bCs w:val="1"/>
                <w:color w:val="131E29"/>
              </w:rPr>
              <w:t>2025</w:t>
            </w:r>
          </w:p>
        </w:tc>
        <w:tc>
          <w:tcPr>
            <w:tcW w:w="16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880" w:type="dxa"/>
            <w:vAlign w:val="bottom"/>
            <w:tcBorders>
              <w:bottom w:val="single" w:sz="8" w:color="D7282F"/>
            </w:tcBorders>
            <w:gridSpan w:val="2"/>
          </w:tcPr>
          <w:p>
            <w:pPr>
              <w:ind w:left="460"/>
              <w:spacing w:after="0"/>
              <w:rPr>
                <w:sz w:val="20"/>
                <w:szCs w:val="20"/>
                <w:color w:val="auto"/>
              </w:rPr>
            </w:pPr>
            <w:r>
              <w:rPr>
                <w:rFonts w:ascii="Arial" w:cs="Arial" w:eastAsia="Arial" w:hAnsi="Arial"/>
                <w:sz w:val="16"/>
                <w:szCs w:val="16"/>
                <w:b w:val="1"/>
                <w:bCs w:val="1"/>
                <w:color w:val="131E29"/>
              </w:rPr>
              <w:t>2025 v. 2024</w:t>
            </w: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8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20" w:type="dxa"/>
            <w:vAlign w:val="bottom"/>
            <w:tcBorders>
              <w:bottom w:val="single" w:sz="8" w:color="D7282F"/>
            </w:tcBorders>
            <w:gridSpan w:val="2"/>
          </w:tcPr>
          <w:p>
            <w:pPr>
              <w:ind w:left="500"/>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 costs</w:t>
            </w:r>
          </w:p>
        </w:tc>
        <w:tc>
          <w:tcPr>
            <w:tcW w:w="840" w:type="dxa"/>
            <w:vAlign w:val="bottom"/>
            <w:shd w:val="clear" w:color="auto" w:fill="D2DCE5"/>
          </w:tcPr>
          <w:p>
            <w:pPr>
              <w:jc w:val="center"/>
              <w:ind w:left="99"/>
              <w:spacing w:after="0"/>
              <w:rPr>
                <w:sz w:val="20"/>
                <w:szCs w:val="20"/>
                <w:color w:val="auto"/>
              </w:rPr>
            </w:pPr>
            <w:r>
              <w:rPr>
                <w:rFonts w:ascii="Arial" w:cs="Arial" w:eastAsia="Arial" w:hAnsi="Arial"/>
                <w:sz w:val="16"/>
                <w:szCs w:val="16"/>
                <w:color w:val="006098"/>
              </w:rPr>
              <w:t>$59,984</w:t>
            </w:r>
          </w:p>
        </w:tc>
        <w:tc>
          <w:tcPr>
            <w:tcW w:w="1260" w:type="dxa"/>
            <w:vAlign w:val="bottom"/>
            <w:gridSpan w:val="3"/>
            <w:shd w:val="clear" w:color="auto" w:fill="D2DCE5"/>
          </w:tcPr>
          <w:p>
            <w:pPr>
              <w:jc w:val="center"/>
              <w:ind w:left="179"/>
              <w:spacing w:after="0"/>
              <w:rPr>
                <w:sz w:val="20"/>
                <w:szCs w:val="20"/>
                <w:color w:val="auto"/>
              </w:rPr>
            </w:pPr>
            <w:r>
              <w:rPr>
                <w:rFonts w:ascii="Arial" w:cs="Arial" w:eastAsia="Arial" w:hAnsi="Arial"/>
                <w:sz w:val="16"/>
                <w:szCs w:val="16"/>
                <w:color w:val="131E29"/>
              </w:rPr>
              <w:t>$44,277</w:t>
            </w:r>
          </w:p>
        </w:tc>
        <w:tc>
          <w:tcPr>
            <w:tcW w:w="100" w:type="dxa"/>
            <w:vAlign w:val="bottom"/>
            <w:shd w:val="clear" w:color="auto" w:fill="D2DCE5"/>
          </w:tcPr>
          <w:p>
            <w:pPr>
              <w:spacing w:after="0"/>
              <w:rPr>
                <w:sz w:val="20"/>
                <w:szCs w:val="20"/>
                <w:color w:val="auto"/>
              </w:rPr>
            </w:pPr>
          </w:p>
        </w:tc>
        <w:tc>
          <w:tcPr>
            <w:tcW w:w="1100" w:type="dxa"/>
            <w:vAlign w:val="bottom"/>
            <w:shd w:val="clear" w:color="auto" w:fill="D2DCE5"/>
          </w:tcPr>
          <w:p>
            <w:pPr>
              <w:jc w:val="right"/>
              <w:ind w:right="259"/>
              <w:spacing w:after="0"/>
              <w:rPr>
                <w:sz w:val="20"/>
                <w:szCs w:val="20"/>
                <w:color w:val="auto"/>
              </w:rPr>
            </w:pPr>
            <w:r>
              <w:rPr>
                <w:rFonts w:ascii="Arial" w:cs="Arial" w:eastAsia="Arial" w:hAnsi="Arial"/>
                <w:sz w:val="16"/>
                <w:szCs w:val="16"/>
                <w:color w:val="131E29"/>
              </w:rPr>
              <w:t>$15,707</w:t>
            </w:r>
          </w:p>
        </w:tc>
        <w:tc>
          <w:tcPr>
            <w:tcW w:w="780" w:type="dxa"/>
            <w:vAlign w:val="bottom"/>
            <w:shd w:val="clear" w:color="auto" w:fill="D2DCE5"/>
          </w:tcPr>
          <w:p>
            <w:pPr>
              <w:ind w:left="120"/>
              <w:spacing w:after="0"/>
              <w:rPr>
                <w:sz w:val="20"/>
                <w:szCs w:val="20"/>
                <w:color w:val="auto"/>
              </w:rPr>
            </w:pPr>
            <w:r>
              <w:rPr>
                <w:rFonts w:ascii="Arial" w:cs="Arial" w:eastAsia="Arial" w:hAnsi="Arial"/>
                <w:sz w:val="16"/>
                <w:szCs w:val="16"/>
                <w:color w:val="131E29"/>
              </w:rPr>
              <w:t>35.5%</w:t>
            </w:r>
          </w:p>
        </w:tc>
        <w:tc>
          <w:tcPr>
            <w:tcW w:w="100" w:type="dxa"/>
            <w:vAlign w:val="bottom"/>
            <w:shd w:val="clear" w:color="auto" w:fill="D2DCE5"/>
          </w:tcPr>
          <w:p>
            <w:pPr>
              <w:spacing w:after="0"/>
              <w:rPr>
                <w:sz w:val="20"/>
                <w:szCs w:val="20"/>
                <w:color w:val="auto"/>
              </w:rPr>
            </w:pPr>
          </w:p>
        </w:tc>
        <w:tc>
          <w:tcPr>
            <w:tcW w:w="1000" w:type="dxa"/>
            <w:vAlign w:val="bottom"/>
            <w:shd w:val="clear" w:color="auto" w:fill="D2DCE5"/>
          </w:tcPr>
          <w:p>
            <w:pPr>
              <w:jc w:val="center"/>
              <w:spacing w:after="0"/>
              <w:rPr>
                <w:sz w:val="20"/>
                <w:szCs w:val="20"/>
                <w:color w:val="auto"/>
              </w:rPr>
            </w:pPr>
            <w:r>
              <w:rPr>
                <w:rFonts w:ascii="Arial" w:cs="Arial" w:eastAsia="Arial" w:hAnsi="Arial"/>
                <w:sz w:val="16"/>
                <w:szCs w:val="16"/>
                <w:color w:val="006098"/>
                <w:w w:val="98"/>
              </w:rPr>
              <w:t>$113,911</w:t>
            </w:r>
          </w:p>
        </w:tc>
        <w:tc>
          <w:tcPr>
            <w:tcW w:w="1080" w:type="dxa"/>
            <w:vAlign w:val="bottom"/>
            <w:gridSpan w:val="2"/>
            <w:shd w:val="clear" w:color="auto" w:fill="D2DCE5"/>
          </w:tcPr>
          <w:p>
            <w:pPr>
              <w:jc w:val="center"/>
              <w:ind w:left="19"/>
              <w:spacing w:after="0"/>
              <w:rPr>
                <w:sz w:val="20"/>
                <w:szCs w:val="20"/>
                <w:color w:val="auto"/>
              </w:rPr>
            </w:pPr>
            <w:r>
              <w:rPr>
                <w:rFonts w:ascii="Arial" w:cs="Arial" w:eastAsia="Arial" w:hAnsi="Arial"/>
                <w:sz w:val="16"/>
                <w:szCs w:val="16"/>
                <w:color w:val="131E29"/>
              </w:rPr>
              <w:t>$85,773</w:t>
            </w:r>
          </w:p>
        </w:tc>
        <w:tc>
          <w:tcPr>
            <w:tcW w:w="100" w:type="dxa"/>
            <w:vAlign w:val="bottom"/>
            <w:shd w:val="clear" w:color="auto" w:fill="D2DCE5"/>
          </w:tcPr>
          <w:p>
            <w:pPr>
              <w:spacing w:after="0"/>
              <w:rPr>
                <w:sz w:val="20"/>
                <w:szCs w:val="20"/>
                <w:color w:val="auto"/>
              </w:rPr>
            </w:pPr>
          </w:p>
        </w:tc>
        <w:tc>
          <w:tcPr>
            <w:tcW w:w="108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$28,138</w:t>
            </w:r>
          </w:p>
        </w:tc>
        <w:tc>
          <w:tcPr>
            <w:tcW w:w="84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32.8%</w:t>
            </w:r>
          </w:p>
        </w:tc>
      </w:tr>
      <w:tr>
        <w:trPr>
          <w:trHeight w:val="204"/>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6"/>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shops revenues</w:t>
            </w:r>
          </w:p>
        </w:tc>
        <w:tc>
          <w:tcPr>
            <w:tcW w:w="840" w:type="dxa"/>
            <w:vAlign w:val="bottom"/>
          </w:tcPr>
          <w:p>
            <w:pPr>
              <w:jc w:val="center"/>
              <w:ind w:left="99"/>
              <w:spacing w:after="0"/>
              <w:rPr>
                <w:sz w:val="20"/>
                <w:szCs w:val="20"/>
                <w:color w:val="auto"/>
              </w:rPr>
            </w:pPr>
            <w:r>
              <w:rPr>
                <w:rFonts w:ascii="Arial" w:cs="Arial" w:eastAsia="Arial" w:hAnsi="Arial"/>
                <w:sz w:val="16"/>
                <w:szCs w:val="16"/>
                <w:color w:val="006098"/>
              </w:rPr>
              <w:t>15.8%</w:t>
            </w:r>
          </w:p>
        </w:tc>
        <w:tc>
          <w:tcPr>
            <w:tcW w:w="1260" w:type="dxa"/>
            <w:vAlign w:val="bottom"/>
            <w:gridSpan w:val="3"/>
          </w:tcPr>
          <w:p>
            <w:pPr>
              <w:jc w:val="center"/>
              <w:ind w:left="159"/>
              <w:spacing w:after="0"/>
              <w:rPr>
                <w:sz w:val="20"/>
                <w:szCs w:val="20"/>
                <w:color w:val="auto"/>
              </w:rPr>
            </w:pPr>
            <w:r>
              <w:rPr>
                <w:rFonts w:ascii="Arial" w:cs="Arial" w:eastAsia="Arial" w:hAnsi="Arial"/>
                <w:sz w:val="16"/>
                <w:szCs w:val="16"/>
                <w:color w:val="131E29"/>
              </w:rPr>
              <w:t>15.0%</w:t>
            </w:r>
          </w:p>
        </w:tc>
        <w:tc>
          <w:tcPr>
            <w:tcW w:w="100" w:type="dxa"/>
            <w:vAlign w:val="bottom"/>
          </w:tcPr>
          <w:p>
            <w:pPr>
              <w:spacing w:after="0"/>
              <w:rPr>
                <w:sz w:val="19"/>
                <w:szCs w:val="19"/>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color w:val="131E29"/>
              </w:rPr>
              <w:t>N/A</w:t>
            </w:r>
          </w:p>
        </w:tc>
        <w:tc>
          <w:tcPr>
            <w:tcW w:w="880" w:type="dxa"/>
            <w:vAlign w:val="bottom"/>
            <w:gridSpan w:val="2"/>
          </w:tcPr>
          <w:p>
            <w:pPr>
              <w:ind w:left="120"/>
              <w:spacing w:after="0"/>
              <w:rPr>
                <w:sz w:val="20"/>
                <w:szCs w:val="20"/>
                <w:color w:val="auto"/>
              </w:rPr>
            </w:pPr>
            <w:r>
              <w:rPr>
                <w:rFonts w:ascii="Arial" w:cs="Arial" w:eastAsia="Arial" w:hAnsi="Arial"/>
                <w:sz w:val="16"/>
                <w:szCs w:val="16"/>
                <w:color w:val="131E29"/>
              </w:rPr>
              <w:t>80 bps</w:t>
            </w:r>
          </w:p>
        </w:tc>
        <w:tc>
          <w:tcPr>
            <w:tcW w:w="1000" w:type="dxa"/>
            <w:vAlign w:val="bottom"/>
          </w:tcPr>
          <w:p>
            <w:pPr>
              <w:jc w:val="center"/>
              <w:spacing w:after="0"/>
              <w:rPr>
                <w:sz w:val="20"/>
                <w:szCs w:val="20"/>
                <w:color w:val="auto"/>
              </w:rPr>
            </w:pPr>
            <w:r>
              <w:rPr>
                <w:rFonts w:ascii="Arial" w:cs="Arial" w:eastAsia="Arial" w:hAnsi="Arial"/>
                <w:sz w:val="16"/>
                <w:szCs w:val="16"/>
                <w:color w:val="006098"/>
              </w:rPr>
              <w:t>16.1%</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131E29"/>
              </w:rPr>
              <w:t>15.8%</w:t>
            </w:r>
          </w:p>
        </w:tc>
        <w:tc>
          <w:tcPr>
            <w:tcW w:w="100" w:type="dxa"/>
            <w:vAlign w:val="bottom"/>
          </w:tcPr>
          <w:p>
            <w:pPr>
              <w:spacing w:after="0"/>
              <w:rPr>
                <w:sz w:val="19"/>
                <w:szCs w:val="19"/>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color w:val="131E29"/>
              </w:rPr>
              <w:t>N/A</w:t>
            </w:r>
          </w:p>
        </w:tc>
        <w:tc>
          <w:tcPr>
            <w:tcW w:w="840" w:type="dxa"/>
            <w:vAlign w:val="bottom"/>
          </w:tcPr>
          <w:p>
            <w:pPr>
              <w:ind w:left="160"/>
              <w:spacing w:after="0"/>
              <w:rPr>
                <w:sz w:val="20"/>
                <w:szCs w:val="20"/>
                <w:color w:val="auto"/>
              </w:rPr>
            </w:pPr>
            <w:r>
              <w:rPr>
                <w:rFonts w:ascii="Arial" w:cs="Arial" w:eastAsia="Arial" w:hAnsi="Arial"/>
                <w:sz w:val="16"/>
                <w:szCs w:val="16"/>
                <w:color w:val="131E29"/>
              </w:rPr>
              <w:t>30 bps</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2025 v.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a percentage of company-operated shops revenues, occupancy and other costs increased by 80 basis points and 30 basis points for the three and six months ended June 30, 2025, respectively. These increases were primarily due to the impact of occupancy rates from new shops.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Pre-opening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D7282F"/>
            </w:tcBorders>
          </w:tcPr>
          <w:p>
            <w:pPr>
              <w:spacing w:after="0"/>
              <w:rPr>
                <w:sz w:val="19"/>
                <w:szCs w:val="19"/>
                <w:color w:val="auto"/>
              </w:rPr>
            </w:pPr>
          </w:p>
        </w:tc>
        <w:tc>
          <w:tcPr>
            <w:tcW w:w="2460" w:type="dxa"/>
            <w:vAlign w:val="bottom"/>
            <w:tcBorders>
              <w:bottom w:val="single" w:sz="8" w:color="D7282F"/>
            </w:tcBorders>
            <w:gridSpan w:val="5"/>
          </w:tcPr>
          <w:p>
            <w:pPr>
              <w:ind w:left="80"/>
              <w:spacing w:after="0"/>
              <w:rPr>
                <w:sz w:val="20"/>
                <w:szCs w:val="20"/>
                <w:color w:val="auto"/>
              </w:rPr>
            </w:pPr>
            <w:r>
              <w:rPr>
                <w:rFonts w:ascii="Arial" w:cs="Arial" w:eastAsia="Arial" w:hAnsi="Arial"/>
                <w:sz w:val="16"/>
                <w:szCs w:val="16"/>
                <w:b w:val="1"/>
                <w:bCs w:val="1"/>
                <w:color w:val="131E29"/>
              </w:rPr>
              <w:t>Three Months Ended June 30,</w:t>
            </w:r>
          </w:p>
        </w:tc>
        <w:tc>
          <w:tcPr>
            <w:tcW w:w="820" w:type="dxa"/>
            <w:vAlign w:val="bottom"/>
            <w:tcBorders>
              <w:bottom w:val="single" w:sz="8" w:color="D7282F"/>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D7282F"/>
            </w:tcBorders>
          </w:tcPr>
          <w:p>
            <w:pPr>
              <w:spacing w:after="0"/>
              <w:rPr>
                <w:sz w:val="19"/>
                <w:szCs w:val="19"/>
                <w:color w:val="auto"/>
              </w:rPr>
            </w:pPr>
          </w:p>
        </w:tc>
        <w:tc>
          <w:tcPr>
            <w:tcW w:w="2340" w:type="dxa"/>
            <w:vAlign w:val="bottom"/>
            <w:tcBorders>
              <w:bottom w:val="single" w:sz="8" w:color="D7282F"/>
            </w:tcBorders>
            <w:gridSpan w:val="5"/>
          </w:tcPr>
          <w:p>
            <w:pPr>
              <w:ind w:left="100"/>
              <w:spacing w:after="0"/>
              <w:rPr>
                <w:sz w:val="20"/>
                <w:szCs w:val="20"/>
                <w:color w:val="auto"/>
              </w:rPr>
            </w:pPr>
            <w:r>
              <w:rPr>
                <w:rFonts w:ascii="Arial" w:cs="Arial" w:eastAsia="Arial" w:hAnsi="Arial"/>
                <w:sz w:val="16"/>
                <w:szCs w:val="16"/>
                <w:b w:val="1"/>
                <w:bCs w:val="1"/>
                <w:color w:val="131E29"/>
              </w:rPr>
              <w:t>Six Months Ended June 30,</w:t>
            </w:r>
          </w:p>
        </w:tc>
        <w:tc>
          <w:tcPr>
            <w:tcW w:w="860" w:type="dxa"/>
            <w:vAlign w:val="bottom"/>
            <w:tcBorders>
              <w:bottom w:val="single" w:sz="8" w:color="D7282F"/>
            </w:tcBorders>
          </w:tcPr>
          <w:p>
            <w:pPr>
              <w:spacing w:after="0"/>
              <w:rPr>
                <w:sz w:val="19"/>
                <w:szCs w:val="19"/>
                <w:color w:val="auto"/>
              </w:rPr>
            </w:pPr>
          </w:p>
        </w:tc>
      </w:tr>
      <w:tr>
        <w:trPr>
          <w:trHeight w:val="237"/>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20" w:type="dxa"/>
            <w:vAlign w:val="bottom"/>
            <w:tcBorders>
              <w:bottom w:val="single" w:sz="8" w:color="D7282F"/>
            </w:tcBorders>
          </w:tcPr>
          <w:p>
            <w:pPr>
              <w:jc w:val="center"/>
              <w:ind w:left="99"/>
              <w:spacing w:after="0"/>
              <w:rPr>
                <w:sz w:val="20"/>
                <w:szCs w:val="20"/>
                <w:color w:val="auto"/>
              </w:rPr>
            </w:pPr>
            <w:r>
              <w:rPr>
                <w:rFonts w:ascii="Arial" w:cs="Arial" w:eastAsia="Arial" w:hAnsi="Arial"/>
                <w:sz w:val="16"/>
                <w:szCs w:val="16"/>
                <w:b w:val="1"/>
                <w:bCs w:val="1"/>
                <w:color w:val="131E29"/>
              </w:rPr>
              <w:t>2025</w:t>
            </w:r>
          </w:p>
        </w:tc>
        <w:tc>
          <w:tcPr>
            <w:tcW w:w="18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c>
          <w:tcPr>
            <w:tcW w:w="80" w:type="dxa"/>
            <w:vAlign w:val="bottom"/>
            <w:tcBorders>
              <w:bottom w:val="single" w:sz="8" w:color="D2DCE5"/>
            </w:tcBorders>
          </w:tcPr>
          <w:p>
            <w:pPr>
              <w:spacing w:after="0"/>
              <w:rPr>
                <w:sz w:val="20"/>
                <w:szCs w:val="20"/>
                <w:color w:val="auto"/>
              </w:rPr>
            </w:pPr>
          </w:p>
        </w:tc>
        <w:tc>
          <w:tcPr>
            <w:tcW w:w="900" w:type="dxa"/>
            <w:vAlign w:val="bottom"/>
            <w:tcBorders>
              <w:bottom w:val="single" w:sz="8" w:color="D7282F"/>
            </w:tcBorders>
          </w:tcPr>
          <w:p>
            <w:pPr>
              <w:jc w:val="center"/>
              <w:ind w:left="19"/>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jc w:val="right"/>
              <w:ind w:right="399"/>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Pre-opening costs</w:t>
            </w:r>
          </w:p>
        </w:tc>
        <w:tc>
          <w:tcPr>
            <w:tcW w:w="820" w:type="dxa"/>
            <w:vAlign w:val="bottom"/>
            <w:shd w:val="clear" w:color="auto" w:fill="D2DCE5"/>
          </w:tcPr>
          <w:p>
            <w:pPr>
              <w:jc w:val="center"/>
              <w:ind w:left="119"/>
              <w:spacing w:after="0"/>
              <w:rPr>
                <w:sz w:val="20"/>
                <w:szCs w:val="20"/>
                <w:color w:val="auto"/>
              </w:rPr>
            </w:pPr>
            <w:r>
              <w:rPr>
                <w:rFonts w:ascii="Arial" w:cs="Arial" w:eastAsia="Arial" w:hAnsi="Arial"/>
                <w:sz w:val="16"/>
                <w:szCs w:val="16"/>
                <w:color w:val="006098"/>
              </w:rPr>
              <w:t>$4,542</w:t>
            </w:r>
          </w:p>
        </w:tc>
        <w:tc>
          <w:tcPr>
            <w:tcW w:w="1280" w:type="dxa"/>
            <w:vAlign w:val="bottom"/>
            <w:gridSpan w:val="3"/>
            <w:shd w:val="clear" w:color="auto" w:fill="D2DCE5"/>
          </w:tcPr>
          <w:p>
            <w:pPr>
              <w:jc w:val="center"/>
              <w:ind w:left="179"/>
              <w:spacing w:after="0"/>
              <w:rPr>
                <w:sz w:val="20"/>
                <w:szCs w:val="20"/>
                <w:color w:val="auto"/>
              </w:rPr>
            </w:pPr>
            <w:r>
              <w:rPr>
                <w:rFonts w:ascii="Arial" w:cs="Arial" w:eastAsia="Arial" w:hAnsi="Arial"/>
                <w:sz w:val="16"/>
                <w:szCs w:val="16"/>
                <w:color w:val="131E29"/>
              </w:rPr>
              <w:t>$4,554</w:t>
            </w:r>
          </w:p>
        </w:tc>
        <w:tc>
          <w:tcPr>
            <w:tcW w:w="100" w:type="dxa"/>
            <w:vAlign w:val="bottom"/>
            <w:shd w:val="clear" w:color="auto" w:fill="D2DCE5"/>
          </w:tcPr>
          <w:p>
            <w:pPr>
              <w:spacing w:after="0"/>
              <w:rPr>
                <w:sz w:val="20"/>
                <w:szCs w:val="20"/>
                <w:color w:val="auto"/>
              </w:rPr>
            </w:pPr>
          </w:p>
        </w:tc>
        <w:tc>
          <w:tcPr>
            <w:tcW w:w="1080" w:type="dxa"/>
            <w:vAlign w:val="bottom"/>
            <w:shd w:val="clear" w:color="auto" w:fill="D2DCE5"/>
          </w:tcPr>
          <w:p>
            <w:pPr>
              <w:jc w:val="center"/>
              <w:ind w:right="59"/>
              <w:spacing w:after="0"/>
              <w:rPr>
                <w:sz w:val="20"/>
                <w:szCs w:val="20"/>
                <w:color w:val="auto"/>
              </w:rPr>
            </w:pPr>
            <w:r>
              <w:rPr>
                <w:rFonts w:ascii="Arial" w:cs="Arial" w:eastAsia="Arial" w:hAnsi="Arial"/>
                <w:sz w:val="16"/>
                <w:szCs w:val="16"/>
                <w:color w:val="131E29"/>
              </w:rPr>
              <w:t>$(12)</w:t>
            </w:r>
          </w:p>
        </w:tc>
        <w:tc>
          <w:tcPr>
            <w:tcW w:w="82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(0.3)%</w:t>
            </w:r>
          </w:p>
        </w:tc>
        <w:tc>
          <w:tcPr>
            <w:tcW w:w="80" w:type="dxa"/>
            <w:vAlign w:val="bottom"/>
            <w:shd w:val="clear" w:color="auto" w:fill="D2DCE5"/>
          </w:tcPr>
          <w:p>
            <w:pPr>
              <w:spacing w:after="0"/>
              <w:rPr>
                <w:sz w:val="20"/>
                <w:szCs w:val="20"/>
                <w:color w:val="auto"/>
              </w:rPr>
            </w:pPr>
          </w:p>
        </w:tc>
        <w:tc>
          <w:tcPr>
            <w:tcW w:w="900" w:type="dxa"/>
            <w:vAlign w:val="bottom"/>
            <w:shd w:val="clear" w:color="auto" w:fill="D2DCE5"/>
          </w:tcPr>
          <w:p>
            <w:pPr>
              <w:jc w:val="center"/>
              <w:ind w:left="39"/>
              <w:spacing w:after="0"/>
              <w:rPr>
                <w:sz w:val="20"/>
                <w:szCs w:val="20"/>
                <w:color w:val="auto"/>
              </w:rPr>
            </w:pPr>
            <w:r>
              <w:rPr>
                <w:rFonts w:ascii="Arial" w:cs="Arial" w:eastAsia="Arial" w:hAnsi="Arial"/>
                <w:sz w:val="16"/>
                <w:szCs w:val="16"/>
                <w:color w:val="006098"/>
              </w:rPr>
              <w:t>$10,153</w:t>
            </w:r>
          </w:p>
        </w:tc>
        <w:tc>
          <w:tcPr>
            <w:tcW w:w="1200" w:type="dxa"/>
            <w:vAlign w:val="bottom"/>
            <w:gridSpan w:val="3"/>
            <w:shd w:val="clear" w:color="auto" w:fill="D2DCE5"/>
          </w:tcPr>
          <w:p>
            <w:pPr>
              <w:jc w:val="center"/>
              <w:ind w:left="139"/>
              <w:spacing w:after="0"/>
              <w:rPr>
                <w:sz w:val="20"/>
                <w:szCs w:val="20"/>
                <w:color w:val="auto"/>
              </w:rPr>
            </w:pPr>
            <w:r>
              <w:rPr>
                <w:rFonts w:ascii="Arial" w:cs="Arial" w:eastAsia="Arial" w:hAnsi="Arial"/>
                <w:sz w:val="16"/>
                <w:szCs w:val="16"/>
                <w:color w:val="131E29"/>
              </w:rPr>
              <w:t>$8,001</w:t>
            </w:r>
          </w:p>
        </w:tc>
        <w:tc>
          <w:tcPr>
            <w:tcW w:w="100" w:type="dxa"/>
            <w:vAlign w:val="bottom"/>
            <w:shd w:val="clear" w:color="auto" w:fill="D2DCE5"/>
          </w:tcPr>
          <w:p>
            <w:pPr>
              <w:spacing w:after="0"/>
              <w:rPr>
                <w:sz w:val="20"/>
                <w:szCs w:val="20"/>
                <w:color w:val="auto"/>
              </w:rPr>
            </w:pPr>
          </w:p>
        </w:tc>
        <w:tc>
          <w:tcPr>
            <w:tcW w:w="1040" w:type="dxa"/>
            <w:vAlign w:val="bottom"/>
            <w:shd w:val="clear" w:color="auto" w:fill="D2DCE5"/>
          </w:tcPr>
          <w:p>
            <w:pPr>
              <w:jc w:val="center"/>
              <w:ind w:right="19"/>
              <w:spacing w:after="0"/>
              <w:rPr>
                <w:sz w:val="20"/>
                <w:szCs w:val="20"/>
                <w:color w:val="auto"/>
              </w:rPr>
            </w:pPr>
            <w:r>
              <w:rPr>
                <w:rFonts w:ascii="Arial" w:cs="Arial" w:eastAsia="Arial" w:hAnsi="Arial"/>
                <w:sz w:val="16"/>
                <w:szCs w:val="16"/>
                <w:color w:val="131E29"/>
              </w:rPr>
              <w:t>$2,152</w:t>
            </w:r>
          </w:p>
        </w:tc>
        <w:tc>
          <w:tcPr>
            <w:tcW w:w="860" w:type="dxa"/>
            <w:vAlign w:val="bottom"/>
            <w:shd w:val="clear" w:color="auto" w:fill="D2DCE5"/>
          </w:tcPr>
          <w:p>
            <w:pPr>
              <w:jc w:val="right"/>
              <w:ind w:right="119"/>
              <w:spacing w:after="0"/>
              <w:rPr>
                <w:sz w:val="20"/>
                <w:szCs w:val="20"/>
                <w:color w:val="auto"/>
              </w:rPr>
            </w:pPr>
            <w:r>
              <w:rPr>
                <w:rFonts w:ascii="Arial" w:cs="Arial" w:eastAsia="Arial" w:hAnsi="Arial"/>
                <w:sz w:val="16"/>
                <w:szCs w:val="16"/>
                <w:color w:val="131E29"/>
              </w:rPr>
              <w:t>26.9%</w:t>
            </w:r>
          </w:p>
        </w:tc>
      </w:tr>
      <w:tr>
        <w:trPr>
          <w:trHeight w:val="204"/>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960" w:type="dxa"/>
            <w:vAlign w:val="bottom"/>
            <w:gridSpan w:val="2"/>
          </w:tcPr>
          <w:p>
            <w:pPr>
              <w:ind w:left="20"/>
              <w:spacing w:after="0"/>
              <w:rPr>
                <w:sz w:val="20"/>
                <w:szCs w:val="20"/>
                <w:color w:val="auto"/>
              </w:rPr>
            </w:pPr>
            <w:r>
              <w:rPr>
                <w:rFonts w:ascii="Arial" w:cs="Arial" w:eastAsia="Arial" w:hAnsi="Arial"/>
                <w:sz w:val="16"/>
                <w:szCs w:val="16"/>
                <w:i w:val="1"/>
                <w:iCs w:val="1"/>
                <w:color w:val="131E29"/>
              </w:rPr>
              <w:t>shops revenues</w:t>
            </w:r>
          </w:p>
        </w:tc>
        <w:tc>
          <w:tcPr>
            <w:tcW w:w="820" w:type="dxa"/>
            <w:vAlign w:val="bottom"/>
          </w:tcPr>
          <w:p>
            <w:pPr>
              <w:jc w:val="center"/>
              <w:ind w:left="99"/>
              <w:spacing w:after="0"/>
              <w:rPr>
                <w:sz w:val="20"/>
                <w:szCs w:val="20"/>
                <w:color w:val="auto"/>
              </w:rPr>
            </w:pPr>
            <w:r>
              <w:rPr>
                <w:rFonts w:ascii="Arial" w:cs="Arial" w:eastAsia="Arial" w:hAnsi="Arial"/>
                <w:sz w:val="16"/>
                <w:szCs w:val="16"/>
                <w:color w:val="006098"/>
                <w:w w:val="98"/>
              </w:rPr>
              <w:t>1.2%</w:t>
            </w:r>
          </w:p>
        </w:tc>
        <w:tc>
          <w:tcPr>
            <w:tcW w:w="1280" w:type="dxa"/>
            <w:vAlign w:val="bottom"/>
            <w:gridSpan w:val="3"/>
          </w:tcPr>
          <w:p>
            <w:pPr>
              <w:jc w:val="center"/>
              <w:ind w:left="199"/>
              <w:spacing w:after="0"/>
              <w:rPr>
                <w:sz w:val="20"/>
                <w:szCs w:val="20"/>
                <w:color w:val="auto"/>
              </w:rPr>
            </w:pPr>
            <w:r>
              <w:rPr>
                <w:rFonts w:ascii="Arial" w:cs="Arial" w:eastAsia="Arial" w:hAnsi="Arial"/>
                <w:sz w:val="16"/>
                <w:szCs w:val="16"/>
                <w:color w:val="131E29"/>
                <w:w w:val="98"/>
              </w:rPr>
              <w:t>1.5%</w:t>
            </w:r>
          </w:p>
        </w:tc>
        <w:tc>
          <w:tcPr>
            <w:tcW w:w="100" w:type="dxa"/>
            <w:vAlign w:val="bottom"/>
          </w:tcPr>
          <w:p>
            <w:pPr>
              <w:spacing w:after="0"/>
              <w:rPr>
                <w:sz w:val="20"/>
                <w:szCs w:val="20"/>
                <w:color w:val="auto"/>
              </w:rPr>
            </w:pPr>
          </w:p>
        </w:tc>
        <w:tc>
          <w:tcPr>
            <w:tcW w:w="1080" w:type="dxa"/>
            <w:vAlign w:val="bottom"/>
          </w:tcPr>
          <w:p>
            <w:pPr>
              <w:ind w:left="320"/>
              <w:spacing w:after="0"/>
              <w:rPr>
                <w:sz w:val="20"/>
                <w:szCs w:val="20"/>
                <w:color w:val="auto"/>
              </w:rPr>
            </w:pPr>
            <w:r>
              <w:rPr>
                <w:rFonts w:ascii="Arial" w:cs="Arial" w:eastAsia="Arial" w:hAnsi="Arial"/>
                <w:sz w:val="16"/>
                <w:szCs w:val="16"/>
                <w:color w:val="131E29"/>
              </w:rPr>
              <w:t>N/A</w:t>
            </w:r>
          </w:p>
        </w:tc>
        <w:tc>
          <w:tcPr>
            <w:tcW w:w="900" w:type="dxa"/>
            <w:vAlign w:val="bottom"/>
            <w:gridSpan w:val="2"/>
          </w:tcPr>
          <w:p>
            <w:pPr>
              <w:ind w:left="80"/>
              <w:spacing w:after="0"/>
              <w:rPr>
                <w:sz w:val="20"/>
                <w:szCs w:val="20"/>
                <w:color w:val="auto"/>
              </w:rPr>
            </w:pPr>
            <w:r>
              <w:rPr>
                <w:rFonts w:ascii="Arial" w:cs="Arial" w:eastAsia="Arial" w:hAnsi="Arial"/>
                <w:sz w:val="16"/>
                <w:szCs w:val="16"/>
                <w:color w:val="131E29"/>
              </w:rPr>
              <w:t>(30) bps</w:t>
            </w:r>
          </w:p>
        </w:tc>
        <w:tc>
          <w:tcPr>
            <w:tcW w:w="900" w:type="dxa"/>
            <w:vAlign w:val="bottom"/>
          </w:tcPr>
          <w:p>
            <w:pPr>
              <w:jc w:val="center"/>
              <w:ind w:left="39"/>
              <w:spacing w:after="0"/>
              <w:rPr>
                <w:sz w:val="20"/>
                <w:szCs w:val="20"/>
                <w:color w:val="auto"/>
              </w:rPr>
            </w:pPr>
            <w:r>
              <w:rPr>
                <w:rFonts w:ascii="Arial" w:cs="Arial" w:eastAsia="Arial" w:hAnsi="Arial"/>
                <w:sz w:val="16"/>
                <w:szCs w:val="16"/>
                <w:color w:val="006098"/>
              </w:rPr>
              <w:t>1.4%</w:t>
            </w:r>
          </w:p>
        </w:tc>
        <w:tc>
          <w:tcPr>
            <w:tcW w:w="1200" w:type="dxa"/>
            <w:vAlign w:val="bottom"/>
            <w:gridSpan w:val="3"/>
          </w:tcPr>
          <w:p>
            <w:pPr>
              <w:jc w:val="center"/>
              <w:ind w:left="119"/>
              <w:spacing w:after="0"/>
              <w:rPr>
                <w:sz w:val="20"/>
                <w:szCs w:val="20"/>
                <w:color w:val="auto"/>
              </w:rPr>
            </w:pPr>
            <w:r>
              <w:rPr>
                <w:rFonts w:ascii="Arial" w:cs="Arial" w:eastAsia="Arial" w:hAnsi="Arial"/>
                <w:sz w:val="16"/>
                <w:szCs w:val="16"/>
                <w:color w:val="131E29"/>
                <w:w w:val="98"/>
              </w:rPr>
              <w:t>1.5%</w:t>
            </w:r>
          </w:p>
        </w:tc>
        <w:tc>
          <w:tcPr>
            <w:tcW w:w="10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6"/>
                <w:szCs w:val="16"/>
                <w:color w:val="131E29"/>
              </w:rPr>
              <w:t>N/A</w:t>
            </w:r>
          </w:p>
        </w:tc>
        <w:tc>
          <w:tcPr>
            <w:tcW w:w="860" w:type="dxa"/>
            <w:vAlign w:val="bottom"/>
          </w:tcPr>
          <w:p>
            <w:pPr>
              <w:jc w:val="right"/>
              <w:ind w:right="59"/>
              <w:spacing w:after="0"/>
              <w:rPr>
                <w:sz w:val="20"/>
                <w:szCs w:val="20"/>
                <w:color w:val="auto"/>
              </w:rPr>
            </w:pPr>
            <w:r>
              <w:rPr>
                <w:rFonts w:ascii="Arial" w:cs="Arial" w:eastAsia="Arial" w:hAnsi="Arial"/>
                <w:sz w:val="16"/>
                <w:szCs w:val="16"/>
                <w:color w:val="131E29"/>
              </w:rPr>
              <w:t>(10) bps</w:t>
            </w:r>
          </w:p>
        </w:tc>
      </w:tr>
      <w:tr>
        <w:trPr>
          <w:trHeight w:val="251"/>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company-operated shops opened</w:t>
            </w:r>
          </w:p>
        </w:tc>
        <w:tc>
          <w:tcPr>
            <w:tcW w:w="820" w:type="dxa"/>
            <w:vAlign w:val="bottom"/>
            <w:shd w:val="clear" w:color="auto" w:fill="D2DCE5"/>
          </w:tcPr>
          <w:p>
            <w:pPr>
              <w:jc w:val="center"/>
              <w:ind w:left="119"/>
              <w:spacing w:after="0"/>
              <w:rPr>
                <w:sz w:val="20"/>
                <w:szCs w:val="20"/>
                <w:color w:val="auto"/>
              </w:rPr>
            </w:pPr>
            <w:r>
              <w:rPr>
                <w:rFonts w:ascii="Arial" w:cs="Arial" w:eastAsia="Arial" w:hAnsi="Arial"/>
                <w:sz w:val="16"/>
                <w:szCs w:val="16"/>
                <w:color w:val="006098"/>
              </w:rPr>
              <w:t>30</w:t>
            </w:r>
          </w:p>
        </w:tc>
        <w:tc>
          <w:tcPr>
            <w:tcW w:w="1280" w:type="dxa"/>
            <w:vAlign w:val="bottom"/>
            <w:gridSpan w:val="3"/>
            <w:shd w:val="clear" w:color="auto" w:fill="D2DCE5"/>
          </w:tcPr>
          <w:p>
            <w:pPr>
              <w:jc w:val="center"/>
              <w:ind w:left="179"/>
              <w:spacing w:after="0"/>
              <w:rPr>
                <w:sz w:val="20"/>
                <w:szCs w:val="20"/>
                <w:color w:val="auto"/>
              </w:rPr>
            </w:pPr>
            <w:r>
              <w:rPr>
                <w:rFonts w:ascii="Arial" w:cs="Arial" w:eastAsia="Arial" w:hAnsi="Arial"/>
                <w:sz w:val="16"/>
                <w:szCs w:val="16"/>
                <w:color w:val="131E29"/>
              </w:rPr>
              <w:t>30</w:t>
            </w:r>
          </w:p>
        </w:tc>
        <w:tc>
          <w:tcPr>
            <w:tcW w:w="100" w:type="dxa"/>
            <w:vAlign w:val="bottom"/>
            <w:shd w:val="clear" w:color="auto" w:fill="D2DCE5"/>
          </w:tcPr>
          <w:p>
            <w:pPr>
              <w:spacing w:after="0"/>
              <w:rPr>
                <w:sz w:val="21"/>
                <w:szCs w:val="21"/>
                <w:color w:val="auto"/>
              </w:rPr>
            </w:pPr>
          </w:p>
        </w:tc>
        <w:tc>
          <w:tcPr>
            <w:tcW w:w="1080" w:type="dxa"/>
            <w:vAlign w:val="bottom"/>
            <w:shd w:val="clear" w:color="auto" w:fill="D2DCE5"/>
          </w:tcPr>
          <w:p>
            <w:pPr>
              <w:jc w:val="center"/>
              <w:ind w:right="79"/>
              <w:spacing w:after="0"/>
              <w:rPr>
                <w:sz w:val="20"/>
                <w:szCs w:val="20"/>
                <w:color w:val="auto"/>
              </w:rPr>
            </w:pPr>
            <w:r>
              <w:rPr>
                <w:rFonts w:ascii="Arial" w:cs="Arial" w:eastAsia="Arial" w:hAnsi="Arial"/>
                <w:sz w:val="16"/>
                <w:szCs w:val="16"/>
                <w:color w:val="131E29"/>
                <w:w w:val="99"/>
              </w:rPr>
              <w:t>—</w:t>
            </w:r>
          </w:p>
        </w:tc>
        <w:tc>
          <w:tcPr>
            <w:tcW w:w="900" w:type="dxa"/>
            <w:vAlign w:val="bottom"/>
            <w:gridSpan w:val="2"/>
            <w:shd w:val="clear" w:color="auto" w:fill="D2DCE5"/>
          </w:tcPr>
          <w:p>
            <w:pPr>
              <w:jc w:val="center"/>
              <w:ind w:right="120"/>
              <w:spacing w:after="0"/>
              <w:rPr>
                <w:sz w:val="20"/>
                <w:szCs w:val="20"/>
                <w:color w:val="auto"/>
              </w:rPr>
            </w:pPr>
            <w:r>
              <w:rPr>
                <w:rFonts w:ascii="Arial" w:cs="Arial" w:eastAsia="Arial" w:hAnsi="Arial"/>
                <w:sz w:val="16"/>
                <w:szCs w:val="16"/>
                <w:color w:val="131E29"/>
                <w:w w:val="99"/>
              </w:rPr>
              <w:t>—%</w:t>
            </w:r>
          </w:p>
        </w:tc>
        <w:tc>
          <w:tcPr>
            <w:tcW w:w="900" w:type="dxa"/>
            <w:vAlign w:val="bottom"/>
            <w:shd w:val="clear" w:color="auto" w:fill="D2DCE5"/>
          </w:tcPr>
          <w:p>
            <w:pPr>
              <w:jc w:val="center"/>
              <w:ind w:left="39"/>
              <w:spacing w:after="0"/>
              <w:rPr>
                <w:sz w:val="20"/>
                <w:szCs w:val="20"/>
                <w:color w:val="auto"/>
              </w:rPr>
            </w:pPr>
            <w:r>
              <w:rPr>
                <w:rFonts w:ascii="Arial" w:cs="Arial" w:eastAsia="Arial" w:hAnsi="Arial"/>
                <w:sz w:val="16"/>
                <w:szCs w:val="16"/>
                <w:color w:val="006098"/>
              </w:rPr>
              <w:t>55</w:t>
            </w:r>
          </w:p>
        </w:tc>
        <w:tc>
          <w:tcPr>
            <w:tcW w:w="1200" w:type="dxa"/>
            <w:vAlign w:val="bottom"/>
            <w:gridSpan w:val="3"/>
            <w:shd w:val="clear" w:color="auto" w:fill="D2DCE5"/>
          </w:tcPr>
          <w:p>
            <w:pPr>
              <w:jc w:val="center"/>
              <w:ind w:left="139"/>
              <w:spacing w:after="0"/>
              <w:rPr>
                <w:sz w:val="20"/>
                <w:szCs w:val="20"/>
                <w:color w:val="auto"/>
              </w:rPr>
            </w:pPr>
            <w:r>
              <w:rPr>
                <w:rFonts w:ascii="Arial" w:cs="Arial" w:eastAsia="Arial" w:hAnsi="Arial"/>
                <w:sz w:val="16"/>
                <w:szCs w:val="16"/>
                <w:color w:val="131E29"/>
              </w:rPr>
              <w:t>70</w:t>
            </w:r>
          </w:p>
        </w:tc>
        <w:tc>
          <w:tcPr>
            <w:tcW w:w="100" w:type="dxa"/>
            <w:vAlign w:val="bottom"/>
            <w:shd w:val="clear" w:color="auto" w:fill="D2DCE5"/>
          </w:tcPr>
          <w:p>
            <w:pPr>
              <w:spacing w:after="0"/>
              <w:rPr>
                <w:sz w:val="21"/>
                <w:szCs w:val="21"/>
                <w:color w:val="auto"/>
              </w:rPr>
            </w:pPr>
          </w:p>
        </w:tc>
        <w:tc>
          <w:tcPr>
            <w:tcW w:w="1040" w:type="dxa"/>
            <w:vAlign w:val="bottom"/>
            <w:shd w:val="clear" w:color="auto" w:fill="D2DCE5"/>
          </w:tcPr>
          <w:p>
            <w:pPr>
              <w:jc w:val="center"/>
              <w:ind w:right="19"/>
              <w:spacing w:after="0"/>
              <w:rPr>
                <w:sz w:val="20"/>
                <w:szCs w:val="20"/>
                <w:color w:val="auto"/>
              </w:rPr>
            </w:pPr>
            <w:r>
              <w:rPr>
                <w:rFonts w:ascii="Arial" w:cs="Arial" w:eastAsia="Arial" w:hAnsi="Arial"/>
                <w:sz w:val="16"/>
                <w:szCs w:val="16"/>
                <w:color w:val="131E29"/>
              </w:rPr>
              <w:t>(15)</w:t>
            </w:r>
          </w:p>
        </w:tc>
        <w:tc>
          <w:tcPr>
            <w:tcW w:w="86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rPr>
              <w:t>(21.4)%</w:t>
            </w:r>
          </w:p>
        </w:tc>
      </w:tr>
      <w:tr>
        <w:trPr>
          <w:trHeight w:val="202"/>
        </w:trPr>
        <w:tc>
          <w:tcPr>
            <w:tcW w:w="2960" w:type="dxa"/>
            <w:vAlign w:val="bottom"/>
            <w:gridSpan w:val="2"/>
          </w:tcPr>
          <w:p>
            <w:pPr>
              <w:ind w:left="20"/>
              <w:spacing w:after="0"/>
              <w:rPr>
                <w:sz w:val="20"/>
                <w:szCs w:val="20"/>
                <w:color w:val="auto"/>
              </w:rPr>
            </w:pPr>
            <w:r>
              <w:rPr>
                <w:rFonts w:ascii="Arial" w:cs="Arial" w:eastAsia="Arial" w:hAnsi="Arial"/>
                <w:sz w:val="16"/>
                <w:szCs w:val="16"/>
                <w:color w:val="131E29"/>
              </w:rPr>
              <w:t>Pre-opening costs per new company-</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2960" w:type="dxa"/>
            <w:vAlign w:val="bottom"/>
            <w:gridSpan w:val="2"/>
          </w:tcPr>
          <w:p>
            <w:pPr>
              <w:ind w:left="20"/>
              <w:spacing w:after="0"/>
              <w:rPr>
                <w:sz w:val="20"/>
                <w:szCs w:val="20"/>
                <w:color w:val="auto"/>
              </w:rPr>
            </w:pPr>
            <w:r>
              <w:rPr>
                <w:rFonts w:ascii="Arial" w:cs="Arial" w:eastAsia="Arial" w:hAnsi="Arial"/>
                <w:sz w:val="16"/>
                <w:szCs w:val="16"/>
                <w:color w:val="131E29"/>
              </w:rPr>
              <w:t>operated shop</w:t>
            </w:r>
          </w:p>
        </w:tc>
        <w:tc>
          <w:tcPr>
            <w:tcW w:w="820" w:type="dxa"/>
            <w:vAlign w:val="bottom"/>
          </w:tcPr>
          <w:p>
            <w:pPr>
              <w:jc w:val="center"/>
              <w:ind w:left="99"/>
              <w:spacing w:after="0"/>
              <w:rPr>
                <w:sz w:val="20"/>
                <w:szCs w:val="20"/>
                <w:color w:val="auto"/>
              </w:rPr>
            </w:pPr>
            <w:r>
              <w:rPr>
                <w:rFonts w:ascii="Arial" w:cs="Arial" w:eastAsia="Arial" w:hAnsi="Arial"/>
                <w:sz w:val="16"/>
                <w:szCs w:val="16"/>
                <w:color w:val="006098"/>
              </w:rPr>
              <w:t>$151</w:t>
            </w:r>
          </w:p>
        </w:tc>
        <w:tc>
          <w:tcPr>
            <w:tcW w:w="1280" w:type="dxa"/>
            <w:vAlign w:val="bottom"/>
            <w:gridSpan w:val="3"/>
          </w:tcPr>
          <w:p>
            <w:pPr>
              <w:jc w:val="center"/>
              <w:ind w:left="199"/>
              <w:spacing w:after="0"/>
              <w:rPr>
                <w:sz w:val="20"/>
                <w:szCs w:val="20"/>
                <w:color w:val="auto"/>
              </w:rPr>
            </w:pPr>
            <w:r>
              <w:rPr>
                <w:rFonts w:ascii="Arial" w:cs="Arial" w:eastAsia="Arial" w:hAnsi="Arial"/>
                <w:sz w:val="16"/>
                <w:szCs w:val="16"/>
                <w:color w:val="131E29"/>
              </w:rPr>
              <w:t>$152</w:t>
            </w:r>
          </w:p>
        </w:tc>
        <w:tc>
          <w:tcPr>
            <w:tcW w:w="100" w:type="dxa"/>
            <w:vAlign w:val="bottom"/>
          </w:tcPr>
          <w:p>
            <w:pPr>
              <w:spacing w:after="0"/>
              <w:rPr>
                <w:sz w:val="19"/>
                <w:szCs w:val="19"/>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color w:val="131E29"/>
                <w:w w:val="98"/>
              </w:rPr>
              <w:t>$(1)</w:t>
            </w:r>
          </w:p>
        </w:tc>
        <w:tc>
          <w:tcPr>
            <w:tcW w:w="820" w:type="dxa"/>
            <w:vAlign w:val="bottom"/>
          </w:tcPr>
          <w:p>
            <w:pPr>
              <w:jc w:val="center"/>
              <w:spacing w:after="0"/>
              <w:rPr>
                <w:sz w:val="20"/>
                <w:szCs w:val="20"/>
                <w:color w:val="auto"/>
              </w:rPr>
            </w:pPr>
            <w:r>
              <w:rPr>
                <w:rFonts w:ascii="Arial" w:cs="Arial" w:eastAsia="Arial" w:hAnsi="Arial"/>
                <w:sz w:val="16"/>
                <w:szCs w:val="16"/>
                <w:color w:val="131E29"/>
              </w:rPr>
              <w:t>(0.7)%</w:t>
            </w:r>
          </w:p>
        </w:tc>
        <w:tc>
          <w:tcPr>
            <w:tcW w:w="80" w:type="dxa"/>
            <w:vAlign w:val="bottom"/>
          </w:tcPr>
          <w:p>
            <w:pPr>
              <w:spacing w:after="0"/>
              <w:rPr>
                <w:sz w:val="19"/>
                <w:szCs w:val="19"/>
                <w:color w:val="auto"/>
              </w:rPr>
            </w:pPr>
          </w:p>
        </w:tc>
        <w:tc>
          <w:tcPr>
            <w:tcW w:w="900" w:type="dxa"/>
            <w:vAlign w:val="bottom"/>
          </w:tcPr>
          <w:p>
            <w:pPr>
              <w:jc w:val="center"/>
              <w:ind w:left="19"/>
              <w:spacing w:after="0"/>
              <w:rPr>
                <w:sz w:val="20"/>
                <w:szCs w:val="20"/>
                <w:color w:val="auto"/>
              </w:rPr>
            </w:pPr>
            <w:r>
              <w:rPr>
                <w:rFonts w:ascii="Arial" w:cs="Arial" w:eastAsia="Arial" w:hAnsi="Arial"/>
                <w:sz w:val="16"/>
                <w:szCs w:val="16"/>
                <w:color w:val="006098"/>
              </w:rPr>
              <w:t>$185</w:t>
            </w:r>
          </w:p>
        </w:tc>
        <w:tc>
          <w:tcPr>
            <w:tcW w:w="1200" w:type="dxa"/>
            <w:vAlign w:val="bottom"/>
            <w:gridSpan w:val="3"/>
          </w:tcPr>
          <w:p>
            <w:pPr>
              <w:jc w:val="center"/>
              <w:ind w:left="119"/>
              <w:spacing w:after="0"/>
              <w:rPr>
                <w:sz w:val="20"/>
                <w:szCs w:val="20"/>
                <w:color w:val="auto"/>
              </w:rPr>
            </w:pPr>
            <w:r>
              <w:rPr>
                <w:rFonts w:ascii="Arial" w:cs="Arial" w:eastAsia="Arial" w:hAnsi="Arial"/>
                <w:sz w:val="16"/>
                <w:szCs w:val="16"/>
                <w:color w:val="131E29"/>
              </w:rPr>
              <w:t>$114</w:t>
            </w:r>
          </w:p>
        </w:tc>
        <w:tc>
          <w:tcPr>
            <w:tcW w:w="100" w:type="dxa"/>
            <w:vAlign w:val="bottom"/>
          </w:tcPr>
          <w:p>
            <w:pPr>
              <w:spacing w:after="0"/>
              <w:rPr>
                <w:sz w:val="19"/>
                <w:szCs w:val="19"/>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131E29"/>
                <w:w w:val="97"/>
              </w:rPr>
              <w:t>$71</w:t>
            </w:r>
          </w:p>
        </w:tc>
        <w:tc>
          <w:tcPr>
            <w:tcW w:w="860" w:type="dxa"/>
            <w:vAlign w:val="bottom"/>
          </w:tcPr>
          <w:p>
            <w:pPr>
              <w:jc w:val="right"/>
              <w:ind w:right="119"/>
              <w:spacing w:after="0"/>
              <w:rPr>
                <w:sz w:val="20"/>
                <w:szCs w:val="20"/>
                <w:color w:val="auto"/>
              </w:rPr>
            </w:pPr>
            <w:r>
              <w:rPr>
                <w:rFonts w:ascii="Arial" w:cs="Arial" w:eastAsia="Arial" w:hAnsi="Arial"/>
                <w:sz w:val="16"/>
                <w:szCs w:val="16"/>
                <w:color w:val="131E29"/>
              </w:rPr>
              <w:t>62.3%</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pre-opening costs was primarily driven by increased travel for setup and training teams, and lease expense related to unopened shops, in the six months ended June 30, 2025 as compared to the same period in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Depreciation and Amortization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D7282F"/>
            </w:tcBorders>
          </w:tcPr>
          <w:p>
            <w:pPr>
              <w:spacing w:after="0"/>
              <w:rPr>
                <w:sz w:val="19"/>
                <w:szCs w:val="19"/>
                <w:color w:val="auto"/>
              </w:rPr>
            </w:pPr>
          </w:p>
        </w:tc>
        <w:tc>
          <w:tcPr>
            <w:tcW w:w="2420" w:type="dxa"/>
            <w:vAlign w:val="bottom"/>
            <w:tcBorders>
              <w:bottom w:val="single" w:sz="8" w:color="D7282F"/>
            </w:tcBorders>
            <w:gridSpan w:val="5"/>
          </w:tcPr>
          <w:p>
            <w:pPr>
              <w:ind w:left="40"/>
              <w:spacing w:after="0"/>
              <w:rPr>
                <w:sz w:val="20"/>
                <w:szCs w:val="20"/>
                <w:color w:val="auto"/>
              </w:rPr>
            </w:pPr>
            <w:r>
              <w:rPr>
                <w:rFonts w:ascii="Arial" w:cs="Arial" w:eastAsia="Arial" w:hAnsi="Arial"/>
                <w:sz w:val="16"/>
                <w:szCs w:val="16"/>
                <w:b w:val="1"/>
                <w:bCs w:val="1"/>
                <w:color w:val="131E29"/>
              </w:rPr>
              <w:t>Three Months Ended June 30,</w:t>
            </w:r>
          </w:p>
        </w:tc>
        <w:tc>
          <w:tcPr>
            <w:tcW w:w="820" w:type="dxa"/>
            <w:vAlign w:val="bottom"/>
            <w:tcBorders>
              <w:bottom w:val="single" w:sz="8" w:color="D7282F"/>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D7282F"/>
            </w:tcBorders>
          </w:tcPr>
          <w:p>
            <w:pPr>
              <w:spacing w:after="0"/>
              <w:rPr>
                <w:sz w:val="19"/>
                <w:szCs w:val="19"/>
                <w:color w:val="auto"/>
              </w:rPr>
            </w:pPr>
          </w:p>
        </w:tc>
        <w:tc>
          <w:tcPr>
            <w:tcW w:w="2340" w:type="dxa"/>
            <w:vAlign w:val="bottom"/>
            <w:tcBorders>
              <w:bottom w:val="single" w:sz="8" w:color="D7282F"/>
            </w:tcBorders>
            <w:gridSpan w:val="5"/>
          </w:tcPr>
          <w:p>
            <w:pPr>
              <w:ind w:left="100"/>
              <w:spacing w:after="0"/>
              <w:rPr>
                <w:sz w:val="20"/>
                <w:szCs w:val="20"/>
                <w:color w:val="auto"/>
              </w:rPr>
            </w:pPr>
            <w:r>
              <w:rPr>
                <w:rFonts w:ascii="Arial" w:cs="Arial" w:eastAsia="Arial" w:hAnsi="Arial"/>
                <w:sz w:val="16"/>
                <w:szCs w:val="16"/>
                <w:b w:val="1"/>
                <w:bCs w:val="1"/>
                <w:color w:val="131E29"/>
              </w:rPr>
              <w:t>Six Months Ended June 30,</w:t>
            </w:r>
          </w:p>
        </w:tc>
        <w:tc>
          <w:tcPr>
            <w:tcW w:w="860" w:type="dxa"/>
            <w:vAlign w:val="bottom"/>
            <w:tcBorders>
              <w:bottom w:val="single" w:sz="8" w:color="D7282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40" w:type="dxa"/>
            <w:vAlign w:val="bottom"/>
            <w:tcBorders>
              <w:bottom w:val="single" w:sz="8" w:color="D7282F"/>
            </w:tcBorders>
          </w:tcPr>
          <w:p>
            <w:pPr>
              <w:jc w:val="center"/>
              <w:ind w:left="79"/>
              <w:spacing w:after="0"/>
              <w:rPr>
                <w:sz w:val="20"/>
                <w:szCs w:val="20"/>
                <w:color w:val="auto"/>
              </w:rPr>
            </w:pPr>
            <w:r>
              <w:rPr>
                <w:rFonts w:ascii="Arial" w:cs="Arial" w:eastAsia="Arial" w:hAnsi="Arial"/>
                <w:sz w:val="16"/>
                <w:szCs w:val="16"/>
                <w:b w:val="1"/>
                <w:bCs w:val="1"/>
                <w:color w:val="131E29"/>
              </w:rPr>
              <w:t>2025</w:t>
            </w:r>
          </w:p>
        </w:tc>
        <w:tc>
          <w:tcPr>
            <w:tcW w:w="16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8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c>
          <w:tcPr>
            <w:tcW w:w="80" w:type="dxa"/>
            <w:vAlign w:val="bottom"/>
            <w:tcBorders>
              <w:bottom w:val="single" w:sz="8" w:color="D2DCE5"/>
            </w:tcBorders>
          </w:tcPr>
          <w:p>
            <w:pPr>
              <w:spacing w:after="0"/>
              <w:rPr>
                <w:sz w:val="20"/>
                <w:szCs w:val="20"/>
                <w:color w:val="auto"/>
              </w:rPr>
            </w:pPr>
          </w:p>
        </w:tc>
        <w:tc>
          <w:tcPr>
            <w:tcW w:w="900" w:type="dxa"/>
            <w:vAlign w:val="bottom"/>
            <w:tcBorders>
              <w:bottom w:val="single" w:sz="8" w:color="D7282F"/>
            </w:tcBorders>
          </w:tcPr>
          <w:p>
            <w:pPr>
              <w:jc w:val="center"/>
              <w:ind w:left="19"/>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c>
          <w:tcPr>
            <w:tcW w:w="0" w:type="dxa"/>
            <w:vAlign w:val="bottom"/>
          </w:tcPr>
          <w:p>
            <w:pPr>
              <w:spacing w:after="0"/>
              <w:rPr>
                <w:sz w:val="1"/>
                <w:szCs w:val="1"/>
                <w:color w:val="auto"/>
              </w:rPr>
            </w:pPr>
          </w:p>
        </w:tc>
      </w:tr>
      <w:tr>
        <w:trPr>
          <w:trHeight w:val="240"/>
        </w:trPr>
        <w:tc>
          <w:tcPr>
            <w:tcW w:w="2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Depreciation and amortization</w:t>
            </w:r>
          </w:p>
        </w:tc>
        <w:tc>
          <w:tcPr>
            <w:tcW w:w="840" w:type="dxa"/>
            <w:vAlign w:val="bottom"/>
            <w:shd w:val="clear" w:color="auto" w:fill="D2DCE5"/>
          </w:tcPr>
          <w:p>
            <w:pPr>
              <w:jc w:val="center"/>
              <w:ind w:left="79"/>
              <w:spacing w:after="0"/>
              <w:rPr>
                <w:sz w:val="20"/>
                <w:szCs w:val="20"/>
                <w:color w:val="auto"/>
              </w:rPr>
            </w:pPr>
            <w:r>
              <w:rPr>
                <w:rFonts w:ascii="Arial" w:cs="Arial" w:eastAsia="Arial" w:hAnsi="Arial"/>
                <w:sz w:val="16"/>
                <w:szCs w:val="16"/>
                <w:color w:val="006098"/>
              </w:rPr>
              <w:t>$25,684</w:t>
            </w:r>
          </w:p>
        </w:tc>
        <w:tc>
          <w:tcPr>
            <w:tcW w:w="1260" w:type="dxa"/>
            <w:vAlign w:val="bottom"/>
            <w:gridSpan w:val="3"/>
            <w:shd w:val="clear" w:color="auto" w:fill="D2DCE5"/>
          </w:tcPr>
          <w:p>
            <w:pPr>
              <w:jc w:val="center"/>
              <w:ind w:left="159"/>
              <w:spacing w:after="0"/>
              <w:rPr>
                <w:sz w:val="20"/>
                <w:szCs w:val="20"/>
                <w:color w:val="auto"/>
              </w:rPr>
            </w:pPr>
            <w:r>
              <w:rPr>
                <w:rFonts w:ascii="Arial" w:cs="Arial" w:eastAsia="Arial" w:hAnsi="Arial"/>
                <w:sz w:val="16"/>
                <w:szCs w:val="16"/>
                <w:color w:val="131E29"/>
              </w:rPr>
              <w:t>$21,038</w:t>
            </w:r>
          </w:p>
        </w:tc>
        <w:tc>
          <w:tcPr>
            <w:tcW w:w="80" w:type="dxa"/>
            <w:vAlign w:val="bottom"/>
            <w:shd w:val="clear" w:color="auto" w:fill="D2DCE5"/>
          </w:tcPr>
          <w:p>
            <w:pPr>
              <w:spacing w:after="0"/>
              <w:rPr>
                <w:sz w:val="20"/>
                <w:szCs w:val="20"/>
                <w:color w:val="auto"/>
              </w:rPr>
            </w:pPr>
          </w:p>
        </w:tc>
        <w:tc>
          <w:tcPr>
            <w:tcW w:w="1080" w:type="dxa"/>
            <w:vAlign w:val="bottom"/>
            <w:shd w:val="clear" w:color="auto" w:fill="D2DCE5"/>
          </w:tcPr>
          <w:p>
            <w:pPr>
              <w:jc w:val="right"/>
              <w:ind w:right="279"/>
              <w:spacing w:after="0"/>
              <w:rPr>
                <w:sz w:val="20"/>
                <w:szCs w:val="20"/>
                <w:color w:val="auto"/>
              </w:rPr>
            </w:pPr>
            <w:r>
              <w:rPr>
                <w:rFonts w:ascii="Arial" w:cs="Arial" w:eastAsia="Arial" w:hAnsi="Arial"/>
                <w:sz w:val="16"/>
                <w:szCs w:val="16"/>
                <w:color w:val="131E29"/>
              </w:rPr>
              <w:t>$4,646</w:t>
            </w:r>
          </w:p>
        </w:tc>
        <w:tc>
          <w:tcPr>
            <w:tcW w:w="820" w:type="dxa"/>
            <w:vAlign w:val="bottom"/>
            <w:shd w:val="clear" w:color="auto" w:fill="D2DCE5"/>
          </w:tcPr>
          <w:p>
            <w:pPr>
              <w:jc w:val="right"/>
              <w:ind w:right="119"/>
              <w:spacing w:after="0"/>
              <w:rPr>
                <w:sz w:val="20"/>
                <w:szCs w:val="20"/>
                <w:color w:val="auto"/>
              </w:rPr>
            </w:pPr>
            <w:r>
              <w:rPr>
                <w:rFonts w:ascii="Arial" w:cs="Arial" w:eastAsia="Arial" w:hAnsi="Arial"/>
                <w:sz w:val="16"/>
                <w:szCs w:val="16"/>
                <w:color w:val="131E29"/>
              </w:rPr>
              <w:t>22.1%</w:t>
            </w:r>
          </w:p>
        </w:tc>
        <w:tc>
          <w:tcPr>
            <w:tcW w:w="80" w:type="dxa"/>
            <w:vAlign w:val="bottom"/>
            <w:shd w:val="clear" w:color="auto" w:fill="D2DCE5"/>
          </w:tcPr>
          <w:p>
            <w:pPr>
              <w:spacing w:after="0"/>
              <w:rPr>
                <w:sz w:val="20"/>
                <w:szCs w:val="20"/>
                <w:color w:val="auto"/>
              </w:rPr>
            </w:pPr>
          </w:p>
        </w:tc>
        <w:tc>
          <w:tcPr>
            <w:tcW w:w="900" w:type="dxa"/>
            <w:vAlign w:val="bottom"/>
            <w:shd w:val="clear" w:color="auto" w:fill="D2DCE5"/>
          </w:tcPr>
          <w:p>
            <w:pPr>
              <w:jc w:val="center"/>
              <w:ind w:left="39"/>
              <w:spacing w:after="0"/>
              <w:rPr>
                <w:sz w:val="20"/>
                <w:szCs w:val="20"/>
                <w:color w:val="auto"/>
              </w:rPr>
            </w:pPr>
            <w:r>
              <w:rPr>
                <w:rFonts w:ascii="Arial" w:cs="Arial" w:eastAsia="Arial" w:hAnsi="Arial"/>
                <w:sz w:val="16"/>
                <w:szCs w:val="16"/>
                <w:color w:val="006098"/>
              </w:rPr>
              <w:t>$50,251</w:t>
            </w:r>
          </w:p>
        </w:tc>
        <w:tc>
          <w:tcPr>
            <w:tcW w:w="1200" w:type="dxa"/>
            <w:vAlign w:val="bottom"/>
            <w:gridSpan w:val="3"/>
            <w:shd w:val="clear" w:color="auto" w:fill="D2DCE5"/>
          </w:tcPr>
          <w:p>
            <w:pPr>
              <w:jc w:val="center"/>
              <w:ind w:left="119"/>
              <w:spacing w:after="0"/>
              <w:rPr>
                <w:sz w:val="20"/>
                <w:szCs w:val="20"/>
                <w:color w:val="auto"/>
              </w:rPr>
            </w:pPr>
            <w:r>
              <w:rPr>
                <w:rFonts w:ascii="Arial" w:cs="Arial" w:eastAsia="Arial" w:hAnsi="Arial"/>
                <w:sz w:val="16"/>
                <w:szCs w:val="16"/>
                <w:color w:val="131E29"/>
              </w:rPr>
              <w:t>$40,732</w:t>
            </w:r>
          </w:p>
        </w:tc>
        <w:tc>
          <w:tcPr>
            <w:tcW w:w="100" w:type="dxa"/>
            <w:vAlign w:val="bottom"/>
            <w:shd w:val="clear" w:color="auto" w:fill="D2DCE5"/>
          </w:tcPr>
          <w:p>
            <w:pPr>
              <w:spacing w:after="0"/>
              <w:rPr>
                <w:sz w:val="20"/>
                <w:szCs w:val="20"/>
                <w:color w:val="auto"/>
              </w:rPr>
            </w:pPr>
          </w:p>
        </w:tc>
        <w:tc>
          <w:tcPr>
            <w:tcW w:w="104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rPr>
              <w:t>$9,519</w:t>
            </w:r>
          </w:p>
        </w:tc>
        <w:tc>
          <w:tcPr>
            <w:tcW w:w="860" w:type="dxa"/>
            <w:vAlign w:val="bottom"/>
            <w:shd w:val="clear" w:color="auto" w:fill="D2DCE5"/>
          </w:tcPr>
          <w:p>
            <w:pPr>
              <w:jc w:val="right"/>
              <w:ind w:right="119"/>
              <w:spacing w:after="0"/>
              <w:rPr>
                <w:sz w:val="20"/>
                <w:szCs w:val="20"/>
                <w:color w:val="auto"/>
              </w:rPr>
            </w:pPr>
            <w:r>
              <w:rPr>
                <w:rFonts w:ascii="Arial" w:cs="Arial" w:eastAsia="Arial" w:hAnsi="Arial"/>
                <w:sz w:val="16"/>
                <w:szCs w:val="16"/>
                <w:color w:val="131E29"/>
              </w:rPr>
              <w:t>23.4%</w:t>
            </w:r>
          </w:p>
        </w:tc>
        <w:tc>
          <w:tcPr>
            <w:tcW w:w="0" w:type="dxa"/>
            <w:vAlign w:val="bottom"/>
          </w:tcPr>
          <w:p>
            <w:pPr>
              <w:spacing w:after="0"/>
              <w:rPr>
                <w:sz w:val="1"/>
                <w:szCs w:val="1"/>
                <w:color w:val="auto"/>
              </w:rPr>
            </w:pPr>
          </w:p>
        </w:tc>
      </w:tr>
      <w:tr>
        <w:trPr>
          <w:trHeight w:val="217"/>
        </w:trPr>
        <w:tc>
          <w:tcPr>
            <w:tcW w:w="298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w:t>
            </w:r>
          </w:p>
        </w:tc>
        <w:tc>
          <w:tcPr>
            <w:tcW w:w="840" w:type="dxa"/>
            <w:vAlign w:val="bottom"/>
            <w:vMerge w:val="restart"/>
          </w:tcPr>
          <w:p>
            <w:pPr>
              <w:jc w:val="center"/>
              <w:ind w:left="79"/>
              <w:spacing w:after="0"/>
              <w:rPr>
                <w:sz w:val="20"/>
                <w:szCs w:val="20"/>
                <w:color w:val="auto"/>
              </w:rPr>
            </w:pPr>
            <w:r>
              <w:rPr>
                <w:rFonts w:ascii="Arial" w:cs="Arial" w:eastAsia="Arial" w:hAnsi="Arial"/>
                <w:sz w:val="16"/>
                <w:szCs w:val="16"/>
                <w:color w:val="006098"/>
                <w:w w:val="98"/>
              </w:rPr>
              <w:t>6.8%</w:t>
            </w:r>
          </w:p>
        </w:tc>
        <w:tc>
          <w:tcPr>
            <w:tcW w:w="1260" w:type="dxa"/>
            <w:vAlign w:val="bottom"/>
            <w:gridSpan w:val="3"/>
            <w:vMerge w:val="restart"/>
          </w:tcPr>
          <w:p>
            <w:pPr>
              <w:jc w:val="center"/>
              <w:ind w:left="159"/>
              <w:spacing w:after="0"/>
              <w:rPr>
                <w:sz w:val="20"/>
                <w:szCs w:val="20"/>
                <w:color w:val="auto"/>
              </w:rPr>
            </w:pPr>
            <w:r>
              <w:rPr>
                <w:rFonts w:ascii="Arial" w:cs="Arial" w:eastAsia="Arial" w:hAnsi="Arial"/>
                <w:sz w:val="16"/>
                <w:szCs w:val="16"/>
                <w:color w:val="131E29"/>
              </w:rPr>
              <w:t>7.1%</w:t>
            </w:r>
          </w:p>
        </w:tc>
        <w:tc>
          <w:tcPr>
            <w:tcW w:w="80" w:type="dxa"/>
            <w:vAlign w:val="bottom"/>
          </w:tcPr>
          <w:p>
            <w:pPr>
              <w:spacing w:after="0"/>
              <w:rPr>
                <w:sz w:val="18"/>
                <w:szCs w:val="18"/>
                <w:color w:val="auto"/>
              </w:rPr>
            </w:pPr>
          </w:p>
        </w:tc>
        <w:tc>
          <w:tcPr>
            <w:tcW w:w="1080" w:type="dxa"/>
            <w:vAlign w:val="bottom"/>
            <w:vMerge w:val="restart"/>
          </w:tcPr>
          <w:p>
            <w:pPr>
              <w:jc w:val="center"/>
              <w:ind w:right="39"/>
              <w:spacing w:after="0"/>
              <w:rPr>
                <w:sz w:val="20"/>
                <w:szCs w:val="20"/>
                <w:color w:val="auto"/>
              </w:rPr>
            </w:pPr>
            <w:r>
              <w:rPr>
                <w:rFonts w:ascii="Arial" w:cs="Arial" w:eastAsia="Arial" w:hAnsi="Arial"/>
                <w:sz w:val="16"/>
                <w:szCs w:val="16"/>
                <w:color w:val="131E29"/>
              </w:rPr>
              <w:t>N/A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131E29"/>
                <w:w w:val="98"/>
              </w:rPr>
              <w:t>(30) bps</w:t>
            </w:r>
          </w:p>
        </w:tc>
        <w:tc>
          <w:tcPr>
            <w:tcW w:w="900" w:type="dxa"/>
            <w:vAlign w:val="bottom"/>
            <w:vMerge w:val="restart"/>
          </w:tcPr>
          <w:p>
            <w:pPr>
              <w:jc w:val="center"/>
              <w:ind w:left="39"/>
              <w:spacing w:after="0"/>
              <w:rPr>
                <w:sz w:val="20"/>
                <w:szCs w:val="20"/>
                <w:color w:val="auto"/>
              </w:rPr>
            </w:pPr>
            <w:r>
              <w:rPr>
                <w:rFonts w:ascii="Arial" w:cs="Arial" w:eastAsia="Arial" w:hAnsi="Arial"/>
                <w:sz w:val="16"/>
                <w:szCs w:val="16"/>
                <w:color w:val="006098"/>
              </w:rPr>
              <w:t>7.1%</w:t>
            </w:r>
          </w:p>
        </w:tc>
        <w:tc>
          <w:tcPr>
            <w:tcW w:w="1200" w:type="dxa"/>
            <w:vAlign w:val="bottom"/>
            <w:gridSpan w:val="3"/>
            <w:vMerge w:val="restart"/>
          </w:tcPr>
          <w:p>
            <w:pPr>
              <w:jc w:val="center"/>
              <w:ind w:left="119"/>
              <w:spacing w:after="0"/>
              <w:rPr>
                <w:sz w:val="20"/>
                <w:szCs w:val="20"/>
                <w:color w:val="auto"/>
              </w:rPr>
            </w:pPr>
            <w:r>
              <w:rPr>
                <w:rFonts w:ascii="Arial" w:cs="Arial" w:eastAsia="Arial" w:hAnsi="Arial"/>
                <w:sz w:val="16"/>
                <w:szCs w:val="16"/>
                <w:color w:val="131E29"/>
                <w:w w:val="98"/>
              </w:rPr>
              <w:t>7.5%</w:t>
            </w:r>
          </w:p>
        </w:tc>
        <w:tc>
          <w:tcPr>
            <w:tcW w:w="100" w:type="dxa"/>
            <w:vAlign w:val="bottom"/>
          </w:tcPr>
          <w:p>
            <w:pPr>
              <w:spacing w:after="0"/>
              <w:rPr>
                <w:sz w:val="18"/>
                <w:szCs w:val="18"/>
                <w:color w:val="auto"/>
              </w:rPr>
            </w:pPr>
          </w:p>
        </w:tc>
        <w:tc>
          <w:tcPr>
            <w:tcW w:w="1040" w:type="dxa"/>
            <w:vAlign w:val="bottom"/>
            <w:vMerge w:val="restart"/>
          </w:tcPr>
          <w:p>
            <w:pPr>
              <w:jc w:val="center"/>
              <w:ind w:right="19"/>
              <w:spacing w:after="0"/>
              <w:rPr>
                <w:sz w:val="20"/>
                <w:szCs w:val="20"/>
                <w:color w:val="auto"/>
              </w:rPr>
            </w:pPr>
            <w:r>
              <w:rPr>
                <w:rFonts w:ascii="Arial" w:cs="Arial" w:eastAsia="Arial" w:hAnsi="Arial"/>
                <w:sz w:val="16"/>
                <w:szCs w:val="16"/>
                <w:color w:val="131E29"/>
                <w:w w:val="97"/>
              </w:rPr>
              <w:t>N/A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131E29"/>
                <w:w w:val="98"/>
              </w:rPr>
              <w:t>(40) bps</w:t>
            </w:r>
          </w:p>
        </w:tc>
        <w:tc>
          <w:tcPr>
            <w:tcW w:w="0" w:type="dxa"/>
            <w:vAlign w:val="bottom"/>
          </w:tcPr>
          <w:p>
            <w:pPr>
              <w:spacing w:after="0"/>
              <w:rPr>
                <w:sz w:val="1"/>
                <w:szCs w:val="1"/>
                <w:color w:val="auto"/>
              </w:rPr>
            </w:pPr>
          </w:p>
        </w:tc>
      </w:tr>
      <w:tr>
        <w:trPr>
          <w:trHeight w:val="213"/>
        </w:trPr>
        <w:tc>
          <w:tcPr>
            <w:tcW w:w="2980" w:type="dxa"/>
            <w:vAlign w:val="bottom"/>
            <w:gridSpan w:val="2"/>
          </w:tcPr>
          <w:p>
            <w:pPr>
              <w:ind w:left="20"/>
              <w:spacing w:after="0"/>
              <w:rPr>
                <w:sz w:val="20"/>
                <w:szCs w:val="20"/>
                <w:color w:val="auto"/>
              </w:rPr>
            </w:pPr>
            <w:r>
              <w:rPr>
                <w:rFonts w:ascii="Arial" w:cs="Arial" w:eastAsia="Arial" w:hAnsi="Arial"/>
                <w:sz w:val="16"/>
                <w:szCs w:val="16"/>
                <w:i w:val="1"/>
                <w:iCs w:val="1"/>
                <w:color w:val="131E29"/>
              </w:rPr>
              <w:t>shops revenues</w:t>
            </w:r>
          </w:p>
        </w:tc>
        <w:tc>
          <w:tcPr>
            <w:tcW w:w="840" w:type="dxa"/>
            <w:vAlign w:val="bottom"/>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depreciation and amortization was primarily driven by the increase in the number of company-operated shops in the current period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098"/>
        </w:rPr>
        <w:t>Company-operated Shops Gross Profit and Contribution</w:t>
      </w:r>
      <w:r>
        <w:rPr>
          <w:rFonts w:ascii="Arial" w:cs="Arial" w:eastAsia="Arial" w:hAnsi="Arial"/>
          <w:sz w:val="22"/>
          <w:szCs w:val="22"/>
          <w:b w:val="1"/>
          <w:bCs w:val="1"/>
          <w:i w:val="1"/>
          <w:iCs w:val="1"/>
          <w:color w:val="006098"/>
          <w:vertAlign w:val="superscript"/>
        </w:rPr>
        <w:t>1</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(dollars in thousands; unaudited)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Company-operated shops gross profit</w:t>
      </w:r>
    </w:p>
    <w:p>
      <w:pPr>
        <w:spacing w:after="0" w:line="61" w:lineRule="exact"/>
        <w:rPr>
          <w:sz w:val="20"/>
          <w:szCs w:val="20"/>
          <w:color w:val="auto"/>
        </w:rPr>
      </w:pPr>
    </w:p>
    <w:p>
      <w:pPr>
        <w:ind w:left="20"/>
        <w:spacing w:after="0" w:line="283" w:lineRule="auto"/>
        <w:rPr>
          <w:sz w:val="20"/>
          <w:szCs w:val="20"/>
          <w:color w:val="auto"/>
        </w:rPr>
      </w:pPr>
      <w:r>
        <w:rPr>
          <w:rFonts w:ascii="Arial" w:cs="Arial" w:eastAsia="Arial" w:hAnsi="Arial"/>
          <w:sz w:val="16"/>
          <w:szCs w:val="16"/>
          <w:i w:val="1"/>
          <w:iCs w:val="1"/>
          <w:color w:val="131E29"/>
        </w:rPr>
        <w:t>As a percentage of company-operated shops revenues</w:t>
      </w:r>
    </w:p>
    <w:p>
      <w:pPr>
        <w:ind w:left="20"/>
        <w:spacing w:after="0" w:line="205" w:lineRule="auto"/>
        <w:rPr>
          <w:sz w:val="20"/>
          <w:szCs w:val="20"/>
          <w:color w:val="auto"/>
        </w:rPr>
      </w:pPr>
      <w:r>
        <w:rPr>
          <w:rFonts w:ascii="Arial" w:cs="Arial" w:eastAsia="Arial" w:hAnsi="Arial"/>
          <w:sz w:val="16"/>
          <w:szCs w:val="16"/>
          <w:color w:val="131E29"/>
        </w:rPr>
        <w:t>Company-operated shops contribution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1</w:t>
      </w:r>
    </w:p>
    <w:p>
      <w:pPr>
        <w:spacing w:after="0" w:line="105" w:lineRule="exact"/>
        <w:rPr>
          <w:sz w:val="20"/>
          <w:szCs w:val="20"/>
          <w:color w:val="auto"/>
        </w:rPr>
      </w:pPr>
    </w:p>
    <w:p>
      <w:pPr>
        <w:ind w:left="20"/>
        <w:spacing w:after="0" w:line="283" w:lineRule="auto"/>
        <w:rPr>
          <w:sz w:val="20"/>
          <w:szCs w:val="20"/>
          <w:color w:val="auto"/>
        </w:rPr>
      </w:pPr>
      <w:r>
        <w:rPr>
          <w:rFonts w:ascii="Arial" w:cs="Arial" w:eastAsia="Arial" w:hAnsi="Arial"/>
          <w:sz w:val="16"/>
          <w:szCs w:val="16"/>
          <w:i w:val="1"/>
          <w:iCs w:val="1"/>
          <w:color w:val="131E29"/>
        </w:rPr>
        <w:t>As a percentage of company-operated shops revenues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131E29"/>
        </w:rPr>
        <w:t>_______________________</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860" w:type="dxa"/>
            <w:vAlign w:val="bottom"/>
            <w:tcBorders>
              <w:bottom w:val="single" w:sz="8" w:color="D7282F"/>
            </w:tcBorders>
          </w:tcPr>
          <w:p>
            <w:pPr>
              <w:spacing w:after="0"/>
              <w:rPr>
                <w:sz w:val="19"/>
                <w:szCs w:val="19"/>
                <w:color w:val="auto"/>
              </w:rPr>
            </w:pPr>
          </w:p>
        </w:tc>
        <w:tc>
          <w:tcPr>
            <w:tcW w:w="2440" w:type="dxa"/>
            <w:vAlign w:val="bottom"/>
            <w:tcBorders>
              <w:bottom w:val="single" w:sz="8" w:color="D7282F"/>
            </w:tcBorders>
            <w:gridSpan w:val="5"/>
          </w:tcPr>
          <w:p>
            <w:pPr>
              <w:ind w:left="40"/>
              <w:spacing w:after="0"/>
              <w:rPr>
                <w:sz w:val="20"/>
                <w:szCs w:val="20"/>
                <w:color w:val="auto"/>
              </w:rPr>
            </w:pPr>
            <w:r>
              <w:rPr>
                <w:rFonts w:ascii="Arial" w:cs="Arial" w:eastAsia="Arial" w:hAnsi="Arial"/>
                <w:sz w:val="16"/>
                <w:szCs w:val="16"/>
                <w:b w:val="1"/>
                <w:bCs w:val="1"/>
                <w:color w:val="131E29"/>
              </w:rPr>
              <w:t>Three Months Ended June 30,</w:t>
            </w:r>
          </w:p>
        </w:tc>
        <w:tc>
          <w:tcPr>
            <w:tcW w:w="780" w:type="dxa"/>
            <w:vAlign w:val="bottom"/>
            <w:tcBorders>
              <w:bottom w:val="single" w:sz="8" w:color="D7282F"/>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D7282F"/>
            </w:tcBorders>
          </w:tcPr>
          <w:p>
            <w:pPr>
              <w:spacing w:after="0"/>
              <w:rPr>
                <w:sz w:val="19"/>
                <w:szCs w:val="19"/>
                <w:color w:val="auto"/>
              </w:rPr>
            </w:pPr>
          </w:p>
        </w:tc>
        <w:tc>
          <w:tcPr>
            <w:tcW w:w="2240" w:type="dxa"/>
            <w:vAlign w:val="bottom"/>
            <w:tcBorders>
              <w:bottom w:val="single" w:sz="8" w:color="D7282F"/>
            </w:tcBorders>
            <w:gridSpan w:val="4"/>
          </w:tcPr>
          <w:p>
            <w:pPr>
              <w:spacing w:after="0"/>
              <w:rPr>
                <w:sz w:val="20"/>
                <w:szCs w:val="20"/>
                <w:color w:val="auto"/>
              </w:rPr>
            </w:pPr>
            <w:r>
              <w:rPr>
                <w:rFonts w:ascii="Arial" w:cs="Arial" w:eastAsia="Arial" w:hAnsi="Arial"/>
                <w:sz w:val="16"/>
                <w:szCs w:val="16"/>
                <w:b w:val="1"/>
                <w:bCs w:val="1"/>
                <w:color w:val="131E29"/>
              </w:rPr>
              <w:t>Six Months Ended June 30,</w:t>
            </w:r>
          </w:p>
        </w:tc>
        <w:tc>
          <w:tcPr>
            <w:tcW w:w="860" w:type="dxa"/>
            <w:vAlign w:val="bottom"/>
            <w:tcBorders>
              <w:bottom w:val="single" w:sz="8" w:color="D7282F"/>
            </w:tcBorders>
          </w:tcPr>
          <w:p>
            <w:pPr>
              <w:spacing w:after="0"/>
              <w:rPr>
                <w:sz w:val="19"/>
                <w:szCs w:val="19"/>
                <w:color w:val="auto"/>
              </w:rPr>
            </w:pPr>
          </w:p>
        </w:tc>
      </w:tr>
      <w:tr>
        <w:trPr>
          <w:trHeight w:val="237"/>
        </w:trPr>
        <w:tc>
          <w:tcPr>
            <w:tcW w:w="860" w:type="dxa"/>
            <w:vAlign w:val="bottom"/>
            <w:tcBorders>
              <w:bottom w:val="single" w:sz="8" w:color="D7282F"/>
            </w:tcBorders>
          </w:tcPr>
          <w:p>
            <w:pPr>
              <w:jc w:val="center"/>
              <w:ind w:left="59"/>
              <w:spacing w:after="0"/>
              <w:rPr>
                <w:sz w:val="20"/>
                <w:szCs w:val="20"/>
                <w:color w:val="auto"/>
              </w:rPr>
            </w:pPr>
            <w:r>
              <w:rPr>
                <w:rFonts w:ascii="Arial" w:cs="Arial" w:eastAsia="Arial" w:hAnsi="Arial"/>
                <w:sz w:val="16"/>
                <w:szCs w:val="16"/>
                <w:b w:val="1"/>
                <w:bCs w:val="1"/>
                <w:color w:val="131E29"/>
              </w:rPr>
              <w:t>2025</w:t>
            </w:r>
          </w:p>
        </w:tc>
        <w:tc>
          <w:tcPr>
            <w:tcW w:w="140" w:type="dxa"/>
            <w:vAlign w:val="bottom"/>
            <w:tcBorders>
              <w:bottom w:val="single" w:sz="8" w:color="D7282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Pr>
          <w:p>
            <w:pPr>
              <w:spacing w:after="0"/>
              <w:rPr>
                <w:sz w:val="20"/>
                <w:szCs w:val="20"/>
                <w:color w:val="auto"/>
              </w:rPr>
            </w:pPr>
          </w:p>
        </w:tc>
        <w:tc>
          <w:tcPr>
            <w:tcW w:w="1880" w:type="dxa"/>
            <w:vAlign w:val="bottom"/>
            <w:tcBorders>
              <w:bottom w:val="single" w:sz="8" w:color="D7282F"/>
            </w:tcBorders>
            <w:gridSpan w:val="2"/>
          </w:tcPr>
          <w:p>
            <w:pPr>
              <w:ind w:left="460"/>
              <w:spacing w:after="0"/>
              <w:rPr>
                <w:sz w:val="20"/>
                <w:szCs w:val="20"/>
                <w:color w:val="auto"/>
              </w:rPr>
            </w:pPr>
            <w:r>
              <w:rPr>
                <w:rFonts w:ascii="Arial" w:cs="Arial" w:eastAsia="Arial" w:hAnsi="Arial"/>
                <w:sz w:val="16"/>
                <w:szCs w:val="16"/>
                <w:b w:val="1"/>
                <w:bCs w:val="1"/>
                <w:color w:val="131E29"/>
              </w:rPr>
              <w:t>2025 v. 2024</w:t>
            </w:r>
          </w:p>
        </w:tc>
        <w:tc>
          <w:tcPr>
            <w:tcW w:w="100" w:type="dxa"/>
            <w:vAlign w:val="bottom"/>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80" w:type="dxa"/>
            <w:vAlign w:val="bottom"/>
          </w:tcPr>
          <w:p>
            <w:pPr>
              <w:spacing w:after="0"/>
              <w:rPr>
                <w:sz w:val="20"/>
                <w:szCs w:val="20"/>
                <w:color w:val="auto"/>
              </w:rPr>
            </w:pPr>
          </w:p>
        </w:tc>
        <w:tc>
          <w:tcPr>
            <w:tcW w:w="102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r>
      <w:tr>
        <w:trPr>
          <w:trHeight w:val="225"/>
        </w:trPr>
        <w:tc>
          <w:tcPr>
            <w:tcW w:w="860" w:type="dxa"/>
            <w:vAlign w:val="bottom"/>
          </w:tcPr>
          <w:p>
            <w:pPr>
              <w:jc w:val="center"/>
              <w:ind w:left="79"/>
              <w:spacing w:after="0"/>
              <w:rPr>
                <w:sz w:val="20"/>
                <w:szCs w:val="20"/>
                <w:color w:val="auto"/>
              </w:rPr>
            </w:pPr>
            <w:r>
              <w:rPr>
                <w:rFonts w:ascii="Arial" w:cs="Arial" w:eastAsia="Arial" w:hAnsi="Arial"/>
                <w:sz w:val="16"/>
                <w:szCs w:val="16"/>
                <w:color w:val="006098"/>
              </w:rPr>
              <w:t>$92,552</w:t>
            </w:r>
          </w:p>
        </w:tc>
        <w:tc>
          <w:tcPr>
            <w:tcW w:w="1240" w:type="dxa"/>
            <w:vAlign w:val="bottom"/>
            <w:gridSpan w:val="3"/>
          </w:tcPr>
          <w:p>
            <w:pPr>
              <w:jc w:val="center"/>
              <w:ind w:left="159"/>
              <w:spacing w:after="0"/>
              <w:rPr>
                <w:sz w:val="20"/>
                <w:szCs w:val="20"/>
                <w:color w:val="auto"/>
              </w:rPr>
            </w:pPr>
            <w:r>
              <w:rPr>
                <w:rFonts w:ascii="Arial" w:cs="Arial" w:eastAsia="Arial" w:hAnsi="Arial"/>
                <w:sz w:val="16"/>
                <w:szCs w:val="16"/>
                <w:color w:val="131E29"/>
              </w:rPr>
              <w:t>$70,016</w:t>
            </w:r>
          </w:p>
        </w:tc>
        <w:tc>
          <w:tcPr>
            <w:tcW w:w="100" w:type="dxa"/>
            <w:vAlign w:val="bottom"/>
          </w:tcPr>
          <w:p>
            <w:pPr>
              <w:spacing w:after="0"/>
              <w:rPr>
                <w:sz w:val="19"/>
                <w:szCs w:val="19"/>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131E29"/>
              </w:rPr>
              <w:t>$22,536</w:t>
            </w:r>
          </w:p>
        </w:tc>
        <w:tc>
          <w:tcPr>
            <w:tcW w:w="780" w:type="dxa"/>
            <w:vAlign w:val="bottom"/>
          </w:tcPr>
          <w:p>
            <w:pPr>
              <w:ind w:left="120"/>
              <w:spacing w:after="0"/>
              <w:rPr>
                <w:sz w:val="20"/>
                <w:szCs w:val="20"/>
                <w:color w:val="auto"/>
              </w:rPr>
            </w:pPr>
            <w:r>
              <w:rPr>
                <w:rFonts w:ascii="Arial" w:cs="Arial" w:eastAsia="Arial" w:hAnsi="Arial"/>
                <w:sz w:val="16"/>
                <w:szCs w:val="16"/>
                <w:color w:val="131E29"/>
              </w:rPr>
              <w:t>32.2%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006098"/>
              </w:rPr>
              <w:t>$164,050</w:t>
            </w:r>
          </w:p>
        </w:tc>
        <w:tc>
          <w:tcPr>
            <w:tcW w:w="1100" w:type="dxa"/>
            <w:vAlign w:val="bottom"/>
            <w:gridSpan w:val="2"/>
          </w:tcPr>
          <w:p>
            <w:pPr>
              <w:jc w:val="center"/>
              <w:ind w:left="19"/>
              <w:spacing w:after="0"/>
              <w:rPr>
                <w:sz w:val="20"/>
                <w:szCs w:val="20"/>
                <w:color w:val="auto"/>
              </w:rPr>
            </w:pPr>
            <w:r>
              <w:rPr>
                <w:rFonts w:ascii="Arial" w:cs="Arial" w:eastAsia="Arial" w:hAnsi="Arial"/>
                <w:sz w:val="16"/>
                <w:szCs w:val="16"/>
                <w:color w:val="131E29"/>
              </w:rPr>
              <w:t>$124,321</w:t>
            </w:r>
          </w:p>
        </w:tc>
        <w:tc>
          <w:tcPr>
            <w:tcW w:w="100" w:type="dxa"/>
            <w:vAlign w:val="bottom"/>
          </w:tcPr>
          <w:p>
            <w:pPr>
              <w:spacing w:after="0"/>
              <w:rPr>
                <w:sz w:val="19"/>
                <w:szCs w:val="19"/>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131E29"/>
              </w:rPr>
              <w:t>$39,729</w:t>
            </w:r>
          </w:p>
        </w:tc>
        <w:tc>
          <w:tcPr>
            <w:tcW w:w="860" w:type="dxa"/>
            <w:vAlign w:val="bottom"/>
          </w:tcPr>
          <w:p>
            <w:pPr>
              <w:jc w:val="center"/>
              <w:spacing w:after="0"/>
              <w:rPr>
                <w:sz w:val="20"/>
                <w:szCs w:val="20"/>
                <w:color w:val="auto"/>
              </w:rPr>
            </w:pPr>
            <w:r>
              <w:rPr>
                <w:rFonts w:ascii="Arial" w:cs="Arial" w:eastAsia="Arial" w:hAnsi="Arial"/>
                <w:sz w:val="16"/>
                <w:szCs w:val="16"/>
                <w:color w:val="131E29"/>
              </w:rPr>
              <w:t>32.0%</w:t>
            </w:r>
          </w:p>
        </w:tc>
      </w:tr>
      <w:tr>
        <w:trPr>
          <w:trHeight w:val="445"/>
        </w:trPr>
        <w:tc>
          <w:tcPr>
            <w:tcW w:w="860" w:type="dxa"/>
            <w:vAlign w:val="bottom"/>
          </w:tcPr>
          <w:p>
            <w:pPr>
              <w:jc w:val="center"/>
              <w:ind w:left="79"/>
              <w:spacing w:after="0"/>
              <w:rPr>
                <w:sz w:val="20"/>
                <w:szCs w:val="20"/>
                <w:color w:val="auto"/>
              </w:rPr>
            </w:pPr>
            <w:r>
              <w:rPr>
                <w:rFonts w:ascii="Arial" w:cs="Arial" w:eastAsia="Arial" w:hAnsi="Arial"/>
                <w:sz w:val="16"/>
                <w:szCs w:val="16"/>
                <w:color w:val="006098"/>
              </w:rPr>
              <w:t>24.3%</w:t>
            </w:r>
          </w:p>
        </w:tc>
        <w:tc>
          <w:tcPr>
            <w:tcW w:w="1240" w:type="dxa"/>
            <w:vAlign w:val="bottom"/>
            <w:gridSpan w:val="3"/>
          </w:tcPr>
          <w:p>
            <w:pPr>
              <w:jc w:val="center"/>
              <w:ind w:left="139"/>
              <w:spacing w:after="0"/>
              <w:rPr>
                <w:sz w:val="20"/>
                <w:szCs w:val="20"/>
                <w:color w:val="auto"/>
              </w:rPr>
            </w:pPr>
            <w:r>
              <w:rPr>
                <w:rFonts w:ascii="Arial" w:cs="Arial" w:eastAsia="Arial" w:hAnsi="Arial"/>
                <w:sz w:val="16"/>
                <w:szCs w:val="16"/>
                <w:color w:val="131E29"/>
              </w:rPr>
              <w:t>23.7%</w:t>
            </w:r>
          </w:p>
        </w:tc>
        <w:tc>
          <w:tcPr>
            <w:tcW w:w="100" w:type="dxa"/>
            <w:vAlign w:val="bottom"/>
          </w:tcPr>
          <w:p>
            <w:pPr>
              <w:spacing w:after="0"/>
              <w:rPr>
                <w:sz w:val="24"/>
                <w:szCs w:val="24"/>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color w:val="131E29"/>
              </w:rPr>
              <w:t>N/A</w:t>
            </w:r>
          </w:p>
        </w:tc>
        <w:tc>
          <w:tcPr>
            <w:tcW w:w="880" w:type="dxa"/>
            <w:vAlign w:val="bottom"/>
            <w:gridSpan w:val="2"/>
          </w:tcPr>
          <w:p>
            <w:pPr>
              <w:ind w:left="120"/>
              <w:spacing w:after="0"/>
              <w:rPr>
                <w:sz w:val="20"/>
                <w:szCs w:val="20"/>
                <w:color w:val="auto"/>
              </w:rPr>
            </w:pPr>
            <w:r>
              <w:rPr>
                <w:rFonts w:ascii="Arial" w:cs="Arial" w:eastAsia="Arial" w:hAnsi="Arial"/>
                <w:sz w:val="16"/>
                <w:szCs w:val="16"/>
                <w:color w:val="131E29"/>
              </w:rPr>
              <w:t>60 bps</w:t>
            </w:r>
          </w:p>
        </w:tc>
        <w:tc>
          <w:tcPr>
            <w:tcW w:w="1000" w:type="dxa"/>
            <w:vAlign w:val="bottom"/>
          </w:tcPr>
          <w:p>
            <w:pPr>
              <w:jc w:val="center"/>
              <w:spacing w:after="0"/>
              <w:rPr>
                <w:sz w:val="20"/>
                <w:szCs w:val="20"/>
                <w:color w:val="auto"/>
              </w:rPr>
            </w:pPr>
            <w:r>
              <w:rPr>
                <w:rFonts w:ascii="Arial" w:cs="Arial" w:eastAsia="Arial" w:hAnsi="Arial"/>
                <w:sz w:val="16"/>
                <w:szCs w:val="16"/>
                <w:color w:val="006098"/>
              </w:rPr>
              <w:t>23.2%</w:t>
            </w:r>
          </w:p>
        </w:tc>
        <w:tc>
          <w:tcPr>
            <w:tcW w:w="1100" w:type="dxa"/>
            <w:vAlign w:val="bottom"/>
            <w:gridSpan w:val="2"/>
          </w:tcPr>
          <w:p>
            <w:pPr>
              <w:jc w:val="center"/>
              <w:spacing w:after="0"/>
              <w:rPr>
                <w:sz w:val="20"/>
                <w:szCs w:val="20"/>
                <w:color w:val="auto"/>
              </w:rPr>
            </w:pPr>
            <w:r>
              <w:rPr>
                <w:rFonts w:ascii="Arial" w:cs="Arial" w:eastAsia="Arial" w:hAnsi="Arial"/>
                <w:sz w:val="16"/>
                <w:szCs w:val="16"/>
                <w:color w:val="131E29"/>
              </w:rPr>
              <w:t>22.9%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131E29"/>
              </w:rPr>
              <w:t>N/A</w:t>
            </w:r>
          </w:p>
        </w:tc>
        <w:tc>
          <w:tcPr>
            <w:tcW w:w="860" w:type="dxa"/>
            <w:vAlign w:val="bottom"/>
          </w:tcPr>
          <w:p>
            <w:pPr>
              <w:jc w:val="center"/>
              <w:spacing w:after="0"/>
              <w:rPr>
                <w:sz w:val="20"/>
                <w:szCs w:val="20"/>
                <w:color w:val="auto"/>
              </w:rPr>
            </w:pPr>
            <w:r>
              <w:rPr>
                <w:rFonts w:ascii="Arial" w:cs="Arial" w:eastAsia="Arial" w:hAnsi="Arial"/>
                <w:sz w:val="16"/>
                <w:szCs w:val="16"/>
                <w:color w:val="131E29"/>
                <w:w w:val="99"/>
              </w:rPr>
              <w:t>30 bps</w:t>
            </w:r>
          </w:p>
        </w:tc>
      </w:tr>
      <w:tr>
        <w:trPr>
          <w:trHeight w:val="378"/>
        </w:trPr>
        <w:tc>
          <w:tcPr>
            <w:tcW w:w="860" w:type="dxa"/>
            <w:vAlign w:val="bottom"/>
          </w:tcPr>
          <w:p>
            <w:pPr>
              <w:jc w:val="center"/>
              <w:ind w:left="79"/>
              <w:spacing w:after="0"/>
              <w:rPr>
                <w:sz w:val="20"/>
                <w:szCs w:val="20"/>
                <w:color w:val="auto"/>
              </w:rPr>
            </w:pPr>
            <w:r>
              <w:rPr>
                <w:rFonts w:ascii="Arial" w:cs="Arial" w:eastAsia="Arial" w:hAnsi="Arial"/>
                <w:sz w:val="16"/>
                <w:szCs w:val="16"/>
                <w:color w:val="006098"/>
                <w:w w:val="98"/>
              </w:rPr>
              <w:t>$118,236</w:t>
            </w:r>
          </w:p>
        </w:tc>
        <w:tc>
          <w:tcPr>
            <w:tcW w:w="1240" w:type="dxa"/>
            <w:vAlign w:val="bottom"/>
            <w:gridSpan w:val="3"/>
          </w:tcPr>
          <w:p>
            <w:pPr>
              <w:jc w:val="center"/>
              <w:ind w:left="159"/>
              <w:spacing w:after="0"/>
              <w:rPr>
                <w:sz w:val="20"/>
                <w:szCs w:val="20"/>
                <w:color w:val="auto"/>
              </w:rPr>
            </w:pPr>
            <w:r>
              <w:rPr>
                <w:rFonts w:ascii="Arial" w:cs="Arial" w:eastAsia="Arial" w:hAnsi="Arial"/>
                <w:sz w:val="16"/>
                <w:szCs w:val="16"/>
                <w:color w:val="131E29"/>
              </w:rPr>
              <w:t>$91,054</w:t>
            </w:r>
          </w:p>
        </w:tc>
        <w:tc>
          <w:tcPr>
            <w:tcW w:w="100" w:type="dxa"/>
            <w:vAlign w:val="bottom"/>
          </w:tcPr>
          <w:p>
            <w:pPr>
              <w:spacing w:after="0"/>
              <w:rPr>
                <w:sz w:val="24"/>
                <w:szCs w:val="24"/>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131E29"/>
              </w:rPr>
              <w:t>$27,182</w:t>
            </w:r>
          </w:p>
        </w:tc>
        <w:tc>
          <w:tcPr>
            <w:tcW w:w="780" w:type="dxa"/>
            <w:vAlign w:val="bottom"/>
          </w:tcPr>
          <w:p>
            <w:pPr>
              <w:ind w:left="120"/>
              <w:spacing w:after="0"/>
              <w:rPr>
                <w:sz w:val="20"/>
                <w:szCs w:val="20"/>
                <w:color w:val="auto"/>
              </w:rPr>
            </w:pPr>
            <w:r>
              <w:rPr>
                <w:rFonts w:ascii="Arial" w:cs="Arial" w:eastAsia="Arial" w:hAnsi="Arial"/>
                <w:sz w:val="16"/>
                <w:szCs w:val="16"/>
                <w:color w:val="131E29"/>
              </w:rPr>
              <w:t>29.9%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006098"/>
              </w:rPr>
              <w:t>$214,301</w:t>
            </w:r>
          </w:p>
        </w:tc>
        <w:tc>
          <w:tcPr>
            <w:tcW w:w="1100" w:type="dxa"/>
            <w:vAlign w:val="bottom"/>
            <w:gridSpan w:val="2"/>
          </w:tcPr>
          <w:p>
            <w:pPr>
              <w:jc w:val="center"/>
              <w:ind w:left="19"/>
              <w:spacing w:after="0"/>
              <w:rPr>
                <w:sz w:val="20"/>
                <w:szCs w:val="20"/>
                <w:color w:val="auto"/>
              </w:rPr>
            </w:pPr>
            <w:r>
              <w:rPr>
                <w:rFonts w:ascii="Arial" w:cs="Arial" w:eastAsia="Arial" w:hAnsi="Arial"/>
                <w:sz w:val="16"/>
                <w:szCs w:val="16"/>
                <w:color w:val="131E29"/>
              </w:rPr>
              <w:t>$165,053</w:t>
            </w:r>
          </w:p>
        </w:tc>
        <w:tc>
          <w:tcPr>
            <w:tcW w:w="100" w:type="dxa"/>
            <w:vAlign w:val="bottom"/>
          </w:tcPr>
          <w:p>
            <w:pPr>
              <w:spacing w:after="0"/>
              <w:rPr>
                <w:sz w:val="24"/>
                <w:szCs w:val="24"/>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131E29"/>
              </w:rPr>
              <w:t>$49,248</w:t>
            </w:r>
          </w:p>
        </w:tc>
        <w:tc>
          <w:tcPr>
            <w:tcW w:w="860" w:type="dxa"/>
            <w:vAlign w:val="bottom"/>
          </w:tcPr>
          <w:p>
            <w:pPr>
              <w:jc w:val="center"/>
              <w:spacing w:after="0"/>
              <w:rPr>
                <w:sz w:val="20"/>
                <w:szCs w:val="20"/>
                <w:color w:val="auto"/>
              </w:rPr>
            </w:pPr>
            <w:r>
              <w:rPr>
                <w:rFonts w:ascii="Arial" w:cs="Arial" w:eastAsia="Arial" w:hAnsi="Arial"/>
                <w:sz w:val="16"/>
                <w:szCs w:val="16"/>
                <w:color w:val="131E29"/>
              </w:rPr>
              <w:t>29.8%</w:t>
            </w:r>
          </w:p>
        </w:tc>
      </w:tr>
      <w:tr>
        <w:trPr>
          <w:trHeight w:val="445"/>
        </w:trPr>
        <w:tc>
          <w:tcPr>
            <w:tcW w:w="860" w:type="dxa"/>
            <w:vAlign w:val="bottom"/>
          </w:tcPr>
          <w:p>
            <w:pPr>
              <w:jc w:val="center"/>
              <w:ind w:left="79"/>
              <w:spacing w:after="0"/>
              <w:rPr>
                <w:sz w:val="20"/>
                <w:szCs w:val="20"/>
                <w:color w:val="auto"/>
              </w:rPr>
            </w:pPr>
            <w:r>
              <w:rPr>
                <w:rFonts w:ascii="Arial" w:cs="Arial" w:eastAsia="Arial" w:hAnsi="Arial"/>
                <w:sz w:val="16"/>
                <w:szCs w:val="16"/>
                <w:color w:val="006098"/>
              </w:rPr>
              <w:t>31.1%</w:t>
            </w:r>
          </w:p>
        </w:tc>
        <w:tc>
          <w:tcPr>
            <w:tcW w:w="1240" w:type="dxa"/>
            <w:vAlign w:val="bottom"/>
            <w:gridSpan w:val="3"/>
          </w:tcPr>
          <w:p>
            <w:pPr>
              <w:jc w:val="center"/>
              <w:ind w:left="139"/>
              <w:spacing w:after="0"/>
              <w:rPr>
                <w:sz w:val="20"/>
                <w:szCs w:val="20"/>
                <w:color w:val="auto"/>
              </w:rPr>
            </w:pPr>
            <w:r>
              <w:rPr>
                <w:rFonts w:ascii="Arial" w:cs="Arial" w:eastAsia="Arial" w:hAnsi="Arial"/>
                <w:sz w:val="16"/>
                <w:szCs w:val="16"/>
                <w:color w:val="131E29"/>
              </w:rPr>
              <w:t>30.8%</w:t>
            </w:r>
          </w:p>
        </w:tc>
        <w:tc>
          <w:tcPr>
            <w:tcW w:w="100" w:type="dxa"/>
            <w:vAlign w:val="bottom"/>
          </w:tcPr>
          <w:p>
            <w:pPr>
              <w:spacing w:after="0"/>
              <w:rPr>
                <w:sz w:val="24"/>
                <w:szCs w:val="24"/>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color w:val="131E29"/>
              </w:rPr>
              <w:t>N/A</w:t>
            </w:r>
          </w:p>
        </w:tc>
        <w:tc>
          <w:tcPr>
            <w:tcW w:w="880" w:type="dxa"/>
            <w:vAlign w:val="bottom"/>
            <w:gridSpan w:val="2"/>
          </w:tcPr>
          <w:p>
            <w:pPr>
              <w:ind w:left="120"/>
              <w:spacing w:after="0"/>
              <w:rPr>
                <w:sz w:val="20"/>
                <w:szCs w:val="20"/>
                <w:color w:val="auto"/>
              </w:rPr>
            </w:pPr>
            <w:r>
              <w:rPr>
                <w:rFonts w:ascii="Arial" w:cs="Arial" w:eastAsia="Arial" w:hAnsi="Arial"/>
                <w:sz w:val="16"/>
                <w:szCs w:val="16"/>
                <w:color w:val="131E29"/>
              </w:rPr>
              <w:t>30 bps</w:t>
            </w:r>
          </w:p>
        </w:tc>
        <w:tc>
          <w:tcPr>
            <w:tcW w:w="1000" w:type="dxa"/>
            <w:vAlign w:val="bottom"/>
          </w:tcPr>
          <w:p>
            <w:pPr>
              <w:jc w:val="center"/>
              <w:spacing w:after="0"/>
              <w:rPr>
                <w:sz w:val="20"/>
                <w:szCs w:val="20"/>
                <w:color w:val="auto"/>
              </w:rPr>
            </w:pPr>
            <w:r>
              <w:rPr>
                <w:rFonts w:ascii="Arial" w:cs="Arial" w:eastAsia="Arial" w:hAnsi="Arial"/>
                <w:sz w:val="16"/>
                <w:szCs w:val="16"/>
                <w:color w:val="006098"/>
              </w:rPr>
              <w:t>30.3%</w:t>
            </w:r>
          </w:p>
        </w:tc>
        <w:tc>
          <w:tcPr>
            <w:tcW w:w="1100" w:type="dxa"/>
            <w:vAlign w:val="bottom"/>
            <w:gridSpan w:val="2"/>
          </w:tcPr>
          <w:p>
            <w:pPr>
              <w:jc w:val="center"/>
              <w:spacing w:after="0"/>
              <w:rPr>
                <w:sz w:val="20"/>
                <w:szCs w:val="20"/>
                <w:color w:val="auto"/>
              </w:rPr>
            </w:pPr>
            <w:r>
              <w:rPr>
                <w:rFonts w:ascii="Arial" w:cs="Arial" w:eastAsia="Arial" w:hAnsi="Arial"/>
                <w:sz w:val="16"/>
                <w:szCs w:val="16"/>
                <w:color w:val="131E29"/>
              </w:rPr>
              <w:t>30.4%</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131E29"/>
              </w:rPr>
              <w:t>N/A</w:t>
            </w:r>
          </w:p>
        </w:tc>
        <w:tc>
          <w:tcPr>
            <w:tcW w:w="860" w:type="dxa"/>
            <w:vAlign w:val="bottom"/>
          </w:tcPr>
          <w:p>
            <w:pPr>
              <w:jc w:val="center"/>
              <w:spacing w:after="0"/>
              <w:rPr>
                <w:sz w:val="20"/>
                <w:szCs w:val="20"/>
                <w:color w:val="auto"/>
              </w:rPr>
            </w:pPr>
            <w:r>
              <w:rPr>
                <w:rFonts w:ascii="Arial" w:cs="Arial" w:eastAsia="Arial" w:hAnsi="Arial"/>
                <w:sz w:val="16"/>
                <w:szCs w:val="16"/>
                <w:color w:val="131E29"/>
              </w:rPr>
              <w:t>(10)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-512445</wp:posOffset>
            </wp:positionV>
            <wp:extent cx="713232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-958215</wp:posOffset>
            </wp:positionV>
            <wp:extent cx="71323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780" w:space="180"/>
            <w:col w:w="8280"/>
          </w:cols>
          <w:pgMar w:left="320" w:top="130" w:right="339" w:bottom="1440" w:gutter="0" w:footer="0" w:header="0"/>
          <w:type w:val="continuous"/>
        </w:sectPr>
      </w:pPr>
    </w:p>
    <w:p>
      <w:pPr>
        <w:ind w:left="180" w:hanging="172"/>
        <w:spacing w:after="0" w:line="305" w:lineRule="auto"/>
        <w:tabs>
          <w:tab w:leader="none" w:pos="174" w:val="left"/>
        </w:tabs>
        <w:numPr>
          <w:ilvl w:val="0"/>
          <w:numId w:val="22"/>
        </w:numPr>
        <w:rPr>
          <w:rFonts w:ascii="Arial" w:cs="Arial" w:eastAsia="Arial" w:hAnsi="Arial"/>
          <w:sz w:val="9"/>
          <w:szCs w:val="9"/>
          <w:color w:val="131E29"/>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2025 v. 2024</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The company-operated shops gross profit margin increased by 60 basis points and 30 basis points for the three and six months ended June 30, 2025, respectively. This was primarily driven by leverage from increased sales in the comparable shop base.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Franchising and Other Segment Performance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D7282F"/>
            </w:tcBorders>
          </w:tcPr>
          <w:p>
            <w:pPr>
              <w:spacing w:after="0"/>
              <w:rPr>
                <w:sz w:val="19"/>
                <w:szCs w:val="19"/>
                <w:color w:val="auto"/>
              </w:rPr>
            </w:pPr>
          </w:p>
        </w:tc>
        <w:tc>
          <w:tcPr>
            <w:tcW w:w="2440" w:type="dxa"/>
            <w:vAlign w:val="bottom"/>
            <w:tcBorders>
              <w:bottom w:val="single" w:sz="8" w:color="D7282F"/>
            </w:tcBorders>
            <w:gridSpan w:val="5"/>
          </w:tcPr>
          <w:p>
            <w:pPr>
              <w:ind w:left="40"/>
              <w:spacing w:after="0"/>
              <w:rPr>
                <w:sz w:val="20"/>
                <w:szCs w:val="20"/>
                <w:color w:val="auto"/>
              </w:rPr>
            </w:pPr>
            <w:r>
              <w:rPr>
                <w:rFonts w:ascii="Arial" w:cs="Arial" w:eastAsia="Arial" w:hAnsi="Arial"/>
                <w:sz w:val="16"/>
                <w:szCs w:val="16"/>
                <w:b w:val="1"/>
                <w:bCs w:val="1"/>
                <w:color w:val="131E29"/>
              </w:rPr>
              <w:t>Three Months Ended June 30,</w:t>
            </w:r>
          </w:p>
        </w:tc>
        <w:tc>
          <w:tcPr>
            <w:tcW w:w="800" w:type="dxa"/>
            <w:vAlign w:val="bottom"/>
            <w:tcBorders>
              <w:bottom w:val="single" w:sz="8" w:color="D7282F"/>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D7282F"/>
            </w:tcBorders>
          </w:tcPr>
          <w:p>
            <w:pPr>
              <w:spacing w:after="0"/>
              <w:rPr>
                <w:sz w:val="19"/>
                <w:szCs w:val="19"/>
                <w:color w:val="auto"/>
              </w:rPr>
            </w:pPr>
          </w:p>
        </w:tc>
        <w:tc>
          <w:tcPr>
            <w:tcW w:w="2340" w:type="dxa"/>
            <w:vAlign w:val="bottom"/>
            <w:tcBorders>
              <w:bottom w:val="single" w:sz="8" w:color="D7282F"/>
            </w:tcBorders>
            <w:gridSpan w:val="5"/>
          </w:tcPr>
          <w:p>
            <w:pPr>
              <w:ind w:left="100"/>
              <w:spacing w:after="0"/>
              <w:rPr>
                <w:sz w:val="20"/>
                <w:szCs w:val="20"/>
                <w:color w:val="auto"/>
              </w:rPr>
            </w:pPr>
            <w:r>
              <w:rPr>
                <w:rFonts w:ascii="Arial" w:cs="Arial" w:eastAsia="Arial" w:hAnsi="Arial"/>
                <w:sz w:val="16"/>
                <w:szCs w:val="16"/>
                <w:b w:val="1"/>
                <w:bCs w:val="1"/>
                <w:color w:val="131E29"/>
              </w:rPr>
              <w:t>Six Months Ended June 30,</w:t>
            </w:r>
          </w:p>
        </w:tc>
        <w:tc>
          <w:tcPr>
            <w:tcW w:w="860" w:type="dxa"/>
            <w:vAlign w:val="bottom"/>
            <w:tcBorders>
              <w:bottom w:val="single" w:sz="8" w:color="D7282F"/>
            </w:tcBorders>
          </w:tcPr>
          <w:p>
            <w:pPr>
              <w:spacing w:after="0"/>
              <w:rPr>
                <w:sz w:val="19"/>
                <w:szCs w:val="19"/>
                <w:color w:val="auto"/>
              </w:rPr>
            </w:pPr>
          </w:p>
        </w:tc>
      </w:tr>
      <w:tr>
        <w:trPr>
          <w:trHeight w:val="237"/>
        </w:trPr>
        <w:tc>
          <w:tcPr>
            <w:tcW w:w="2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40" w:type="dxa"/>
            <w:vAlign w:val="bottom"/>
            <w:tcBorders>
              <w:bottom w:val="single" w:sz="8" w:color="D7282F"/>
            </w:tcBorders>
          </w:tcPr>
          <w:p>
            <w:pPr>
              <w:jc w:val="center"/>
              <w:ind w:left="79"/>
              <w:spacing w:after="0"/>
              <w:rPr>
                <w:sz w:val="20"/>
                <w:szCs w:val="20"/>
                <w:color w:val="auto"/>
              </w:rPr>
            </w:pPr>
            <w:r>
              <w:rPr>
                <w:rFonts w:ascii="Arial" w:cs="Arial" w:eastAsia="Arial" w:hAnsi="Arial"/>
                <w:sz w:val="16"/>
                <w:szCs w:val="16"/>
                <w:b w:val="1"/>
                <w:bCs w:val="1"/>
                <w:color w:val="131E29"/>
              </w:rPr>
              <w:t>2025</w:t>
            </w:r>
          </w:p>
        </w:tc>
        <w:tc>
          <w:tcPr>
            <w:tcW w:w="16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8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c>
          <w:tcPr>
            <w:tcW w:w="80" w:type="dxa"/>
            <w:vAlign w:val="bottom"/>
            <w:tcBorders>
              <w:bottom w:val="single" w:sz="8" w:color="D2DCE5"/>
            </w:tcBorders>
          </w:tcPr>
          <w:p>
            <w:pPr>
              <w:spacing w:after="0"/>
              <w:rPr>
                <w:sz w:val="20"/>
                <w:szCs w:val="20"/>
                <w:color w:val="auto"/>
              </w:rPr>
            </w:pPr>
          </w:p>
        </w:tc>
        <w:tc>
          <w:tcPr>
            <w:tcW w:w="900" w:type="dxa"/>
            <w:vAlign w:val="bottom"/>
            <w:tcBorders>
              <w:bottom w:val="single" w:sz="8" w:color="D7282F"/>
            </w:tcBorders>
          </w:tcPr>
          <w:p>
            <w:pPr>
              <w:jc w:val="center"/>
              <w:ind w:left="19"/>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00" w:type="dxa"/>
            <w:vAlign w:val="bottom"/>
            <w:tcBorders>
              <w:bottom w:val="single" w:sz="8" w:color="D7282F"/>
            </w:tcBorders>
            <w:gridSpan w:val="2"/>
          </w:tcPr>
          <w:p>
            <w:pPr>
              <w:ind w:left="480"/>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Franchising and other revenue</w:t>
            </w:r>
          </w:p>
        </w:tc>
        <w:tc>
          <w:tcPr>
            <w:tcW w:w="840" w:type="dxa"/>
            <w:vAlign w:val="bottom"/>
            <w:shd w:val="clear" w:color="auto" w:fill="D2DCE5"/>
          </w:tcPr>
          <w:p>
            <w:pPr>
              <w:jc w:val="center"/>
              <w:ind w:left="79"/>
              <w:spacing w:after="0"/>
              <w:rPr>
                <w:sz w:val="20"/>
                <w:szCs w:val="20"/>
                <w:color w:val="auto"/>
              </w:rPr>
            </w:pPr>
            <w:r>
              <w:rPr>
                <w:rFonts w:ascii="Arial" w:cs="Arial" w:eastAsia="Arial" w:hAnsi="Arial"/>
                <w:sz w:val="16"/>
                <w:szCs w:val="16"/>
                <w:color w:val="006098"/>
              </w:rPr>
              <w:t>$35,313</w:t>
            </w:r>
          </w:p>
        </w:tc>
        <w:tc>
          <w:tcPr>
            <w:tcW w:w="1260" w:type="dxa"/>
            <w:vAlign w:val="bottom"/>
            <w:gridSpan w:val="3"/>
            <w:shd w:val="clear" w:color="auto" w:fill="D2DCE5"/>
          </w:tcPr>
          <w:p>
            <w:pPr>
              <w:jc w:val="center"/>
              <w:ind w:left="159"/>
              <w:spacing w:after="0"/>
              <w:rPr>
                <w:sz w:val="20"/>
                <w:szCs w:val="20"/>
                <w:color w:val="auto"/>
              </w:rPr>
            </w:pPr>
            <w:r>
              <w:rPr>
                <w:rFonts w:ascii="Arial" w:cs="Arial" w:eastAsia="Arial" w:hAnsi="Arial"/>
                <w:sz w:val="16"/>
                <w:szCs w:val="16"/>
                <w:color w:val="131E29"/>
              </w:rPr>
              <w:t>$29,650</w:t>
            </w:r>
          </w:p>
        </w:tc>
        <w:tc>
          <w:tcPr>
            <w:tcW w:w="80" w:type="dxa"/>
            <w:vAlign w:val="bottom"/>
            <w:shd w:val="clear" w:color="auto" w:fill="D2DCE5"/>
          </w:tcPr>
          <w:p>
            <w:pPr>
              <w:spacing w:after="0"/>
              <w:rPr>
                <w:sz w:val="20"/>
                <w:szCs w:val="20"/>
                <w:color w:val="auto"/>
              </w:rPr>
            </w:pPr>
          </w:p>
        </w:tc>
        <w:tc>
          <w:tcPr>
            <w:tcW w:w="1100" w:type="dxa"/>
            <w:vAlign w:val="bottom"/>
            <w:shd w:val="clear" w:color="auto" w:fill="D2DCE5"/>
          </w:tcPr>
          <w:p>
            <w:pPr>
              <w:jc w:val="center"/>
              <w:ind w:right="79"/>
              <w:spacing w:after="0"/>
              <w:rPr>
                <w:sz w:val="20"/>
                <w:szCs w:val="20"/>
                <w:color w:val="auto"/>
              </w:rPr>
            </w:pPr>
            <w:r>
              <w:rPr>
                <w:rFonts w:ascii="Arial" w:cs="Arial" w:eastAsia="Arial" w:hAnsi="Arial"/>
                <w:sz w:val="16"/>
                <w:szCs w:val="16"/>
                <w:color w:val="131E29"/>
              </w:rPr>
              <w:t>$5,663</w:t>
            </w:r>
          </w:p>
        </w:tc>
        <w:tc>
          <w:tcPr>
            <w:tcW w:w="80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19.1%</w:t>
            </w:r>
          </w:p>
        </w:tc>
        <w:tc>
          <w:tcPr>
            <w:tcW w:w="80" w:type="dxa"/>
            <w:vAlign w:val="bottom"/>
            <w:shd w:val="clear" w:color="auto" w:fill="D2DCE5"/>
          </w:tcPr>
          <w:p>
            <w:pPr>
              <w:spacing w:after="0"/>
              <w:rPr>
                <w:sz w:val="20"/>
                <w:szCs w:val="20"/>
                <w:color w:val="auto"/>
              </w:rPr>
            </w:pPr>
          </w:p>
        </w:tc>
        <w:tc>
          <w:tcPr>
            <w:tcW w:w="900" w:type="dxa"/>
            <w:vAlign w:val="bottom"/>
            <w:shd w:val="clear" w:color="auto" w:fill="D2DCE5"/>
          </w:tcPr>
          <w:p>
            <w:pPr>
              <w:jc w:val="center"/>
              <w:ind w:left="39"/>
              <w:spacing w:after="0"/>
              <w:rPr>
                <w:sz w:val="20"/>
                <w:szCs w:val="20"/>
                <w:color w:val="auto"/>
              </w:rPr>
            </w:pPr>
            <w:r>
              <w:rPr>
                <w:rFonts w:ascii="Arial" w:cs="Arial" w:eastAsia="Arial" w:hAnsi="Arial"/>
                <w:sz w:val="16"/>
                <w:szCs w:val="16"/>
                <w:color w:val="006098"/>
              </w:rPr>
              <w:t>$64,044</w:t>
            </w:r>
          </w:p>
        </w:tc>
        <w:tc>
          <w:tcPr>
            <w:tcW w:w="1200" w:type="dxa"/>
            <w:vAlign w:val="bottom"/>
            <w:gridSpan w:val="3"/>
            <w:shd w:val="clear" w:color="auto" w:fill="D2DCE5"/>
          </w:tcPr>
          <w:p>
            <w:pPr>
              <w:jc w:val="center"/>
              <w:ind w:left="119"/>
              <w:spacing w:after="0"/>
              <w:rPr>
                <w:sz w:val="20"/>
                <w:szCs w:val="20"/>
                <w:color w:val="auto"/>
              </w:rPr>
            </w:pPr>
            <w:r>
              <w:rPr>
                <w:rFonts w:ascii="Arial" w:cs="Arial" w:eastAsia="Arial" w:hAnsi="Arial"/>
                <w:sz w:val="16"/>
                <w:szCs w:val="16"/>
                <w:color w:val="131E29"/>
              </w:rPr>
              <w:t>$56,664</w:t>
            </w:r>
          </w:p>
        </w:tc>
        <w:tc>
          <w:tcPr>
            <w:tcW w:w="100" w:type="dxa"/>
            <w:vAlign w:val="bottom"/>
            <w:shd w:val="clear" w:color="auto" w:fill="D2DCE5"/>
          </w:tcPr>
          <w:p>
            <w:pPr>
              <w:spacing w:after="0"/>
              <w:rPr>
                <w:sz w:val="20"/>
                <w:szCs w:val="20"/>
                <w:color w:val="auto"/>
              </w:rPr>
            </w:pPr>
          </w:p>
        </w:tc>
        <w:tc>
          <w:tcPr>
            <w:tcW w:w="1040" w:type="dxa"/>
            <w:vAlign w:val="bottom"/>
            <w:shd w:val="clear" w:color="auto" w:fill="D2DCE5"/>
          </w:tcPr>
          <w:p>
            <w:pPr>
              <w:jc w:val="center"/>
              <w:ind w:right="19"/>
              <w:spacing w:after="0"/>
              <w:rPr>
                <w:sz w:val="20"/>
                <w:szCs w:val="20"/>
                <w:color w:val="auto"/>
              </w:rPr>
            </w:pPr>
            <w:r>
              <w:rPr>
                <w:rFonts w:ascii="Arial" w:cs="Arial" w:eastAsia="Arial" w:hAnsi="Arial"/>
                <w:sz w:val="16"/>
                <w:szCs w:val="16"/>
                <w:color w:val="131E29"/>
              </w:rPr>
              <w:t>$7,380</w:t>
            </w:r>
          </w:p>
        </w:tc>
        <w:tc>
          <w:tcPr>
            <w:tcW w:w="8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13.0%</w:t>
            </w:r>
          </w:p>
        </w:tc>
      </w:tr>
      <w:tr>
        <w:trPr>
          <w:trHeight w:val="235"/>
        </w:trPr>
        <w:tc>
          <w:tcPr>
            <w:tcW w:w="2980" w:type="dxa"/>
            <w:vAlign w:val="bottom"/>
            <w:gridSpan w:val="2"/>
          </w:tcPr>
          <w:p>
            <w:pPr>
              <w:ind w:left="20"/>
              <w:spacing w:after="0"/>
              <w:rPr>
                <w:sz w:val="20"/>
                <w:szCs w:val="20"/>
                <w:color w:val="auto"/>
              </w:rPr>
            </w:pPr>
            <w:r>
              <w:rPr>
                <w:rFonts w:ascii="Arial" w:cs="Arial" w:eastAsia="Arial" w:hAnsi="Arial"/>
                <w:sz w:val="16"/>
                <w:szCs w:val="16"/>
                <w:color w:val="131E29"/>
              </w:rPr>
              <w:t>Franchising and other gross profit</w:t>
            </w:r>
          </w:p>
        </w:tc>
        <w:tc>
          <w:tcPr>
            <w:tcW w:w="840" w:type="dxa"/>
            <w:vAlign w:val="bottom"/>
          </w:tcPr>
          <w:p>
            <w:pPr>
              <w:jc w:val="center"/>
              <w:ind w:left="79"/>
              <w:spacing w:after="0"/>
              <w:rPr>
                <w:sz w:val="20"/>
                <w:szCs w:val="20"/>
                <w:color w:val="auto"/>
              </w:rPr>
            </w:pPr>
            <w:r>
              <w:rPr>
                <w:rFonts w:ascii="Arial" w:cs="Arial" w:eastAsia="Arial" w:hAnsi="Arial"/>
                <w:sz w:val="16"/>
                <w:szCs w:val="16"/>
                <w:color w:val="006098"/>
              </w:rPr>
              <w:t>$27,492</w:t>
            </w:r>
          </w:p>
        </w:tc>
        <w:tc>
          <w:tcPr>
            <w:tcW w:w="1260" w:type="dxa"/>
            <w:vAlign w:val="bottom"/>
            <w:gridSpan w:val="3"/>
          </w:tcPr>
          <w:p>
            <w:pPr>
              <w:jc w:val="center"/>
              <w:ind w:left="159"/>
              <w:spacing w:after="0"/>
              <w:rPr>
                <w:sz w:val="20"/>
                <w:szCs w:val="20"/>
                <w:color w:val="auto"/>
              </w:rPr>
            </w:pPr>
            <w:r>
              <w:rPr>
                <w:rFonts w:ascii="Arial" w:cs="Arial" w:eastAsia="Arial" w:hAnsi="Arial"/>
                <w:sz w:val="16"/>
                <w:szCs w:val="16"/>
                <w:color w:val="131E29"/>
              </w:rPr>
              <w:t>$20,265</w:t>
            </w:r>
          </w:p>
        </w:tc>
        <w:tc>
          <w:tcPr>
            <w:tcW w:w="80" w:type="dxa"/>
            <w:vAlign w:val="bottom"/>
          </w:tcPr>
          <w:p>
            <w:pPr>
              <w:spacing w:after="0"/>
              <w:rPr>
                <w:sz w:val="20"/>
                <w:szCs w:val="20"/>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131E29"/>
              </w:rPr>
              <w:t>$7,227</w:t>
            </w:r>
          </w:p>
        </w:tc>
        <w:tc>
          <w:tcPr>
            <w:tcW w:w="800" w:type="dxa"/>
            <w:vAlign w:val="bottom"/>
          </w:tcPr>
          <w:p>
            <w:pPr>
              <w:jc w:val="center"/>
              <w:spacing w:after="0"/>
              <w:rPr>
                <w:sz w:val="20"/>
                <w:szCs w:val="20"/>
                <w:color w:val="auto"/>
              </w:rPr>
            </w:pPr>
            <w:r>
              <w:rPr>
                <w:rFonts w:ascii="Arial" w:cs="Arial" w:eastAsia="Arial" w:hAnsi="Arial"/>
                <w:sz w:val="16"/>
                <w:szCs w:val="16"/>
                <w:color w:val="131E29"/>
              </w:rPr>
              <w:t>35.7%</w:t>
            </w:r>
          </w:p>
        </w:tc>
        <w:tc>
          <w:tcPr>
            <w:tcW w:w="80" w:type="dxa"/>
            <w:vAlign w:val="bottom"/>
          </w:tcPr>
          <w:p>
            <w:pPr>
              <w:spacing w:after="0"/>
              <w:rPr>
                <w:sz w:val="20"/>
                <w:szCs w:val="20"/>
                <w:color w:val="auto"/>
              </w:rPr>
            </w:pPr>
          </w:p>
        </w:tc>
        <w:tc>
          <w:tcPr>
            <w:tcW w:w="900" w:type="dxa"/>
            <w:vAlign w:val="bottom"/>
          </w:tcPr>
          <w:p>
            <w:pPr>
              <w:jc w:val="center"/>
              <w:ind w:left="39"/>
              <w:spacing w:after="0"/>
              <w:rPr>
                <w:sz w:val="20"/>
                <w:szCs w:val="20"/>
                <w:color w:val="auto"/>
              </w:rPr>
            </w:pPr>
            <w:r>
              <w:rPr>
                <w:rFonts w:ascii="Arial" w:cs="Arial" w:eastAsia="Arial" w:hAnsi="Arial"/>
                <w:sz w:val="16"/>
                <w:szCs w:val="16"/>
                <w:color w:val="006098"/>
              </w:rPr>
              <w:t>$45,987</w:t>
            </w:r>
          </w:p>
        </w:tc>
        <w:tc>
          <w:tcPr>
            <w:tcW w:w="1200" w:type="dxa"/>
            <w:vAlign w:val="bottom"/>
            <w:gridSpan w:val="3"/>
          </w:tcPr>
          <w:p>
            <w:pPr>
              <w:jc w:val="center"/>
              <w:ind w:left="119"/>
              <w:spacing w:after="0"/>
              <w:rPr>
                <w:sz w:val="20"/>
                <w:szCs w:val="20"/>
                <w:color w:val="auto"/>
              </w:rPr>
            </w:pPr>
            <w:r>
              <w:rPr>
                <w:rFonts w:ascii="Arial" w:cs="Arial" w:eastAsia="Arial" w:hAnsi="Arial"/>
                <w:sz w:val="16"/>
                <w:szCs w:val="16"/>
                <w:color w:val="131E29"/>
              </w:rPr>
              <w:t>$37,809</w:t>
            </w:r>
          </w:p>
        </w:tc>
        <w:tc>
          <w:tcPr>
            <w:tcW w:w="100" w:type="dxa"/>
            <w:vAlign w:val="bottom"/>
          </w:tcPr>
          <w:p>
            <w:pPr>
              <w:spacing w:after="0"/>
              <w:rPr>
                <w:sz w:val="20"/>
                <w:szCs w:val="20"/>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131E29"/>
              </w:rPr>
              <w:t>$8,178</w:t>
            </w:r>
          </w:p>
        </w:tc>
        <w:tc>
          <w:tcPr>
            <w:tcW w:w="860" w:type="dxa"/>
            <w:vAlign w:val="bottom"/>
          </w:tcPr>
          <w:p>
            <w:pPr>
              <w:jc w:val="center"/>
              <w:spacing w:after="0"/>
              <w:rPr>
                <w:sz w:val="20"/>
                <w:szCs w:val="20"/>
                <w:color w:val="auto"/>
              </w:rPr>
            </w:pPr>
            <w:r>
              <w:rPr>
                <w:rFonts w:ascii="Arial" w:cs="Arial" w:eastAsia="Arial" w:hAnsi="Arial"/>
                <w:sz w:val="16"/>
                <w:szCs w:val="16"/>
                <w:color w:val="131E29"/>
              </w:rPr>
              <w:t>21.6%</w:t>
            </w:r>
          </w:p>
        </w:tc>
      </w:tr>
      <w:tr>
        <w:trPr>
          <w:trHeight w:val="212"/>
        </w:trPr>
        <w:tc>
          <w:tcPr>
            <w:tcW w:w="2980" w:type="dxa"/>
            <w:vAlign w:val="bottom"/>
            <w:gridSpan w:val="2"/>
            <w:shd w:val="clear" w:color="auto" w:fill="D2DCE5"/>
          </w:tcPr>
          <w:p>
            <w:pPr>
              <w:ind w:left="20"/>
              <w:spacing w:after="0"/>
              <w:rPr>
                <w:sz w:val="20"/>
                <w:szCs w:val="20"/>
                <w:color w:val="auto"/>
              </w:rPr>
            </w:pPr>
            <w:r>
              <w:rPr>
                <w:rFonts w:ascii="Arial" w:cs="Arial" w:eastAsia="Arial" w:hAnsi="Arial"/>
                <w:sz w:val="16"/>
                <w:szCs w:val="16"/>
                <w:i w:val="1"/>
                <w:iCs w:val="1"/>
                <w:color w:val="131E29"/>
              </w:rPr>
              <w:t>As a percentage of franchising and</w:t>
            </w:r>
          </w:p>
        </w:tc>
        <w:tc>
          <w:tcPr>
            <w:tcW w:w="84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c>
          <w:tcPr>
            <w:tcW w:w="8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9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60" w:type="dxa"/>
            <w:vAlign w:val="bottom"/>
            <w:shd w:val="clear" w:color="auto" w:fill="D2DCE5"/>
          </w:tcPr>
          <w:p>
            <w:pPr>
              <w:spacing w:after="0"/>
              <w:rPr>
                <w:sz w:val="18"/>
                <w:szCs w:val="18"/>
                <w:color w:val="auto"/>
              </w:rPr>
            </w:pPr>
          </w:p>
        </w:tc>
      </w:tr>
      <w:tr>
        <w:trPr>
          <w:trHeight w:val="242"/>
        </w:trPr>
        <w:tc>
          <w:tcPr>
            <w:tcW w:w="2980" w:type="dxa"/>
            <w:vAlign w:val="bottom"/>
            <w:gridSpan w:val="2"/>
            <w:shd w:val="clear" w:color="auto" w:fill="D2DCE5"/>
          </w:tcPr>
          <w:p>
            <w:pPr>
              <w:ind w:left="20"/>
              <w:spacing w:after="0"/>
              <w:rPr>
                <w:sz w:val="20"/>
                <w:szCs w:val="20"/>
                <w:color w:val="auto"/>
              </w:rPr>
            </w:pPr>
            <w:r>
              <w:rPr>
                <w:rFonts w:ascii="Arial" w:cs="Arial" w:eastAsia="Arial" w:hAnsi="Arial"/>
                <w:sz w:val="16"/>
                <w:szCs w:val="16"/>
                <w:i w:val="1"/>
                <w:iCs w:val="1"/>
                <w:color w:val="131E29"/>
              </w:rPr>
              <w:t>other revenue</w:t>
            </w:r>
          </w:p>
        </w:tc>
        <w:tc>
          <w:tcPr>
            <w:tcW w:w="840" w:type="dxa"/>
            <w:vAlign w:val="bottom"/>
            <w:shd w:val="clear" w:color="auto" w:fill="D2DCE5"/>
          </w:tcPr>
          <w:p>
            <w:pPr>
              <w:jc w:val="center"/>
              <w:ind w:left="59"/>
              <w:spacing w:after="0"/>
              <w:rPr>
                <w:sz w:val="20"/>
                <w:szCs w:val="20"/>
                <w:color w:val="auto"/>
              </w:rPr>
            </w:pPr>
            <w:r>
              <w:rPr>
                <w:rFonts w:ascii="Arial" w:cs="Arial" w:eastAsia="Arial" w:hAnsi="Arial"/>
                <w:sz w:val="16"/>
                <w:szCs w:val="16"/>
                <w:color w:val="006098"/>
              </w:rPr>
              <w:t>77.9%</w:t>
            </w:r>
          </w:p>
        </w:tc>
        <w:tc>
          <w:tcPr>
            <w:tcW w:w="1260" w:type="dxa"/>
            <w:vAlign w:val="bottom"/>
            <w:gridSpan w:val="3"/>
            <w:shd w:val="clear" w:color="auto" w:fill="D2DCE5"/>
          </w:tcPr>
          <w:p>
            <w:pPr>
              <w:jc w:val="center"/>
              <w:ind w:left="159"/>
              <w:spacing w:after="0"/>
              <w:rPr>
                <w:sz w:val="20"/>
                <w:szCs w:val="20"/>
                <w:color w:val="auto"/>
              </w:rPr>
            </w:pPr>
            <w:r>
              <w:rPr>
                <w:rFonts w:ascii="Arial" w:cs="Arial" w:eastAsia="Arial" w:hAnsi="Arial"/>
                <w:sz w:val="16"/>
                <w:szCs w:val="16"/>
                <w:color w:val="131E29"/>
              </w:rPr>
              <w:t>68.3%</w:t>
            </w:r>
          </w:p>
        </w:tc>
        <w:tc>
          <w:tcPr>
            <w:tcW w:w="80" w:type="dxa"/>
            <w:vAlign w:val="bottom"/>
            <w:shd w:val="clear" w:color="auto" w:fill="D2DCE5"/>
          </w:tcPr>
          <w:p>
            <w:pPr>
              <w:spacing w:after="0"/>
              <w:rPr>
                <w:sz w:val="21"/>
                <w:szCs w:val="21"/>
                <w:color w:val="auto"/>
              </w:rPr>
            </w:pPr>
          </w:p>
        </w:tc>
        <w:tc>
          <w:tcPr>
            <w:tcW w:w="1100" w:type="dxa"/>
            <w:vAlign w:val="bottom"/>
            <w:shd w:val="clear" w:color="auto" w:fill="D2DCE5"/>
          </w:tcPr>
          <w:p>
            <w:pPr>
              <w:jc w:val="center"/>
              <w:ind w:right="59"/>
              <w:spacing w:after="0"/>
              <w:rPr>
                <w:sz w:val="20"/>
                <w:szCs w:val="20"/>
                <w:color w:val="auto"/>
              </w:rPr>
            </w:pPr>
            <w:r>
              <w:rPr>
                <w:rFonts w:ascii="Arial" w:cs="Arial" w:eastAsia="Arial" w:hAnsi="Arial"/>
                <w:sz w:val="16"/>
                <w:szCs w:val="16"/>
                <w:color w:val="131E29"/>
              </w:rPr>
              <w:t>N/A</w:t>
            </w:r>
          </w:p>
        </w:tc>
        <w:tc>
          <w:tcPr>
            <w:tcW w:w="880" w:type="dxa"/>
            <w:vAlign w:val="bottom"/>
            <w:gridSpan w:val="2"/>
            <w:shd w:val="clear" w:color="auto" w:fill="D2DCE5"/>
          </w:tcPr>
          <w:p>
            <w:pPr>
              <w:jc w:val="center"/>
              <w:ind w:right="140"/>
              <w:spacing w:after="0"/>
              <w:rPr>
                <w:sz w:val="20"/>
                <w:szCs w:val="20"/>
                <w:color w:val="auto"/>
              </w:rPr>
            </w:pPr>
            <w:r>
              <w:rPr>
                <w:rFonts w:ascii="Arial" w:cs="Arial" w:eastAsia="Arial" w:hAnsi="Arial"/>
                <w:sz w:val="16"/>
                <w:szCs w:val="16"/>
                <w:color w:val="131E29"/>
              </w:rPr>
              <w:t>960 bps</w:t>
            </w:r>
          </w:p>
        </w:tc>
        <w:tc>
          <w:tcPr>
            <w:tcW w:w="900" w:type="dxa"/>
            <w:vAlign w:val="bottom"/>
            <w:shd w:val="clear" w:color="auto" w:fill="D2DCE5"/>
          </w:tcPr>
          <w:p>
            <w:pPr>
              <w:jc w:val="center"/>
              <w:ind w:left="39"/>
              <w:spacing w:after="0"/>
              <w:rPr>
                <w:sz w:val="20"/>
                <w:szCs w:val="20"/>
                <w:color w:val="auto"/>
              </w:rPr>
            </w:pPr>
            <w:r>
              <w:rPr>
                <w:rFonts w:ascii="Arial" w:cs="Arial" w:eastAsia="Arial" w:hAnsi="Arial"/>
                <w:sz w:val="16"/>
                <w:szCs w:val="16"/>
                <w:color w:val="006098"/>
              </w:rPr>
              <w:t>71.8%</w:t>
            </w:r>
          </w:p>
        </w:tc>
        <w:tc>
          <w:tcPr>
            <w:tcW w:w="1200" w:type="dxa"/>
            <w:vAlign w:val="bottom"/>
            <w:gridSpan w:val="3"/>
            <w:shd w:val="clear" w:color="auto" w:fill="D2DCE5"/>
          </w:tcPr>
          <w:p>
            <w:pPr>
              <w:jc w:val="center"/>
              <w:ind w:left="139"/>
              <w:spacing w:after="0"/>
              <w:rPr>
                <w:sz w:val="20"/>
                <w:szCs w:val="20"/>
                <w:color w:val="auto"/>
              </w:rPr>
            </w:pPr>
            <w:r>
              <w:rPr>
                <w:rFonts w:ascii="Arial" w:cs="Arial" w:eastAsia="Arial" w:hAnsi="Arial"/>
                <w:sz w:val="16"/>
                <w:szCs w:val="16"/>
                <w:color w:val="131E29"/>
              </w:rPr>
              <w:t>66.7%</w:t>
            </w:r>
          </w:p>
        </w:tc>
        <w:tc>
          <w:tcPr>
            <w:tcW w:w="100" w:type="dxa"/>
            <w:vAlign w:val="bottom"/>
            <w:shd w:val="clear" w:color="auto" w:fill="D2DCE5"/>
          </w:tcPr>
          <w:p>
            <w:pPr>
              <w:spacing w:after="0"/>
              <w:rPr>
                <w:sz w:val="21"/>
                <w:szCs w:val="21"/>
                <w:color w:val="auto"/>
              </w:rPr>
            </w:pPr>
          </w:p>
        </w:tc>
        <w:tc>
          <w:tcPr>
            <w:tcW w:w="1040" w:type="dxa"/>
            <w:vAlign w:val="bottom"/>
            <w:shd w:val="clear" w:color="auto" w:fill="D2DCE5"/>
          </w:tcPr>
          <w:p>
            <w:pPr>
              <w:jc w:val="center"/>
              <w:ind w:right="19"/>
              <w:spacing w:after="0"/>
              <w:rPr>
                <w:sz w:val="20"/>
                <w:szCs w:val="20"/>
                <w:color w:val="auto"/>
              </w:rPr>
            </w:pPr>
            <w:r>
              <w:rPr>
                <w:rFonts w:ascii="Arial" w:cs="Arial" w:eastAsia="Arial" w:hAnsi="Arial"/>
                <w:sz w:val="16"/>
                <w:szCs w:val="16"/>
                <w:color w:val="131E29"/>
                <w:w w:val="97"/>
              </w:rPr>
              <w:t>N/A</w:t>
            </w:r>
          </w:p>
        </w:tc>
        <w:tc>
          <w:tcPr>
            <w:tcW w:w="8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510 bps</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franchising and other gross profit increases for the three and six months ended June 30, 2025 were primarily driven by inventory management and newly opened franchised shops not in the comparable shop base.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Selling, General, and Administrative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D7282F"/>
            </w:tcBorders>
          </w:tcPr>
          <w:p>
            <w:pPr>
              <w:spacing w:after="0"/>
              <w:rPr>
                <w:sz w:val="19"/>
                <w:szCs w:val="19"/>
                <w:color w:val="auto"/>
              </w:rPr>
            </w:pPr>
          </w:p>
        </w:tc>
        <w:tc>
          <w:tcPr>
            <w:tcW w:w="2420" w:type="dxa"/>
            <w:vAlign w:val="bottom"/>
            <w:tcBorders>
              <w:bottom w:val="single" w:sz="8" w:color="D7282F"/>
            </w:tcBorders>
            <w:gridSpan w:val="5"/>
          </w:tcPr>
          <w:p>
            <w:pPr>
              <w:ind w:left="80"/>
              <w:spacing w:after="0"/>
              <w:rPr>
                <w:sz w:val="20"/>
                <w:szCs w:val="20"/>
                <w:color w:val="auto"/>
              </w:rPr>
            </w:pPr>
            <w:r>
              <w:rPr>
                <w:rFonts w:ascii="Arial" w:cs="Arial" w:eastAsia="Arial" w:hAnsi="Arial"/>
                <w:sz w:val="16"/>
                <w:szCs w:val="16"/>
                <w:b w:val="1"/>
                <w:bCs w:val="1"/>
                <w:color w:val="131E29"/>
              </w:rPr>
              <w:t>Three Months Ended June 30,</w:t>
            </w:r>
          </w:p>
        </w:tc>
        <w:tc>
          <w:tcPr>
            <w:tcW w:w="880" w:type="dxa"/>
            <w:vAlign w:val="bottom"/>
            <w:tcBorders>
              <w:bottom w:val="single" w:sz="8" w:color="D7282F"/>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D7282F"/>
            </w:tcBorders>
          </w:tcPr>
          <w:p>
            <w:pPr>
              <w:spacing w:after="0"/>
              <w:rPr>
                <w:sz w:val="19"/>
                <w:szCs w:val="19"/>
                <w:color w:val="auto"/>
              </w:rPr>
            </w:pPr>
          </w:p>
        </w:tc>
        <w:tc>
          <w:tcPr>
            <w:tcW w:w="2260" w:type="dxa"/>
            <w:vAlign w:val="bottom"/>
            <w:tcBorders>
              <w:bottom w:val="single" w:sz="8" w:color="D7282F"/>
            </w:tcBorders>
            <w:gridSpan w:val="4"/>
          </w:tcPr>
          <w:p>
            <w:pPr>
              <w:ind w:left="60"/>
              <w:spacing w:after="0"/>
              <w:rPr>
                <w:sz w:val="20"/>
                <w:szCs w:val="20"/>
                <w:color w:val="auto"/>
              </w:rPr>
            </w:pPr>
            <w:r>
              <w:rPr>
                <w:rFonts w:ascii="Arial" w:cs="Arial" w:eastAsia="Arial" w:hAnsi="Arial"/>
                <w:sz w:val="16"/>
                <w:szCs w:val="16"/>
                <w:b w:val="1"/>
                <w:bCs w:val="1"/>
                <w:color w:val="131E29"/>
              </w:rPr>
              <w:t>Six Months Ended June 30,</w:t>
            </w:r>
          </w:p>
        </w:tc>
        <w:tc>
          <w:tcPr>
            <w:tcW w:w="940" w:type="dxa"/>
            <w:vAlign w:val="bottom"/>
            <w:tcBorders>
              <w:bottom w:val="single" w:sz="8" w:color="D7282F"/>
            </w:tcBorders>
          </w:tcPr>
          <w:p>
            <w:pPr>
              <w:spacing w:after="0"/>
              <w:rPr>
                <w:sz w:val="19"/>
                <w:szCs w:val="19"/>
                <w:color w:val="auto"/>
              </w:rPr>
            </w:pPr>
          </w:p>
        </w:tc>
      </w:tr>
      <w:tr>
        <w:trPr>
          <w:trHeight w:val="236"/>
        </w:trPr>
        <w:tc>
          <w:tcPr>
            <w:tcW w:w="2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60" w:type="dxa"/>
            <w:vAlign w:val="bottom"/>
            <w:tcBorders>
              <w:bottom w:val="single" w:sz="8" w:color="D7282F"/>
            </w:tcBorders>
          </w:tcPr>
          <w:p>
            <w:pPr>
              <w:jc w:val="center"/>
              <w:ind w:left="59"/>
              <w:spacing w:after="0"/>
              <w:rPr>
                <w:sz w:val="20"/>
                <w:szCs w:val="20"/>
                <w:color w:val="auto"/>
              </w:rPr>
            </w:pPr>
            <w:r>
              <w:rPr>
                <w:rFonts w:ascii="Arial" w:cs="Arial" w:eastAsia="Arial" w:hAnsi="Arial"/>
                <w:sz w:val="16"/>
                <w:szCs w:val="16"/>
                <w:b w:val="1"/>
                <w:bCs w:val="1"/>
                <w:color w:val="131E29"/>
              </w:rPr>
              <w:t>2025</w:t>
            </w:r>
          </w:p>
        </w:tc>
        <w:tc>
          <w:tcPr>
            <w:tcW w:w="140" w:type="dxa"/>
            <w:vAlign w:val="bottom"/>
            <w:tcBorders>
              <w:bottom w:val="single" w:sz="8" w:color="D7282F"/>
            </w:tcBorders>
          </w:tcPr>
          <w:p>
            <w:pPr>
              <w:spacing w:after="0"/>
              <w:rPr>
                <w:sz w:val="20"/>
                <w:szCs w:val="20"/>
                <w:color w:val="auto"/>
              </w:rPr>
            </w:pPr>
          </w:p>
        </w:tc>
        <w:tc>
          <w:tcPr>
            <w:tcW w:w="8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80" w:type="dxa"/>
            <w:vAlign w:val="bottom"/>
            <w:tcBorders>
              <w:bottom w:val="single" w:sz="8" w:color="D7282F"/>
            </w:tcBorders>
            <w:gridSpan w:val="2"/>
          </w:tcPr>
          <w:p>
            <w:pPr>
              <w:ind w:left="520"/>
              <w:spacing w:after="0"/>
              <w:rPr>
                <w:sz w:val="20"/>
                <w:szCs w:val="20"/>
                <w:color w:val="auto"/>
              </w:rPr>
            </w:pPr>
            <w:r>
              <w:rPr>
                <w:rFonts w:ascii="Arial" w:cs="Arial" w:eastAsia="Arial" w:hAnsi="Arial"/>
                <w:sz w:val="16"/>
                <w:szCs w:val="16"/>
                <w:b w:val="1"/>
                <w:bCs w:val="1"/>
                <w:color w:val="131E29"/>
              </w:rPr>
              <w:t>2025 v. 2024</w:t>
            </w: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2000" w:type="dxa"/>
            <w:vAlign w:val="bottom"/>
            <w:tcBorders>
              <w:bottom w:val="single" w:sz="8" w:color="D7282F"/>
            </w:tcBorders>
            <w:gridSpan w:val="2"/>
          </w:tcPr>
          <w:p>
            <w:pPr>
              <w:ind w:left="540"/>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Selling, General, and Administrative</w:t>
            </w:r>
          </w:p>
        </w:tc>
        <w:tc>
          <w:tcPr>
            <w:tcW w:w="860" w:type="dxa"/>
            <w:vAlign w:val="bottom"/>
            <w:shd w:val="clear" w:color="auto" w:fill="D2DCE5"/>
          </w:tcPr>
          <w:p>
            <w:pPr>
              <w:jc w:val="center"/>
              <w:ind w:left="39"/>
              <w:spacing w:after="0"/>
              <w:rPr>
                <w:sz w:val="20"/>
                <w:szCs w:val="20"/>
                <w:color w:val="auto"/>
              </w:rPr>
            </w:pPr>
            <w:r>
              <w:rPr>
                <w:rFonts w:ascii="Arial" w:cs="Arial" w:eastAsia="Arial" w:hAnsi="Arial"/>
                <w:sz w:val="16"/>
                <w:szCs w:val="16"/>
                <w:color w:val="006098"/>
              </w:rPr>
              <w:t>$65,385</w:t>
            </w:r>
          </w:p>
        </w:tc>
        <w:tc>
          <w:tcPr>
            <w:tcW w:w="1220" w:type="dxa"/>
            <w:vAlign w:val="bottom"/>
            <w:gridSpan w:val="3"/>
            <w:shd w:val="clear" w:color="auto" w:fill="D2DCE5"/>
          </w:tcPr>
          <w:p>
            <w:pPr>
              <w:jc w:val="center"/>
              <w:ind w:left="159"/>
              <w:spacing w:after="0"/>
              <w:rPr>
                <w:sz w:val="20"/>
                <w:szCs w:val="20"/>
                <w:color w:val="auto"/>
              </w:rPr>
            </w:pPr>
            <w:r>
              <w:rPr>
                <w:rFonts w:ascii="Arial" w:cs="Arial" w:eastAsia="Arial" w:hAnsi="Arial"/>
                <w:sz w:val="16"/>
                <w:szCs w:val="16"/>
                <w:color w:val="131E29"/>
              </w:rPr>
              <w:t>$58,097</w:t>
            </w:r>
          </w:p>
        </w:tc>
        <w:tc>
          <w:tcPr>
            <w:tcW w:w="100" w:type="dxa"/>
            <w:vAlign w:val="bottom"/>
            <w:shd w:val="clear" w:color="auto" w:fill="D2DCE5"/>
          </w:tcPr>
          <w:p>
            <w:pPr>
              <w:spacing w:after="0"/>
              <w:rPr>
                <w:sz w:val="20"/>
                <w:szCs w:val="20"/>
                <w:color w:val="auto"/>
              </w:rPr>
            </w:pPr>
          </w:p>
        </w:tc>
        <w:tc>
          <w:tcPr>
            <w:tcW w:w="1100" w:type="dxa"/>
            <w:vAlign w:val="bottom"/>
            <w:shd w:val="clear" w:color="auto" w:fill="D2DCE5"/>
          </w:tcPr>
          <w:p>
            <w:pPr>
              <w:jc w:val="right"/>
              <w:ind w:right="319"/>
              <w:spacing w:after="0"/>
              <w:rPr>
                <w:sz w:val="20"/>
                <w:szCs w:val="20"/>
                <w:color w:val="auto"/>
              </w:rPr>
            </w:pPr>
            <w:r>
              <w:rPr>
                <w:rFonts w:ascii="Arial" w:cs="Arial" w:eastAsia="Arial" w:hAnsi="Arial"/>
                <w:sz w:val="16"/>
                <w:szCs w:val="16"/>
                <w:color w:val="131E29"/>
              </w:rPr>
              <w:t>$7,288</w:t>
            </w:r>
          </w:p>
        </w:tc>
        <w:tc>
          <w:tcPr>
            <w:tcW w:w="88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rPr>
              <w:t>12.5%</w:t>
            </w:r>
          </w:p>
        </w:tc>
        <w:tc>
          <w:tcPr>
            <w:tcW w:w="100" w:type="dxa"/>
            <w:vAlign w:val="bottom"/>
            <w:shd w:val="clear" w:color="auto" w:fill="D2DCE5"/>
          </w:tcPr>
          <w:p>
            <w:pPr>
              <w:spacing w:after="0"/>
              <w:rPr>
                <w:sz w:val="20"/>
                <w:szCs w:val="20"/>
                <w:color w:val="auto"/>
              </w:rPr>
            </w:pPr>
          </w:p>
        </w:tc>
        <w:tc>
          <w:tcPr>
            <w:tcW w:w="100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$124,306</w:t>
            </w:r>
          </w:p>
        </w:tc>
        <w:tc>
          <w:tcPr>
            <w:tcW w:w="1100" w:type="dxa"/>
            <w:vAlign w:val="bottom"/>
            <w:gridSpan w:val="2"/>
            <w:shd w:val="clear" w:color="auto" w:fill="D2DCE5"/>
          </w:tcPr>
          <w:p>
            <w:pPr>
              <w:jc w:val="center"/>
              <w:ind w:left="19"/>
              <w:spacing w:after="0"/>
              <w:rPr>
                <w:sz w:val="20"/>
                <w:szCs w:val="20"/>
                <w:color w:val="auto"/>
              </w:rPr>
            </w:pPr>
            <w:r>
              <w:rPr>
                <w:rFonts w:ascii="Arial" w:cs="Arial" w:eastAsia="Arial" w:hAnsi="Arial"/>
                <w:sz w:val="16"/>
                <w:szCs w:val="16"/>
                <w:color w:val="131E29"/>
              </w:rPr>
              <w:t>$104,330</w:t>
            </w:r>
          </w:p>
        </w:tc>
        <w:tc>
          <w:tcPr>
            <w:tcW w:w="100" w:type="dxa"/>
            <w:vAlign w:val="bottom"/>
            <w:shd w:val="clear" w:color="auto" w:fill="D2DCE5"/>
          </w:tcPr>
          <w:p>
            <w:pPr>
              <w:spacing w:after="0"/>
              <w:rPr>
                <w:sz w:val="20"/>
                <w:szCs w:val="20"/>
                <w:color w:val="auto"/>
              </w:rPr>
            </w:pPr>
          </w:p>
        </w:tc>
        <w:tc>
          <w:tcPr>
            <w:tcW w:w="106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$19,976</w:t>
            </w:r>
          </w:p>
        </w:tc>
        <w:tc>
          <w:tcPr>
            <w:tcW w:w="94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rPr>
              <w:t>19.1%</w:t>
            </w:r>
          </w:p>
        </w:tc>
      </w:tr>
      <w:tr>
        <w:trPr>
          <w:trHeight w:val="228"/>
        </w:trPr>
        <w:tc>
          <w:tcPr>
            <w:tcW w:w="278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total revenues</w:t>
            </w:r>
          </w:p>
        </w:tc>
        <w:tc>
          <w:tcPr>
            <w:tcW w:w="860" w:type="dxa"/>
            <w:vAlign w:val="bottom"/>
          </w:tcPr>
          <w:p>
            <w:pPr>
              <w:jc w:val="center"/>
              <w:ind w:left="39"/>
              <w:spacing w:after="0"/>
              <w:rPr>
                <w:sz w:val="20"/>
                <w:szCs w:val="20"/>
                <w:color w:val="auto"/>
              </w:rPr>
            </w:pPr>
            <w:r>
              <w:rPr>
                <w:rFonts w:ascii="Arial" w:cs="Arial" w:eastAsia="Arial" w:hAnsi="Arial"/>
                <w:sz w:val="16"/>
                <w:szCs w:val="16"/>
                <w:color w:val="006098"/>
              </w:rPr>
              <w:t>15.7%</w:t>
            </w:r>
          </w:p>
        </w:tc>
        <w:tc>
          <w:tcPr>
            <w:tcW w:w="1220" w:type="dxa"/>
            <w:vAlign w:val="bottom"/>
            <w:gridSpan w:val="3"/>
          </w:tcPr>
          <w:p>
            <w:pPr>
              <w:jc w:val="center"/>
              <w:ind w:left="159"/>
              <w:spacing w:after="0"/>
              <w:rPr>
                <w:sz w:val="20"/>
                <w:szCs w:val="20"/>
                <w:color w:val="auto"/>
              </w:rPr>
            </w:pPr>
            <w:r>
              <w:rPr>
                <w:rFonts w:ascii="Arial" w:cs="Arial" w:eastAsia="Arial" w:hAnsi="Arial"/>
                <w:sz w:val="16"/>
                <w:szCs w:val="16"/>
                <w:color w:val="131E29"/>
              </w:rPr>
              <w:t>17.9%</w:t>
            </w:r>
          </w:p>
        </w:tc>
        <w:tc>
          <w:tcPr>
            <w:tcW w:w="100" w:type="dxa"/>
            <w:vAlign w:val="bottom"/>
          </w:tcPr>
          <w:p>
            <w:pPr>
              <w:spacing w:after="0"/>
              <w:rPr>
                <w:sz w:val="19"/>
                <w:szCs w:val="19"/>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color w:val="131E29"/>
                <w:w w:val="97"/>
              </w:rPr>
              <w:t>N/A</w:t>
            </w: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131E29"/>
              </w:rPr>
              <w:t>(220) bps</w:t>
            </w:r>
          </w:p>
        </w:tc>
        <w:tc>
          <w:tcPr>
            <w:tcW w:w="1000" w:type="dxa"/>
            <w:vAlign w:val="bottom"/>
          </w:tcPr>
          <w:p>
            <w:pPr>
              <w:jc w:val="center"/>
              <w:spacing w:after="0"/>
              <w:rPr>
                <w:sz w:val="20"/>
                <w:szCs w:val="20"/>
                <w:color w:val="auto"/>
              </w:rPr>
            </w:pPr>
            <w:r>
              <w:rPr>
                <w:rFonts w:ascii="Arial" w:cs="Arial" w:eastAsia="Arial" w:hAnsi="Arial"/>
                <w:sz w:val="16"/>
                <w:szCs w:val="16"/>
                <w:color w:val="006098"/>
              </w:rPr>
              <w:t>16.1%</w:t>
            </w:r>
          </w:p>
        </w:tc>
        <w:tc>
          <w:tcPr>
            <w:tcW w:w="1100" w:type="dxa"/>
            <w:vAlign w:val="bottom"/>
            <w:gridSpan w:val="2"/>
          </w:tcPr>
          <w:p>
            <w:pPr>
              <w:jc w:val="center"/>
              <w:ind w:left="39"/>
              <w:spacing w:after="0"/>
              <w:rPr>
                <w:sz w:val="20"/>
                <w:szCs w:val="20"/>
                <w:color w:val="auto"/>
              </w:rPr>
            </w:pPr>
            <w:r>
              <w:rPr>
                <w:rFonts w:ascii="Arial" w:cs="Arial" w:eastAsia="Arial" w:hAnsi="Arial"/>
                <w:sz w:val="16"/>
                <w:szCs w:val="16"/>
                <w:color w:val="131E29"/>
              </w:rPr>
              <w:t>17.4%</w:t>
            </w:r>
          </w:p>
        </w:tc>
        <w:tc>
          <w:tcPr>
            <w:tcW w:w="100" w:type="dxa"/>
            <w:vAlign w:val="bottom"/>
          </w:tcPr>
          <w:p>
            <w:pPr>
              <w:spacing w:after="0"/>
              <w:rPr>
                <w:sz w:val="19"/>
                <w:szCs w:val="19"/>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color w:val="131E29"/>
              </w:rPr>
              <w:t>N/A</w:t>
            </w:r>
          </w:p>
        </w:tc>
        <w:tc>
          <w:tcPr>
            <w:tcW w:w="940" w:type="dxa"/>
            <w:vAlign w:val="bottom"/>
          </w:tcPr>
          <w:p>
            <w:pPr>
              <w:jc w:val="center"/>
              <w:spacing w:after="0"/>
              <w:rPr>
                <w:sz w:val="20"/>
                <w:szCs w:val="20"/>
                <w:color w:val="auto"/>
              </w:rPr>
            </w:pPr>
            <w:r>
              <w:rPr>
                <w:rFonts w:ascii="Arial" w:cs="Arial" w:eastAsia="Arial" w:hAnsi="Arial"/>
                <w:sz w:val="16"/>
                <w:szCs w:val="16"/>
                <w:color w:val="131E29"/>
              </w:rPr>
              <w:t>(130)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2025 v.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 selling, general, and administrative increase of approximately $7.3 million was primarily driven by increased expenses of $8.7 million consisting of investments in human capital to support our revenue growth and higher performance-based compensation; an increase of $1.9 million related to professional fees and technology services to support our growing business; $1.0 million of higher equity-based compensation; and $1.0 million of increased donations related to our philanthropic activities. These increases were partially offset by lower realignment and restructuring charges of $4.9 million and lower nonrecurring equity offering expenses of $0.5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2025 v.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 selling, general, and administrative increase of approximately $20.0 million was primarily driven by increased expenses of $15.4 million consisting of investments in human capital to support our revenue growth and higher performance-based compensation; an increase of $7.5 million related to professional fees and technology services to support our growing business; $3.0 million of higher equity-based compensation; and $1.9 million of increased donations related to our philanthropic activities. These increases were partially offset by lower realignment and restructuring charges of $6.3 million and lower nonrecurring equity offering expenses of $1.5 million.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Other Expense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D7282F"/>
            </w:tcBorders>
          </w:tcPr>
          <w:p>
            <w:pPr>
              <w:spacing w:after="0"/>
              <w:rPr>
                <w:sz w:val="19"/>
                <w:szCs w:val="19"/>
                <w:color w:val="auto"/>
              </w:rPr>
            </w:pPr>
          </w:p>
        </w:tc>
        <w:tc>
          <w:tcPr>
            <w:tcW w:w="3000" w:type="dxa"/>
            <w:vAlign w:val="bottom"/>
            <w:tcBorders>
              <w:bottom w:val="single" w:sz="8" w:color="D7282F"/>
            </w:tcBorders>
            <w:gridSpan w:val="8"/>
          </w:tcPr>
          <w:p>
            <w:pPr>
              <w:ind w:left="660"/>
              <w:spacing w:after="0"/>
              <w:rPr>
                <w:sz w:val="20"/>
                <w:szCs w:val="20"/>
                <w:color w:val="auto"/>
              </w:rPr>
            </w:pPr>
            <w:r>
              <w:rPr>
                <w:rFonts w:ascii="Arial" w:cs="Arial" w:eastAsia="Arial" w:hAnsi="Arial"/>
                <w:sz w:val="16"/>
                <w:szCs w:val="16"/>
                <w:b w:val="1"/>
                <w:bCs w:val="1"/>
                <w:color w:val="131E29"/>
              </w:rPr>
              <w:t>Three Months Ended June 30,</w:t>
            </w:r>
          </w:p>
        </w:tc>
        <w:tc>
          <w:tcPr>
            <w:tcW w:w="840" w:type="dxa"/>
            <w:vAlign w:val="bottom"/>
            <w:tcBorders>
              <w:bottom w:val="single" w:sz="8" w:color="D7282F"/>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D7282F"/>
            </w:tcBorders>
          </w:tcPr>
          <w:p>
            <w:pPr>
              <w:spacing w:after="0"/>
              <w:rPr>
                <w:sz w:val="19"/>
                <w:szCs w:val="19"/>
                <w:color w:val="auto"/>
              </w:rPr>
            </w:pPr>
          </w:p>
        </w:tc>
        <w:tc>
          <w:tcPr>
            <w:tcW w:w="780" w:type="dxa"/>
            <w:vAlign w:val="bottom"/>
            <w:tcBorders>
              <w:bottom w:val="single" w:sz="8" w:color="D7282F"/>
            </w:tcBorders>
          </w:tcPr>
          <w:p>
            <w:pPr>
              <w:spacing w:after="0"/>
              <w:rPr>
                <w:sz w:val="19"/>
                <w:szCs w:val="19"/>
                <w:color w:val="auto"/>
              </w:rPr>
            </w:pPr>
          </w:p>
        </w:tc>
        <w:tc>
          <w:tcPr>
            <w:tcW w:w="2240" w:type="dxa"/>
            <w:vAlign w:val="bottom"/>
            <w:tcBorders>
              <w:bottom w:val="single" w:sz="8" w:color="D7282F"/>
            </w:tcBorders>
            <w:gridSpan w:val="7"/>
          </w:tcPr>
          <w:p>
            <w:pPr>
              <w:spacing w:after="0"/>
              <w:rPr>
                <w:sz w:val="20"/>
                <w:szCs w:val="20"/>
                <w:color w:val="auto"/>
              </w:rPr>
            </w:pPr>
            <w:r>
              <w:rPr>
                <w:rFonts w:ascii="Arial" w:cs="Arial" w:eastAsia="Arial" w:hAnsi="Arial"/>
                <w:sz w:val="16"/>
                <w:szCs w:val="16"/>
                <w:b w:val="1"/>
                <w:bCs w:val="1"/>
                <w:color w:val="131E29"/>
              </w:rPr>
              <w:t>Six Months Ended June 30,</w:t>
            </w:r>
          </w:p>
        </w:tc>
        <w:tc>
          <w:tcPr>
            <w:tcW w:w="860" w:type="dxa"/>
            <w:vAlign w:val="bottom"/>
            <w:tcBorders>
              <w:bottom w:val="single" w:sz="8" w:color="D7282F"/>
            </w:tcBorders>
          </w:tcPr>
          <w:p>
            <w:pPr>
              <w:spacing w:after="0"/>
              <w:rPr>
                <w:sz w:val="19"/>
                <w:szCs w:val="19"/>
                <w:color w:val="auto"/>
              </w:rPr>
            </w:pPr>
          </w:p>
        </w:tc>
      </w:tr>
      <w:tr>
        <w:trPr>
          <w:trHeight w:val="237"/>
        </w:trPr>
        <w:tc>
          <w:tcPr>
            <w:tcW w:w="2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239"/>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20"/>
                <w:szCs w:val="20"/>
                <w:color w:val="auto"/>
              </w:rPr>
            </w:pPr>
          </w:p>
        </w:tc>
        <w:tc>
          <w:tcPr>
            <w:tcW w:w="20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right"/>
              <w:ind w:right="239"/>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20" w:type="dxa"/>
            <w:vAlign w:val="bottom"/>
            <w:tcBorders>
              <w:bottom w:val="single" w:sz="8" w:color="D7282F"/>
            </w:tcBorders>
            <w:gridSpan w:val="3"/>
          </w:tcPr>
          <w:p>
            <w:pPr>
              <w:ind w:left="220"/>
              <w:spacing w:after="0"/>
              <w:rPr>
                <w:sz w:val="20"/>
                <w:szCs w:val="20"/>
                <w:color w:val="auto"/>
              </w:rPr>
            </w:pPr>
            <w:r>
              <w:rPr>
                <w:rFonts w:ascii="Arial" w:cs="Arial" w:eastAsia="Arial" w:hAnsi="Arial"/>
                <w:sz w:val="16"/>
                <w:szCs w:val="16"/>
                <w:b w:val="1"/>
                <w:bCs w:val="1"/>
                <w:color w:val="131E29"/>
              </w:rPr>
              <w:t>2025 v. 2024</w:t>
            </w:r>
          </w:p>
        </w:tc>
        <w:tc>
          <w:tcPr>
            <w:tcW w:w="100" w:type="dxa"/>
            <w:vAlign w:val="bottom"/>
            <w:tcBorders>
              <w:bottom w:val="single" w:sz="8" w:color="D2DCE5"/>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239"/>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right"/>
              <w:ind w:right="259"/>
              <w:spacing w:after="0"/>
              <w:rPr>
                <w:sz w:val="20"/>
                <w:szCs w:val="20"/>
                <w:color w:val="auto"/>
              </w:rPr>
            </w:pPr>
            <w:r>
              <w:rPr>
                <w:rFonts w:ascii="Arial" w:cs="Arial" w:eastAsia="Arial" w:hAnsi="Arial"/>
                <w:sz w:val="16"/>
                <w:szCs w:val="16"/>
                <w:b w:val="1"/>
                <w:bCs w:val="1"/>
                <w:color w:val="131E29"/>
              </w:rPr>
              <w:t>2024</w:t>
            </w:r>
          </w:p>
        </w:tc>
        <w:tc>
          <w:tcPr>
            <w:tcW w:w="80" w:type="dxa"/>
            <w:vAlign w:val="bottom"/>
            <w:tcBorders>
              <w:bottom w:val="single" w:sz="8" w:color="D2DCE5"/>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640" w:type="dxa"/>
            <w:vAlign w:val="bottom"/>
            <w:tcBorders>
              <w:bottom w:val="single" w:sz="8" w:color="D7282F"/>
            </w:tcBorders>
            <w:gridSpan w:val="3"/>
          </w:tcPr>
          <w:p>
            <w:pPr>
              <w:ind w:left="220"/>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Interest expense on finance leases</w:t>
            </w:r>
          </w:p>
        </w:tc>
        <w:tc>
          <w:tcPr>
            <w:tcW w:w="22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006098"/>
                <w:w w:val="8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(5,729)</w:t>
            </w:r>
          </w:p>
        </w:tc>
        <w:tc>
          <w:tcPr>
            <w:tcW w:w="100" w:type="dxa"/>
            <w:vAlign w:val="bottom"/>
            <w:shd w:val="clear" w:color="auto" w:fill="D2DCE5"/>
          </w:tcPr>
          <w:p>
            <w:pPr>
              <w:spacing w:after="0"/>
              <w:rPr>
                <w:sz w:val="20"/>
                <w:szCs w:val="20"/>
                <w:color w:val="auto"/>
              </w:rPr>
            </w:pPr>
          </w:p>
        </w:tc>
        <w:tc>
          <w:tcPr>
            <w:tcW w:w="200" w:type="dxa"/>
            <w:vAlign w:val="bottom"/>
            <w:shd w:val="clear" w:color="auto" w:fill="D2DCE5"/>
          </w:tcPr>
          <w:p>
            <w:pPr>
              <w:jc w:val="right"/>
              <w:ind w:right="19"/>
              <w:spacing w:after="0"/>
              <w:rPr>
                <w:sz w:val="20"/>
                <w:szCs w:val="20"/>
                <w:color w:val="auto"/>
              </w:rPr>
            </w:pPr>
            <w:r>
              <w:rPr>
                <w:rFonts w:ascii="Arial" w:cs="Arial" w:eastAsia="Arial" w:hAnsi="Arial"/>
                <w:sz w:val="16"/>
                <w:szCs w:val="16"/>
                <w:color w:val="131E29"/>
                <w:w w:val="8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(5,506)</w:t>
            </w: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w w:val="8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(223)</w:t>
            </w:r>
          </w:p>
        </w:tc>
        <w:tc>
          <w:tcPr>
            <w:tcW w:w="100" w:type="dxa"/>
            <w:vAlign w:val="bottom"/>
            <w:shd w:val="clear" w:color="auto" w:fill="D2DCE5"/>
          </w:tcPr>
          <w:p>
            <w:pPr>
              <w:spacing w:after="0"/>
              <w:rPr>
                <w:sz w:val="20"/>
                <w:szCs w:val="20"/>
                <w:color w:val="auto"/>
              </w:rPr>
            </w:pPr>
          </w:p>
        </w:tc>
        <w:tc>
          <w:tcPr>
            <w:tcW w:w="84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4.1%</w:t>
            </w: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006098"/>
                <w:w w:val="8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(11,338)</w:t>
            </w:r>
          </w:p>
        </w:tc>
        <w:tc>
          <w:tcPr>
            <w:tcW w:w="320" w:type="dxa"/>
            <w:vAlign w:val="bottom"/>
            <w:gridSpan w:val="2"/>
            <w:shd w:val="clear" w:color="auto" w:fill="D2DCE5"/>
          </w:tcPr>
          <w:p>
            <w:pPr>
              <w:jc w:val="right"/>
              <w:ind w:right="100"/>
              <w:spacing w:after="0"/>
              <w:rPr>
                <w:sz w:val="20"/>
                <w:szCs w:val="20"/>
                <w:color w:val="auto"/>
              </w:rPr>
            </w:pPr>
            <w:r>
              <w:rPr>
                <w:rFonts w:ascii="Arial" w:cs="Arial" w:eastAsia="Arial" w:hAnsi="Arial"/>
                <w:sz w:val="16"/>
                <w:szCs w:val="16"/>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(10,958)</w:t>
            </w:r>
          </w:p>
        </w:tc>
        <w:tc>
          <w:tcPr>
            <w:tcW w:w="80" w:type="dxa"/>
            <w:vAlign w:val="bottom"/>
            <w:shd w:val="clear" w:color="auto" w:fill="D2DCE5"/>
          </w:tcPr>
          <w:p>
            <w:pPr>
              <w:spacing w:after="0"/>
              <w:rPr>
                <w:sz w:val="20"/>
                <w:szCs w:val="20"/>
                <w:color w:val="auto"/>
              </w:rPr>
            </w:pPr>
          </w:p>
        </w:tc>
        <w:tc>
          <w:tcPr>
            <w:tcW w:w="26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(380)</w:t>
            </w:r>
          </w:p>
        </w:tc>
        <w:tc>
          <w:tcPr>
            <w:tcW w:w="80" w:type="dxa"/>
            <w:vAlign w:val="bottom"/>
            <w:shd w:val="clear" w:color="auto" w:fill="D2DCE5"/>
          </w:tcPr>
          <w:p>
            <w:pPr>
              <w:spacing w:after="0"/>
              <w:rPr>
                <w:sz w:val="20"/>
                <w:szCs w:val="20"/>
                <w:color w:val="auto"/>
              </w:rPr>
            </w:pPr>
          </w:p>
        </w:tc>
        <w:tc>
          <w:tcPr>
            <w:tcW w:w="86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3.5%</w:t>
            </w:r>
          </w:p>
        </w:tc>
      </w:tr>
      <w:tr>
        <w:trPr>
          <w:trHeight w:val="236"/>
        </w:trPr>
        <w:tc>
          <w:tcPr>
            <w:tcW w:w="2980" w:type="dxa"/>
            <w:vAlign w:val="bottom"/>
            <w:tcBorders>
              <w:bottom w:val="single" w:sz="8" w:color="D2DCE5"/>
            </w:tcBorders>
            <w:gridSpan w:val="2"/>
          </w:tcPr>
          <w:p>
            <w:pPr>
              <w:ind w:left="20"/>
              <w:spacing w:after="0"/>
              <w:rPr>
                <w:sz w:val="20"/>
                <w:szCs w:val="20"/>
                <w:color w:val="auto"/>
              </w:rPr>
            </w:pPr>
            <w:r>
              <w:rPr>
                <w:rFonts w:ascii="Arial" w:cs="Arial" w:eastAsia="Arial" w:hAnsi="Arial"/>
                <w:sz w:val="16"/>
                <w:szCs w:val="16"/>
                <w:color w:val="131E29"/>
              </w:rPr>
              <w:t>Other interest expense, net</w:t>
            </w:r>
          </w:p>
        </w:tc>
        <w:tc>
          <w:tcPr>
            <w:tcW w:w="220" w:type="dxa"/>
            <w:vAlign w:val="bottom"/>
            <w:tcBorders>
              <w:bottom w:val="single" w:sz="8" w:color="131E29"/>
            </w:tcBorders>
          </w:tcPr>
          <w:p>
            <w:pPr>
              <w:spacing w:after="0"/>
              <w:rPr>
                <w:sz w:val="20"/>
                <w:szCs w:val="20"/>
                <w:color w:val="auto"/>
              </w:rPr>
            </w:pPr>
          </w:p>
        </w:tc>
        <w:tc>
          <w:tcPr>
            <w:tcW w:w="78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006098"/>
              </w:rPr>
              <w:t>(1,347)</w:t>
            </w:r>
          </w:p>
        </w:tc>
        <w:tc>
          <w:tcPr>
            <w:tcW w:w="100" w:type="dxa"/>
            <w:vAlign w:val="bottom"/>
            <w:tcBorders>
              <w:bottom w:val="single" w:sz="8" w:color="D2DCE5"/>
            </w:tcBorders>
          </w:tcPr>
          <w:p>
            <w:pPr>
              <w:spacing w:after="0"/>
              <w:rPr>
                <w:sz w:val="20"/>
                <w:szCs w:val="20"/>
                <w:color w:val="auto"/>
              </w:rPr>
            </w:pPr>
          </w:p>
        </w:tc>
        <w:tc>
          <w:tcPr>
            <w:tcW w:w="200" w:type="dxa"/>
            <w:vAlign w:val="bottom"/>
            <w:tcBorders>
              <w:bottom w:val="single" w:sz="8" w:color="131E29"/>
            </w:tcBorders>
          </w:tcPr>
          <w:p>
            <w:pPr>
              <w:spacing w:after="0"/>
              <w:rPr>
                <w:sz w:val="20"/>
                <w:szCs w:val="20"/>
                <w:color w:val="auto"/>
              </w:rPr>
            </w:pPr>
          </w:p>
        </w:tc>
        <w:tc>
          <w:tcPr>
            <w:tcW w:w="80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(1,491)</w:t>
            </w:r>
          </w:p>
        </w:tc>
        <w:tc>
          <w:tcPr>
            <w:tcW w:w="100" w:type="dxa"/>
            <w:vAlign w:val="bottom"/>
            <w:tcBorders>
              <w:bottom w:val="single" w:sz="8" w:color="D2DCE5"/>
            </w:tcBorders>
          </w:tcPr>
          <w:p>
            <w:pPr>
              <w:spacing w:after="0"/>
              <w:rPr>
                <w:sz w:val="20"/>
                <w:szCs w:val="20"/>
                <w:color w:val="auto"/>
              </w:rPr>
            </w:pPr>
          </w:p>
        </w:tc>
        <w:tc>
          <w:tcPr>
            <w:tcW w:w="240" w:type="dxa"/>
            <w:vAlign w:val="bottom"/>
            <w:tcBorders>
              <w:bottom w:val="single" w:sz="8" w:color="131E29"/>
            </w:tcBorders>
          </w:tcPr>
          <w:p>
            <w:pPr>
              <w:spacing w:after="0"/>
              <w:rPr>
                <w:sz w:val="20"/>
                <w:szCs w:val="20"/>
                <w:color w:val="auto"/>
              </w:rPr>
            </w:pPr>
          </w:p>
        </w:tc>
        <w:tc>
          <w:tcPr>
            <w:tcW w:w="68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144</w:t>
            </w:r>
          </w:p>
        </w:tc>
        <w:tc>
          <w:tcPr>
            <w:tcW w:w="100" w:type="dxa"/>
            <w:vAlign w:val="bottom"/>
            <w:tcBorders>
              <w:bottom w:val="single" w:sz="8" w:color="D2DCE5"/>
            </w:tcBorders>
          </w:tcPr>
          <w:p>
            <w:pPr>
              <w:spacing w:after="0"/>
              <w:rPr>
                <w:sz w:val="20"/>
                <w:szCs w:val="20"/>
                <w:color w:val="auto"/>
              </w:rPr>
            </w:pPr>
          </w:p>
        </w:tc>
        <w:tc>
          <w:tcPr>
            <w:tcW w:w="840" w:type="dxa"/>
            <w:vAlign w:val="bottom"/>
            <w:tcBorders>
              <w:bottom w:val="single" w:sz="8" w:color="131E29"/>
            </w:tcBorders>
          </w:tcPr>
          <w:p>
            <w:pPr>
              <w:jc w:val="center"/>
              <w:spacing w:after="0"/>
              <w:rPr>
                <w:sz w:val="20"/>
                <w:szCs w:val="20"/>
                <w:color w:val="auto"/>
              </w:rPr>
            </w:pPr>
            <w:r>
              <w:rPr>
                <w:rFonts w:ascii="Arial" w:cs="Arial" w:eastAsia="Arial" w:hAnsi="Arial"/>
                <w:sz w:val="16"/>
                <w:szCs w:val="16"/>
                <w:color w:val="131E29"/>
              </w:rPr>
              <w:t>(9.7)%</w:t>
            </w:r>
          </w:p>
        </w:tc>
        <w:tc>
          <w:tcPr>
            <w:tcW w:w="100" w:type="dxa"/>
            <w:vAlign w:val="bottom"/>
            <w:tcBorders>
              <w:bottom w:val="single" w:sz="8" w:color="D2DCE5"/>
            </w:tcBorders>
          </w:tcPr>
          <w:p>
            <w:pPr>
              <w:spacing w:after="0"/>
              <w:rPr>
                <w:sz w:val="20"/>
                <w:szCs w:val="20"/>
                <w:color w:val="auto"/>
              </w:rPr>
            </w:pPr>
          </w:p>
        </w:tc>
        <w:tc>
          <w:tcPr>
            <w:tcW w:w="220" w:type="dxa"/>
            <w:vAlign w:val="bottom"/>
            <w:tcBorders>
              <w:bottom w:val="single" w:sz="8" w:color="131E29"/>
            </w:tcBorders>
          </w:tcPr>
          <w:p>
            <w:pPr>
              <w:spacing w:after="0"/>
              <w:rPr>
                <w:sz w:val="20"/>
                <w:szCs w:val="20"/>
                <w:color w:val="auto"/>
              </w:rPr>
            </w:pPr>
          </w:p>
        </w:tc>
        <w:tc>
          <w:tcPr>
            <w:tcW w:w="78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006098"/>
              </w:rPr>
              <w:t>(2,853)</w:t>
            </w:r>
          </w:p>
        </w:tc>
        <w:tc>
          <w:tcPr>
            <w:tcW w:w="100" w:type="dxa"/>
            <w:vAlign w:val="bottom"/>
            <w:tcBorders>
              <w:bottom w:val="single" w:sz="8" w:color="D2DCE5"/>
            </w:tcBorders>
          </w:tcPr>
          <w:p>
            <w:pPr>
              <w:spacing w:after="0"/>
              <w:rPr>
                <w:sz w:val="20"/>
                <w:szCs w:val="20"/>
                <w:color w:val="auto"/>
              </w:rPr>
            </w:pPr>
          </w:p>
        </w:tc>
        <w:tc>
          <w:tcPr>
            <w:tcW w:w="220" w:type="dxa"/>
            <w:vAlign w:val="bottom"/>
            <w:tcBorders>
              <w:bottom w:val="single" w:sz="8" w:color="131E29"/>
            </w:tcBorders>
          </w:tcPr>
          <w:p>
            <w:pPr>
              <w:spacing w:after="0"/>
              <w:rPr>
                <w:sz w:val="20"/>
                <w:szCs w:val="20"/>
                <w:color w:val="auto"/>
              </w:rPr>
            </w:pPr>
          </w:p>
        </w:tc>
        <w:tc>
          <w:tcPr>
            <w:tcW w:w="80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(2,432)</w:t>
            </w:r>
          </w:p>
        </w:tc>
        <w:tc>
          <w:tcPr>
            <w:tcW w:w="80" w:type="dxa"/>
            <w:vAlign w:val="bottom"/>
            <w:tcBorders>
              <w:bottom w:val="single" w:sz="8" w:color="D2DCE5"/>
            </w:tcBorders>
          </w:tcPr>
          <w:p>
            <w:pPr>
              <w:spacing w:after="0"/>
              <w:rPr>
                <w:sz w:val="20"/>
                <w:szCs w:val="20"/>
                <w:color w:val="auto"/>
              </w:rPr>
            </w:pPr>
          </w:p>
        </w:tc>
        <w:tc>
          <w:tcPr>
            <w:tcW w:w="260" w:type="dxa"/>
            <w:vAlign w:val="bottom"/>
            <w:tcBorders>
              <w:bottom w:val="single" w:sz="8" w:color="131E29"/>
            </w:tcBorders>
          </w:tcPr>
          <w:p>
            <w:pPr>
              <w:spacing w:after="0"/>
              <w:rPr>
                <w:sz w:val="20"/>
                <w:szCs w:val="20"/>
                <w:color w:val="auto"/>
              </w:rPr>
            </w:pPr>
          </w:p>
        </w:tc>
        <w:tc>
          <w:tcPr>
            <w:tcW w:w="70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(421)</w:t>
            </w:r>
          </w:p>
        </w:tc>
        <w:tc>
          <w:tcPr>
            <w:tcW w:w="80" w:type="dxa"/>
            <w:vAlign w:val="bottom"/>
            <w:tcBorders>
              <w:bottom w:val="single" w:sz="8" w:color="D2DCE5"/>
            </w:tcBorders>
          </w:tcPr>
          <w:p>
            <w:pPr>
              <w:spacing w:after="0"/>
              <w:rPr>
                <w:sz w:val="20"/>
                <w:szCs w:val="20"/>
                <w:color w:val="auto"/>
              </w:rPr>
            </w:pPr>
          </w:p>
        </w:tc>
        <w:tc>
          <w:tcPr>
            <w:tcW w:w="860" w:type="dxa"/>
            <w:vAlign w:val="bottom"/>
            <w:tcBorders>
              <w:bottom w:val="single" w:sz="8" w:color="131E29"/>
            </w:tcBorders>
          </w:tcPr>
          <w:p>
            <w:pPr>
              <w:jc w:val="center"/>
              <w:spacing w:after="0"/>
              <w:rPr>
                <w:sz w:val="20"/>
                <w:szCs w:val="20"/>
                <w:color w:val="auto"/>
              </w:rPr>
            </w:pPr>
            <w:r>
              <w:rPr>
                <w:rFonts w:ascii="Arial" w:cs="Arial" w:eastAsia="Arial" w:hAnsi="Arial"/>
                <w:sz w:val="16"/>
                <w:szCs w:val="16"/>
                <w:color w:val="131E29"/>
              </w:rPr>
              <w:t>17.3%</w:t>
            </w:r>
          </w:p>
        </w:tc>
      </w:tr>
      <w:tr>
        <w:trPr>
          <w:trHeight w:val="243"/>
        </w:trPr>
        <w:tc>
          <w:tcPr>
            <w:tcW w:w="2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Interest expense, net</w:t>
            </w:r>
          </w:p>
        </w:tc>
        <w:tc>
          <w:tcPr>
            <w:tcW w:w="22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006098"/>
                <w:w w:val="8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(7,076)</w:t>
            </w: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jc w:val="right"/>
              <w:ind w:right="19"/>
              <w:spacing w:after="0"/>
              <w:rPr>
                <w:sz w:val="20"/>
                <w:szCs w:val="20"/>
                <w:color w:val="auto"/>
              </w:rPr>
            </w:pPr>
            <w:r>
              <w:rPr>
                <w:rFonts w:ascii="Arial" w:cs="Arial" w:eastAsia="Arial" w:hAnsi="Arial"/>
                <w:sz w:val="16"/>
                <w:szCs w:val="16"/>
                <w:color w:val="131E29"/>
                <w:w w:val="8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(6,997)</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w w:val="8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(79)</w:t>
            </w:r>
          </w:p>
        </w:tc>
        <w:tc>
          <w:tcPr>
            <w:tcW w:w="100" w:type="dxa"/>
            <w:vAlign w:val="bottom"/>
            <w:shd w:val="clear" w:color="auto" w:fill="D2DCE5"/>
          </w:tcPr>
          <w:p>
            <w:pPr>
              <w:spacing w:after="0"/>
              <w:rPr>
                <w:sz w:val="21"/>
                <w:szCs w:val="21"/>
                <w:color w:val="auto"/>
              </w:rPr>
            </w:pPr>
          </w:p>
        </w:tc>
        <w:tc>
          <w:tcPr>
            <w:tcW w:w="84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1.1%</w:t>
            </w: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006098"/>
                <w:w w:val="8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(14,191)</w:t>
            </w:r>
          </w:p>
        </w:tc>
        <w:tc>
          <w:tcPr>
            <w:tcW w:w="320" w:type="dxa"/>
            <w:vAlign w:val="bottom"/>
            <w:gridSpan w:val="2"/>
            <w:shd w:val="clear" w:color="auto" w:fill="D2DCE5"/>
          </w:tcPr>
          <w:p>
            <w:pPr>
              <w:jc w:val="right"/>
              <w:ind w:right="100"/>
              <w:spacing w:after="0"/>
              <w:rPr>
                <w:sz w:val="20"/>
                <w:szCs w:val="20"/>
                <w:color w:val="auto"/>
              </w:rPr>
            </w:pPr>
            <w:r>
              <w:rPr>
                <w:rFonts w:ascii="Arial" w:cs="Arial" w:eastAsia="Arial" w:hAnsi="Arial"/>
                <w:sz w:val="16"/>
                <w:szCs w:val="16"/>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(13,390)</w:t>
            </w:r>
          </w:p>
        </w:tc>
        <w:tc>
          <w:tcPr>
            <w:tcW w:w="80" w:type="dxa"/>
            <w:vAlign w:val="bottom"/>
            <w:shd w:val="clear" w:color="auto" w:fill="D2DCE5"/>
          </w:tcPr>
          <w:p>
            <w:pPr>
              <w:spacing w:after="0"/>
              <w:rPr>
                <w:sz w:val="21"/>
                <w:szCs w:val="21"/>
                <w:color w:val="auto"/>
              </w:rPr>
            </w:pPr>
          </w:p>
        </w:tc>
        <w:tc>
          <w:tcPr>
            <w:tcW w:w="260" w:type="dxa"/>
            <w:vAlign w:val="bottom"/>
            <w:shd w:val="clear" w:color="auto" w:fill="D2DCE5"/>
          </w:tcPr>
          <w:p>
            <w:pPr>
              <w:jc w:val="right"/>
              <w:ind w:right="59"/>
              <w:spacing w:after="0"/>
              <w:rPr>
                <w:sz w:val="20"/>
                <w:szCs w:val="20"/>
                <w:color w:val="auto"/>
              </w:rPr>
            </w:pPr>
            <w:r>
              <w:rPr>
                <w:rFonts w:ascii="Arial" w:cs="Arial" w:eastAsia="Arial" w:hAnsi="Arial"/>
                <w:sz w:val="16"/>
                <w:szCs w:val="16"/>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(801)</w:t>
            </w:r>
          </w:p>
        </w:tc>
        <w:tc>
          <w:tcPr>
            <w:tcW w:w="80" w:type="dxa"/>
            <w:vAlign w:val="bottom"/>
            <w:shd w:val="clear" w:color="auto" w:fill="D2DCE5"/>
          </w:tcPr>
          <w:p>
            <w:pPr>
              <w:spacing w:after="0"/>
              <w:rPr>
                <w:sz w:val="21"/>
                <w:szCs w:val="21"/>
                <w:color w:val="auto"/>
              </w:rPr>
            </w:pPr>
          </w:p>
        </w:tc>
        <w:tc>
          <w:tcPr>
            <w:tcW w:w="86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6.0%</w:t>
            </w:r>
          </w:p>
        </w:tc>
      </w:tr>
      <w:tr>
        <w:trPr>
          <w:trHeight w:val="236"/>
        </w:trPr>
        <w:tc>
          <w:tcPr>
            <w:tcW w:w="2980" w:type="dxa"/>
            <w:vAlign w:val="bottom"/>
            <w:tcBorders>
              <w:bottom w:val="single" w:sz="8" w:color="D2DCE5"/>
            </w:tcBorders>
            <w:gridSpan w:val="2"/>
          </w:tcPr>
          <w:p>
            <w:pPr>
              <w:ind w:left="20"/>
              <w:spacing w:after="0"/>
              <w:rPr>
                <w:sz w:val="20"/>
                <w:szCs w:val="20"/>
                <w:color w:val="auto"/>
              </w:rPr>
            </w:pPr>
            <w:r>
              <w:rPr>
                <w:rFonts w:ascii="Arial" w:cs="Arial" w:eastAsia="Arial" w:hAnsi="Arial"/>
                <w:sz w:val="16"/>
                <w:szCs w:val="16"/>
                <w:color w:val="131E29"/>
              </w:rPr>
              <w:t>Other income (expense), net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(1,983)</w:t>
            </w:r>
          </w:p>
        </w:tc>
        <w:tc>
          <w:tcPr>
            <w:tcW w:w="100" w:type="dxa"/>
            <w:vAlign w:val="bottom"/>
            <w:tcBorders>
              <w:bottom w:val="single" w:sz="8" w:color="D2DC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829</w:t>
            </w:r>
          </w:p>
        </w:tc>
        <w:tc>
          <w:tcPr>
            <w:tcW w:w="10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(2,812)</w:t>
            </w:r>
          </w:p>
        </w:tc>
        <w:tc>
          <w:tcPr>
            <w:tcW w:w="100" w:type="dxa"/>
            <w:vAlign w:val="bottom"/>
            <w:tcBorders>
              <w:bottom w:val="single" w:sz="8" w:color="D2DCE5"/>
            </w:tcBorders>
          </w:tcPr>
          <w:p>
            <w:pPr>
              <w:spacing w:after="0"/>
              <w:rPr>
                <w:sz w:val="20"/>
                <w:szCs w:val="20"/>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131E29"/>
              </w:rPr>
              <w:t>N/M</w:t>
            </w:r>
          </w:p>
        </w:tc>
        <w:tc>
          <w:tcPr>
            <w:tcW w:w="100" w:type="dxa"/>
            <w:vAlign w:val="bottom"/>
            <w:tcBorders>
              <w:bottom w:val="single" w:sz="8" w:color="D2DCE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(2,001)</w:t>
            </w:r>
          </w:p>
        </w:tc>
        <w:tc>
          <w:tcPr>
            <w:tcW w:w="100" w:type="dxa"/>
            <w:vAlign w:val="bottom"/>
            <w:tcBorders>
              <w:bottom w:val="single" w:sz="8" w:color="D2DCE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6,593</w:t>
            </w:r>
          </w:p>
        </w:tc>
        <w:tc>
          <w:tcPr>
            <w:tcW w:w="80" w:type="dxa"/>
            <w:vAlign w:val="bottom"/>
            <w:tcBorders>
              <w:bottom w:val="single" w:sz="8" w:color="D2DC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(8,594)</w:t>
            </w:r>
          </w:p>
        </w:tc>
        <w:tc>
          <w:tcPr>
            <w:tcW w:w="80" w:type="dxa"/>
            <w:vAlign w:val="bottom"/>
            <w:tcBorders>
              <w:bottom w:val="single" w:sz="8" w:color="D2DCE5"/>
            </w:tcBorders>
          </w:tcPr>
          <w:p>
            <w:pPr>
              <w:spacing w:after="0"/>
              <w:rPr>
                <w:sz w:val="20"/>
                <w:szCs w:val="20"/>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131E29"/>
              </w:rPr>
              <w:t>N/M</w:t>
            </w:r>
          </w:p>
        </w:tc>
      </w:tr>
      <w:tr>
        <w:trPr>
          <w:trHeight w:val="263"/>
        </w:trPr>
        <w:tc>
          <w:tcPr>
            <w:tcW w:w="2980" w:type="dxa"/>
            <w:vAlign w:val="bottom"/>
            <w:gridSpan w:val="2"/>
            <w:shd w:val="clear" w:color="auto" w:fill="D2DCE5"/>
          </w:tcPr>
          <w:p>
            <w:pPr>
              <w:ind w:left="240"/>
              <w:spacing w:after="0"/>
              <w:rPr>
                <w:sz w:val="20"/>
                <w:szCs w:val="20"/>
                <w:color w:val="auto"/>
              </w:rPr>
            </w:pPr>
            <w:r>
              <w:rPr>
                <w:rFonts w:ascii="Arial" w:cs="Arial" w:eastAsia="Arial" w:hAnsi="Arial"/>
                <w:sz w:val="16"/>
                <w:szCs w:val="16"/>
                <w:b w:val="1"/>
                <w:bCs w:val="1"/>
                <w:color w:val="131E29"/>
              </w:rPr>
              <w:t>Total other expense</w:t>
            </w:r>
          </w:p>
        </w:tc>
        <w:tc>
          <w:tcPr>
            <w:tcW w:w="220" w:type="dxa"/>
            <w:vAlign w:val="bottom"/>
            <w:shd w:val="clear" w:color="auto" w:fill="D2DCE5"/>
          </w:tcPr>
          <w:p>
            <w:pPr>
              <w:jc w:val="right"/>
              <w:ind w:right="39"/>
              <w:spacing w:after="0"/>
              <w:rPr>
                <w:sz w:val="20"/>
                <w:szCs w:val="20"/>
                <w:color w:val="auto"/>
              </w:rPr>
            </w:pPr>
            <w:r>
              <w:rPr>
                <w:rFonts w:ascii="Arial" w:cs="Arial" w:eastAsia="Arial" w:hAnsi="Arial"/>
                <w:sz w:val="16"/>
                <w:szCs w:val="16"/>
                <w:b w:val="1"/>
                <w:bCs w:val="1"/>
                <w:color w:val="006098"/>
                <w:w w:val="8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006098"/>
              </w:rPr>
              <w:t>(9,059)</w:t>
            </w:r>
          </w:p>
        </w:tc>
        <w:tc>
          <w:tcPr>
            <w:tcW w:w="100" w:type="dxa"/>
            <w:vAlign w:val="bottom"/>
            <w:shd w:val="clear" w:color="auto" w:fill="D2DCE5"/>
          </w:tcPr>
          <w:p>
            <w:pPr>
              <w:spacing w:after="0"/>
              <w:rPr>
                <w:sz w:val="22"/>
                <w:szCs w:val="22"/>
                <w:color w:val="auto"/>
              </w:rPr>
            </w:pPr>
          </w:p>
        </w:tc>
        <w:tc>
          <w:tcPr>
            <w:tcW w:w="200" w:type="dxa"/>
            <w:vAlign w:val="bottom"/>
            <w:shd w:val="clear" w:color="auto" w:fill="D2DCE5"/>
          </w:tcPr>
          <w:p>
            <w:pPr>
              <w:jc w:val="right"/>
              <w:ind w:right="19"/>
              <w:spacing w:after="0"/>
              <w:rPr>
                <w:sz w:val="20"/>
                <w:szCs w:val="20"/>
                <w:color w:val="auto"/>
              </w:rPr>
            </w:pPr>
            <w:r>
              <w:rPr>
                <w:rFonts w:ascii="Arial" w:cs="Arial" w:eastAsia="Arial" w:hAnsi="Arial"/>
                <w:sz w:val="16"/>
                <w:szCs w:val="16"/>
                <w:b w:val="1"/>
                <w:bCs w:val="1"/>
                <w:color w:val="131E29"/>
                <w:w w:val="8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131E29"/>
              </w:rPr>
              <w:t>(6,168)</w:t>
            </w: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jc w:val="right"/>
              <w:ind w:right="59"/>
              <w:spacing w:after="0"/>
              <w:rPr>
                <w:sz w:val="20"/>
                <w:szCs w:val="20"/>
                <w:color w:val="auto"/>
              </w:rPr>
            </w:pPr>
            <w:r>
              <w:rPr>
                <w:rFonts w:ascii="Arial" w:cs="Arial" w:eastAsia="Arial" w:hAnsi="Arial"/>
                <w:sz w:val="16"/>
                <w:szCs w:val="16"/>
                <w:b w:val="1"/>
                <w:bCs w:val="1"/>
                <w:color w:val="131E29"/>
                <w:w w:val="8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131E29"/>
              </w:rPr>
              <w:t>(2,891)</w:t>
            </w:r>
          </w:p>
        </w:tc>
        <w:tc>
          <w:tcPr>
            <w:tcW w:w="100" w:type="dxa"/>
            <w:vAlign w:val="bottom"/>
            <w:shd w:val="clear" w:color="auto" w:fill="D2DCE5"/>
          </w:tcPr>
          <w:p>
            <w:pPr>
              <w:spacing w:after="0"/>
              <w:rPr>
                <w:sz w:val="22"/>
                <w:szCs w:val="22"/>
                <w:color w:val="auto"/>
              </w:rPr>
            </w:pPr>
          </w:p>
        </w:tc>
        <w:tc>
          <w:tcPr>
            <w:tcW w:w="840" w:type="dxa"/>
            <w:vAlign w:val="bottom"/>
            <w:shd w:val="clear" w:color="auto" w:fill="D2DCE5"/>
          </w:tcPr>
          <w:p>
            <w:pPr>
              <w:jc w:val="center"/>
              <w:spacing w:after="0"/>
              <w:rPr>
                <w:sz w:val="20"/>
                <w:szCs w:val="20"/>
                <w:color w:val="auto"/>
              </w:rPr>
            </w:pPr>
            <w:r>
              <w:rPr>
                <w:rFonts w:ascii="Arial" w:cs="Arial" w:eastAsia="Arial" w:hAnsi="Arial"/>
                <w:sz w:val="16"/>
                <w:szCs w:val="16"/>
                <w:b w:val="1"/>
                <w:bCs w:val="1"/>
                <w:color w:val="131E29"/>
              </w:rPr>
              <w:t>46.9%</w:t>
            </w: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jc w:val="right"/>
              <w:ind w:right="39"/>
              <w:spacing w:after="0"/>
              <w:rPr>
                <w:sz w:val="20"/>
                <w:szCs w:val="20"/>
                <w:color w:val="auto"/>
              </w:rPr>
            </w:pPr>
            <w:r>
              <w:rPr>
                <w:rFonts w:ascii="Arial" w:cs="Arial" w:eastAsia="Arial" w:hAnsi="Arial"/>
                <w:sz w:val="16"/>
                <w:szCs w:val="16"/>
                <w:b w:val="1"/>
                <w:bCs w:val="1"/>
                <w:color w:val="006098"/>
                <w:w w:val="8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006098"/>
              </w:rPr>
              <w:t>(16,192)</w:t>
            </w:r>
          </w:p>
        </w:tc>
        <w:tc>
          <w:tcPr>
            <w:tcW w:w="320" w:type="dxa"/>
            <w:vAlign w:val="bottom"/>
            <w:gridSpan w:val="2"/>
            <w:shd w:val="clear" w:color="auto" w:fill="D2DCE5"/>
          </w:tcPr>
          <w:p>
            <w:pPr>
              <w:jc w:val="right"/>
              <w:ind w:right="100"/>
              <w:spacing w:after="0"/>
              <w:rPr>
                <w:sz w:val="20"/>
                <w:szCs w:val="20"/>
                <w:color w:val="auto"/>
              </w:rPr>
            </w:pPr>
            <w:r>
              <w:rPr>
                <w:rFonts w:ascii="Arial" w:cs="Arial" w:eastAsia="Arial" w:hAnsi="Arial"/>
                <w:sz w:val="16"/>
                <w:szCs w:val="16"/>
                <w:b w:val="1"/>
                <w:bCs w:val="1"/>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131E29"/>
              </w:rPr>
              <w:t>(6,797)</w:t>
            </w:r>
          </w:p>
        </w:tc>
        <w:tc>
          <w:tcPr>
            <w:tcW w:w="80" w:type="dxa"/>
            <w:vAlign w:val="bottom"/>
            <w:shd w:val="clear" w:color="auto" w:fill="D2DCE5"/>
          </w:tcPr>
          <w:p>
            <w:pPr>
              <w:spacing w:after="0"/>
              <w:rPr>
                <w:sz w:val="22"/>
                <w:szCs w:val="22"/>
                <w:color w:val="auto"/>
              </w:rPr>
            </w:pPr>
          </w:p>
        </w:tc>
        <w:tc>
          <w:tcPr>
            <w:tcW w:w="260" w:type="dxa"/>
            <w:vAlign w:val="bottom"/>
            <w:shd w:val="clear" w:color="auto" w:fill="D2DCE5"/>
          </w:tcPr>
          <w:p>
            <w:pPr>
              <w:jc w:val="right"/>
              <w:ind w:right="59"/>
              <w:spacing w:after="0"/>
              <w:rPr>
                <w:sz w:val="20"/>
                <w:szCs w:val="20"/>
                <w:color w:val="auto"/>
              </w:rPr>
            </w:pPr>
            <w:r>
              <w:rPr>
                <w:rFonts w:ascii="Arial" w:cs="Arial" w:eastAsia="Arial" w:hAnsi="Arial"/>
                <w:sz w:val="16"/>
                <w:szCs w:val="16"/>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131E29"/>
              </w:rPr>
              <w:t>(9,395)</w:t>
            </w:r>
          </w:p>
        </w:tc>
        <w:tc>
          <w:tcPr>
            <w:tcW w:w="80" w:type="dxa"/>
            <w:vAlign w:val="bottom"/>
            <w:shd w:val="clear" w:color="auto" w:fill="D2DCE5"/>
          </w:tcPr>
          <w:p>
            <w:pPr>
              <w:spacing w:after="0"/>
              <w:rPr>
                <w:sz w:val="22"/>
                <w:szCs w:val="22"/>
                <w:color w:val="auto"/>
              </w:rPr>
            </w:pPr>
          </w:p>
        </w:tc>
        <w:tc>
          <w:tcPr>
            <w:tcW w:w="860" w:type="dxa"/>
            <w:vAlign w:val="bottom"/>
            <w:shd w:val="clear" w:color="auto" w:fill="D2DCE5"/>
          </w:tcPr>
          <w:p>
            <w:pPr>
              <w:jc w:val="center"/>
              <w:spacing w:after="0"/>
              <w:rPr>
                <w:sz w:val="20"/>
                <w:szCs w:val="20"/>
                <w:color w:val="auto"/>
              </w:rPr>
            </w:pPr>
            <w:r>
              <w:rPr>
                <w:rFonts w:ascii="Arial" w:cs="Arial" w:eastAsia="Arial" w:hAnsi="Arial"/>
                <w:sz w:val="16"/>
                <w:szCs w:val="16"/>
                <w:b w:val="1"/>
                <w:bCs w:val="1"/>
                <w:color w:val="131E29"/>
                <w:w w:val="99"/>
              </w:rPr>
              <w:t>138.2%</w:t>
            </w:r>
          </w:p>
        </w:tc>
      </w:tr>
      <w:tr>
        <w:trPr>
          <w:trHeight w:val="20"/>
        </w:trPr>
        <w:tc>
          <w:tcPr>
            <w:tcW w:w="28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2025 v.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decrease in other income (expense), net was primarily driven by expenses associated with our credit facility refinance in May 2025 (see NOTE 9 — Debt for additional details) and a non-recurring prior year gain on sale of the Company hangar and related equipment to our Co-Founder.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2025 v. 2024</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The increase in interest expense, net was primarily driven by higher interest expense on debt and additional interest on finance leases for new shop builds.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decrease in other income (expense), net was primarily driven by remeasurement gains in the prior year related to the TRAs liability, expenses associated with our credit facility refinance in May 2025 (see NOTE 9 — Debt for additional details), and a prior year non-recurring gain on sale of the Company hangar and related equipment to our Co-Founder.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Income Tax Expense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D7282F"/>
            </w:tcBorders>
          </w:tcPr>
          <w:p>
            <w:pPr>
              <w:spacing w:after="0"/>
              <w:rPr>
                <w:sz w:val="19"/>
                <w:szCs w:val="19"/>
                <w:color w:val="auto"/>
              </w:rPr>
            </w:pPr>
          </w:p>
        </w:tc>
        <w:tc>
          <w:tcPr>
            <w:tcW w:w="2480" w:type="dxa"/>
            <w:vAlign w:val="bottom"/>
            <w:tcBorders>
              <w:bottom w:val="single" w:sz="8" w:color="D7282F"/>
            </w:tcBorders>
            <w:gridSpan w:val="5"/>
          </w:tcPr>
          <w:p>
            <w:pPr>
              <w:ind w:left="80"/>
              <w:spacing w:after="0"/>
              <w:rPr>
                <w:sz w:val="20"/>
                <w:szCs w:val="20"/>
                <w:color w:val="auto"/>
              </w:rPr>
            </w:pPr>
            <w:r>
              <w:rPr>
                <w:rFonts w:ascii="Arial" w:cs="Arial" w:eastAsia="Arial" w:hAnsi="Arial"/>
                <w:sz w:val="16"/>
                <w:szCs w:val="16"/>
                <w:b w:val="1"/>
                <w:bCs w:val="1"/>
                <w:color w:val="131E29"/>
              </w:rPr>
              <w:t>Three Months Ended June 30,</w:t>
            </w:r>
          </w:p>
        </w:tc>
        <w:tc>
          <w:tcPr>
            <w:tcW w:w="780" w:type="dxa"/>
            <w:vAlign w:val="bottom"/>
            <w:tcBorders>
              <w:bottom w:val="single" w:sz="8" w:color="D7282F"/>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D7282F"/>
            </w:tcBorders>
          </w:tcPr>
          <w:p>
            <w:pPr>
              <w:spacing w:after="0"/>
              <w:rPr>
                <w:sz w:val="19"/>
                <w:szCs w:val="19"/>
                <w:color w:val="auto"/>
              </w:rPr>
            </w:pPr>
          </w:p>
        </w:tc>
        <w:tc>
          <w:tcPr>
            <w:tcW w:w="2240" w:type="dxa"/>
            <w:vAlign w:val="bottom"/>
            <w:tcBorders>
              <w:bottom w:val="single" w:sz="8" w:color="D7282F"/>
            </w:tcBorders>
            <w:gridSpan w:val="4"/>
          </w:tcPr>
          <w:p>
            <w:pPr>
              <w:spacing w:after="0"/>
              <w:rPr>
                <w:sz w:val="20"/>
                <w:szCs w:val="20"/>
                <w:color w:val="auto"/>
              </w:rPr>
            </w:pPr>
            <w:r>
              <w:rPr>
                <w:rFonts w:ascii="Arial" w:cs="Arial" w:eastAsia="Arial" w:hAnsi="Arial"/>
                <w:sz w:val="16"/>
                <w:szCs w:val="16"/>
                <w:b w:val="1"/>
                <w:bCs w:val="1"/>
                <w:color w:val="131E29"/>
              </w:rPr>
              <w:t>Six Months Ended June 30,</w:t>
            </w:r>
          </w:p>
        </w:tc>
        <w:tc>
          <w:tcPr>
            <w:tcW w:w="860" w:type="dxa"/>
            <w:vAlign w:val="bottom"/>
            <w:tcBorders>
              <w:bottom w:val="single" w:sz="8" w:color="D7282F"/>
            </w:tcBorders>
          </w:tcPr>
          <w:p>
            <w:pPr>
              <w:spacing w:after="0"/>
              <w:rPr>
                <w:sz w:val="19"/>
                <w:szCs w:val="19"/>
                <w:color w:val="auto"/>
              </w:rPr>
            </w:pPr>
          </w:p>
        </w:tc>
      </w:tr>
      <w:tr>
        <w:trPr>
          <w:trHeight w:val="237"/>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820" w:type="dxa"/>
            <w:vAlign w:val="bottom"/>
            <w:tcBorders>
              <w:bottom w:val="single" w:sz="8" w:color="D7282F"/>
            </w:tcBorders>
          </w:tcPr>
          <w:p>
            <w:pPr>
              <w:jc w:val="center"/>
              <w:ind w:left="99"/>
              <w:spacing w:after="0"/>
              <w:rPr>
                <w:sz w:val="20"/>
                <w:szCs w:val="20"/>
                <w:color w:val="auto"/>
              </w:rPr>
            </w:pPr>
            <w:r>
              <w:rPr>
                <w:rFonts w:ascii="Arial" w:cs="Arial" w:eastAsia="Arial" w:hAnsi="Arial"/>
                <w:sz w:val="16"/>
                <w:szCs w:val="16"/>
                <w:b w:val="1"/>
                <w:bCs w:val="1"/>
                <w:color w:val="131E29"/>
              </w:rPr>
              <w:t>2025</w:t>
            </w:r>
          </w:p>
        </w:tc>
        <w:tc>
          <w:tcPr>
            <w:tcW w:w="180" w:type="dxa"/>
            <w:vAlign w:val="bottom"/>
            <w:tcBorders>
              <w:bottom w:val="single" w:sz="8" w:color="D7282F"/>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880" w:type="dxa"/>
            <w:vAlign w:val="bottom"/>
            <w:tcBorders>
              <w:bottom w:val="single" w:sz="8" w:color="D7282F"/>
            </w:tcBorders>
            <w:gridSpan w:val="2"/>
          </w:tcPr>
          <w:p>
            <w:pPr>
              <w:ind w:left="460"/>
              <w:spacing w:after="0"/>
              <w:rPr>
                <w:sz w:val="20"/>
                <w:szCs w:val="20"/>
                <w:color w:val="auto"/>
              </w:rPr>
            </w:pPr>
            <w:r>
              <w:rPr>
                <w:rFonts w:ascii="Arial" w:cs="Arial" w:eastAsia="Arial" w:hAnsi="Arial"/>
                <w:sz w:val="16"/>
                <w:szCs w:val="16"/>
                <w:b w:val="1"/>
                <w:bCs w:val="1"/>
                <w:color w:val="131E29"/>
              </w:rPr>
              <w:t>2025 v. 2024</w:t>
            </w:r>
          </w:p>
        </w:tc>
        <w:tc>
          <w:tcPr>
            <w:tcW w:w="10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80" w:type="dxa"/>
            <w:vAlign w:val="bottom"/>
            <w:tcBorders>
              <w:bottom w:val="single" w:sz="8" w:color="D2DCE5"/>
            </w:tcBorders>
          </w:tcPr>
          <w:p>
            <w:pPr>
              <w:spacing w:after="0"/>
              <w:rPr>
                <w:sz w:val="20"/>
                <w:szCs w:val="20"/>
                <w:color w:val="auto"/>
              </w:rPr>
            </w:pPr>
          </w:p>
        </w:tc>
        <w:tc>
          <w:tcPr>
            <w:tcW w:w="100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1920" w:type="dxa"/>
            <w:vAlign w:val="bottom"/>
            <w:tcBorders>
              <w:bottom w:val="single" w:sz="8" w:color="D7282F"/>
            </w:tcBorders>
            <w:gridSpan w:val="2"/>
          </w:tcPr>
          <w:p>
            <w:pPr>
              <w:ind w:left="500"/>
              <w:spacing w:after="0"/>
              <w:rPr>
                <w:sz w:val="20"/>
                <w:szCs w:val="20"/>
                <w:color w:val="auto"/>
              </w:rPr>
            </w:pPr>
            <w:r>
              <w:rPr>
                <w:rFonts w:ascii="Arial" w:cs="Arial" w:eastAsia="Arial" w:hAnsi="Arial"/>
                <w:sz w:val="16"/>
                <w:szCs w:val="16"/>
                <w:b w:val="1"/>
                <w:bCs w:val="1"/>
                <w:color w:val="131E29"/>
              </w:rPr>
              <w:t>2025 v. 2024</w:t>
            </w:r>
          </w:p>
        </w:tc>
      </w:tr>
      <w:tr>
        <w:trPr>
          <w:trHeight w:val="240"/>
        </w:trPr>
        <w:tc>
          <w:tcPr>
            <w:tcW w:w="29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Income tax expense</w:t>
            </w:r>
          </w:p>
        </w:tc>
        <w:tc>
          <w:tcPr>
            <w:tcW w:w="820" w:type="dxa"/>
            <w:vAlign w:val="bottom"/>
            <w:shd w:val="clear" w:color="auto" w:fill="D2DCE5"/>
          </w:tcPr>
          <w:p>
            <w:pPr>
              <w:jc w:val="center"/>
              <w:ind w:left="119"/>
              <w:spacing w:after="0"/>
              <w:rPr>
                <w:sz w:val="20"/>
                <w:szCs w:val="20"/>
                <w:color w:val="auto"/>
              </w:rPr>
            </w:pPr>
            <w:r>
              <w:rPr>
                <w:rFonts w:ascii="Arial" w:cs="Arial" w:eastAsia="Arial" w:hAnsi="Arial"/>
                <w:sz w:val="16"/>
                <w:szCs w:val="16"/>
                <w:color w:val="006098"/>
              </w:rPr>
              <w:t>$7,243</w:t>
            </w:r>
          </w:p>
        </w:tc>
        <w:tc>
          <w:tcPr>
            <w:tcW w:w="1280" w:type="dxa"/>
            <w:vAlign w:val="bottom"/>
            <w:gridSpan w:val="3"/>
            <w:shd w:val="clear" w:color="auto" w:fill="D2DCE5"/>
          </w:tcPr>
          <w:p>
            <w:pPr>
              <w:jc w:val="center"/>
              <w:ind w:left="179"/>
              <w:spacing w:after="0"/>
              <w:rPr>
                <w:sz w:val="20"/>
                <w:szCs w:val="20"/>
                <w:color w:val="auto"/>
              </w:rPr>
            </w:pPr>
            <w:r>
              <w:rPr>
                <w:rFonts w:ascii="Arial" w:cs="Arial" w:eastAsia="Arial" w:hAnsi="Arial"/>
                <w:sz w:val="16"/>
                <w:szCs w:val="16"/>
                <w:color w:val="131E29"/>
              </w:rPr>
              <w:t>$3,860</w:t>
            </w:r>
          </w:p>
        </w:tc>
        <w:tc>
          <w:tcPr>
            <w:tcW w:w="100" w:type="dxa"/>
            <w:vAlign w:val="bottom"/>
            <w:shd w:val="clear" w:color="auto" w:fill="D2DCE5"/>
          </w:tcPr>
          <w:p>
            <w:pPr>
              <w:spacing w:after="0"/>
              <w:rPr>
                <w:sz w:val="20"/>
                <w:szCs w:val="20"/>
                <w:color w:val="auto"/>
              </w:rPr>
            </w:pPr>
          </w:p>
        </w:tc>
        <w:tc>
          <w:tcPr>
            <w:tcW w:w="1100" w:type="dxa"/>
            <w:vAlign w:val="bottom"/>
            <w:shd w:val="clear" w:color="auto" w:fill="D2DCE5"/>
          </w:tcPr>
          <w:p>
            <w:pPr>
              <w:jc w:val="right"/>
              <w:ind w:right="296"/>
              <w:spacing w:after="0"/>
              <w:rPr>
                <w:sz w:val="20"/>
                <w:szCs w:val="20"/>
                <w:color w:val="auto"/>
              </w:rPr>
            </w:pPr>
            <w:r>
              <w:rPr>
                <w:rFonts w:ascii="Arial" w:cs="Arial" w:eastAsia="Arial" w:hAnsi="Arial"/>
                <w:sz w:val="16"/>
                <w:szCs w:val="16"/>
                <w:color w:val="131E29"/>
              </w:rPr>
              <w:t>$3,383</w:t>
            </w:r>
          </w:p>
        </w:tc>
        <w:tc>
          <w:tcPr>
            <w:tcW w:w="780" w:type="dxa"/>
            <w:vAlign w:val="bottom"/>
            <w:shd w:val="clear" w:color="auto" w:fill="D2DCE5"/>
          </w:tcPr>
          <w:p>
            <w:pPr>
              <w:jc w:val="right"/>
              <w:ind w:right="115"/>
              <w:spacing w:after="0"/>
              <w:rPr>
                <w:sz w:val="20"/>
                <w:szCs w:val="20"/>
                <w:color w:val="auto"/>
              </w:rPr>
            </w:pPr>
            <w:r>
              <w:rPr>
                <w:rFonts w:ascii="Arial" w:cs="Arial" w:eastAsia="Arial" w:hAnsi="Arial"/>
                <w:sz w:val="16"/>
                <w:szCs w:val="16"/>
                <w:color w:val="131E29"/>
              </w:rPr>
              <w:t>87.6%</w:t>
            </w:r>
          </w:p>
        </w:tc>
        <w:tc>
          <w:tcPr>
            <w:tcW w:w="100" w:type="dxa"/>
            <w:vAlign w:val="bottom"/>
            <w:shd w:val="clear" w:color="auto" w:fill="D2DCE5"/>
          </w:tcPr>
          <w:p>
            <w:pPr>
              <w:spacing w:after="0"/>
              <w:rPr>
                <w:sz w:val="20"/>
                <w:szCs w:val="20"/>
                <w:color w:val="auto"/>
              </w:rPr>
            </w:pPr>
          </w:p>
        </w:tc>
        <w:tc>
          <w:tcPr>
            <w:tcW w:w="100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$8,702</w:t>
            </w:r>
          </w:p>
        </w:tc>
        <w:tc>
          <w:tcPr>
            <w:tcW w:w="1080" w:type="dxa"/>
            <w:vAlign w:val="bottom"/>
            <w:gridSpan w:val="2"/>
            <w:shd w:val="clear" w:color="auto" w:fill="D2DCE5"/>
          </w:tcPr>
          <w:p>
            <w:pPr>
              <w:jc w:val="center"/>
              <w:ind w:left="19"/>
              <w:spacing w:after="0"/>
              <w:rPr>
                <w:sz w:val="20"/>
                <w:szCs w:val="20"/>
                <w:color w:val="auto"/>
              </w:rPr>
            </w:pPr>
            <w:r>
              <w:rPr>
                <w:rFonts w:ascii="Arial" w:cs="Arial" w:eastAsia="Arial" w:hAnsi="Arial"/>
                <w:sz w:val="16"/>
                <w:szCs w:val="16"/>
                <w:color w:val="131E29"/>
              </w:rPr>
              <w:t>$12,632</w:t>
            </w:r>
          </w:p>
        </w:tc>
        <w:tc>
          <w:tcPr>
            <w:tcW w:w="100" w:type="dxa"/>
            <w:vAlign w:val="bottom"/>
            <w:shd w:val="clear" w:color="auto" w:fill="D2DCE5"/>
          </w:tcPr>
          <w:p>
            <w:pPr>
              <w:spacing w:after="0"/>
              <w:rPr>
                <w:sz w:val="20"/>
                <w:szCs w:val="20"/>
                <w:color w:val="auto"/>
              </w:rPr>
            </w:pPr>
          </w:p>
        </w:tc>
        <w:tc>
          <w:tcPr>
            <w:tcW w:w="1060" w:type="dxa"/>
            <w:vAlign w:val="bottom"/>
            <w:shd w:val="clear" w:color="auto" w:fill="D2DCE5"/>
          </w:tcPr>
          <w:p>
            <w:pPr>
              <w:jc w:val="right"/>
              <w:ind w:right="196"/>
              <w:spacing w:after="0"/>
              <w:rPr>
                <w:sz w:val="20"/>
                <w:szCs w:val="20"/>
                <w:color w:val="auto"/>
              </w:rPr>
            </w:pPr>
            <w:r>
              <w:rPr>
                <w:rFonts w:ascii="Arial" w:cs="Arial" w:eastAsia="Arial" w:hAnsi="Arial"/>
                <w:sz w:val="16"/>
                <w:szCs w:val="16"/>
                <w:color w:val="131E29"/>
              </w:rPr>
              <w:t>$(3,930)</w:t>
            </w:r>
          </w:p>
        </w:tc>
        <w:tc>
          <w:tcPr>
            <w:tcW w:w="860" w:type="dxa"/>
            <w:vAlign w:val="bottom"/>
            <w:shd w:val="clear" w:color="auto" w:fill="D2DCE5"/>
          </w:tcPr>
          <w:p>
            <w:pPr>
              <w:jc w:val="right"/>
              <w:ind w:right="55"/>
              <w:spacing w:after="0"/>
              <w:rPr>
                <w:sz w:val="20"/>
                <w:szCs w:val="20"/>
                <w:color w:val="auto"/>
              </w:rPr>
            </w:pPr>
            <w:r>
              <w:rPr>
                <w:rFonts w:ascii="Arial" w:cs="Arial" w:eastAsia="Arial" w:hAnsi="Arial"/>
                <w:sz w:val="16"/>
                <w:szCs w:val="16"/>
                <w:color w:val="131E29"/>
              </w:rPr>
              <w:t>(31.1)%</w:t>
            </w:r>
          </w:p>
        </w:tc>
      </w:tr>
      <w:tr>
        <w:trPr>
          <w:trHeight w:val="255"/>
        </w:trPr>
        <w:tc>
          <w:tcPr>
            <w:tcW w:w="2960" w:type="dxa"/>
            <w:vAlign w:val="bottom"/>
            <w:gridSpan w:val="2"/>
          </w:tcPr>
          <w:p>
            <w:pPr>
              <w:ind w:left="20"/>
              <w:spacing w:after="0"/>
              <w:rPr>
                <w:sz w:val="20"/>
                <w:szCs w:val="20"/>
                <w:color w:val="auto"/>
              </w:rPr>
            </w:pPr>
            <w:r>
              <w:rPr>
                <w:rFonts w:ascii="Arial" w:cs="Arial" w:eastAsia="Arial" w:hAnsi="Arial"/>
                <w:sz w:val="16"/>
                <w:szCs w:val="16"/>
                <w:color w:val="131E29"/>
              </w:rPr>
              <w:t>Effective tax rate</w:t>
            </w:r>
          </w:p>
        </w:tc>
        <w:tc>
          <w:tcPr>
            <w:tcW w:w="820" w:type="dxa"/>
            <w:vAlign w:val="bottom"/>
          </w:tcPr>
          <w:p>
            <w:pPr>
              <w:jc w:val="center"/>
              <w:ind w:left="119"/>
              <w:spacing w:after="0"/>
              <w:rPr>
                <w:sz w:val="20"/>
                <w:szCs w:val="20"/>
                <w:color w:val="auto"/>
              </w:rPr>
            </w:pPr>
            <w:r>
              <w:rPr>
                <w:rFonts w:ascii="Arial" w:cs="Arial" w:eastAsia="Arial" w:hAnsi="Arial"/>
                <w:sz w:val="16"/>
                <w:szCs w:val="16"/>
                <w:color w:val="006098"/>
              </w:rPr>
              <w:t>15.9%</w:t>
            </w:r>
          </w:p>
        </w:tc>
        <w:tc>
          <w:tcPr>
            <w:tcW w:w="1280" w:type="dxa"/>
            <w:vAlign w:val="bottom"/>
            <w:gridSpan w:val="3"/>
          </w:tcPr>
          <w:p>
            <w:pPr>
              <w:jc w:val="center"/>
              <w:ind w:left="179"/>
              <w:spacing w:after="0"/>
              <w:rPr>
                <w:sz w:val="20"/>
                <w:szCs w:val="20"/>
                <w:color w:val="auto"/>
              </w:rPr>
            </w:pPr>
            <w:r>
              <w:rPr>
                <w:rFonts w:ascii="Arial" w:cs="Arial" w:eastAsia="Arial" w:hAnsi="Arial"/>
                <w:sz w:val="16"/>
                <w:szCs w:val="16"/>
                <w:color w:val="131E29"/>
              </w:rPr>
              <w:t>14.8%</w:t>
            </w:r>
          </w:p>
        </w:tc>
        <w:tc>
          <w:tcPr>
            <w:tcW w:w="100" w:type="dxa"/>
            <w:vAlign w:val="bottom"/>
          </w:tcPr>
          <w:p>
            <w:pPr>
              <w:spacing w:after="0"/>
              <w:rPr>
                <w:sz w:val="22"/>
                <w:szCs w:val="22"/>
                <w:color w:val="auto"/>
              </w:rPr>
            </w:pPr>
          </w:p>
        </w:tc>
        <w:tc>
          <w:tcPr>
            <w:tcW w:w="1100" w:type="dxa"/>
            <w:vAlign w:val="bottom"/>
          </w:tcPr>
          <w:p>
            <w:pPr>
              <w:jc w:val="center"/>
              <w:ind w:right="76"/>
              <w:spacing w:after="0"/>
              <w:rPr>
                <w:sz w:val="20"/>
                <w:szCs w:val="20"/>
                <w:color w:val="auto"/>
              </w:rPr>
            </w:pPr>
            <w:r>
              <w:rPr>
                <w:rFonts w:ascii="Arial" w:cs="Arial" w:eastAsia="Arial" w:hAnsi="Arial"/>
                <w:sz w:val="18"/>
                <w:szCs w:val="18"/>
                <w:color w:val="131E29"/>
                <w:w w:val="99"/>
              </w:rPr>
              <w:t>N/A</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131E29"/>
                <w:w w:val="99"/>
              </w:rPr>
              <w:t>N/A</w:t>
            </w:r>
          </w:p>
        </w:tc>
        <w:tc>
          <w:tcPr>
            <w:tcW w:w="1000" w:type="dxa"/>
            <w:vAlign w:val="bottom"/>
          </w:tcPr>
          <w:p>
            <w:pPr>
              <w:jc w:val="center"/>
              <w:spacing w:after="0"/>
              <w:rPr>
                <w:sz w:val="20"/>
                <w:szCs w:val="20"/>
                <w:color w:val="auto"/>
              </w:rPr>
            </w:pPr>
            <w:r>
              <w:rPr>
                <w:rFonts w:ascii="Arial" w:cs="Arial" w:eastAsia="Arial" w:hAnsi="Arial"/>
                <w:sz w:val="16"/>
                <w:szCs w:val="16"/>
                <w:color w:val="006098"/>
              </w:rPr>
              <w:t>12.5%</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131E29"/>
              </w:rPr>
              <w:t>24.8%</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860" w:type="dxa"/>
            <w:vAlign w:val="bottom"/>
          </w:tcPr>
          <w:p>
            <w:pPr>
              <w:jc w:val="center"/>
              <w:spacing w:after="0"/>
              <w:rPr>
                <w:sz w:val="20"/>
                <w:szCs w:val="20"/>
                <w:color w:val="auto"/>
              </w:rPr>
            </w:pPr>
            <w:r>
              <w:rPr>
                <w:rFonts w:ascii="Arial" w:cs="Arial" w:eastAsia="Arial" w:hAnsi="Arial"/>
                <w:sz w:val="18"/>
                <w:szCs w:val="18"/>
                <w:color w:val="131E29"/>
                <w:w w:val="99"/>
              </w:rPr>
              <w:t>N/A</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the effective tax rate to 15.9% from 14.8% in the same period in 2024 is due to the increase in our economic interest of Dutch Bros OpCo.</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the effective tax rate to 12.5% from 24.8% in the same period in 2024 is due to tax deductions related to stock-based compensation, as well as a change in state earnings mix that occurred in 2024.</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We had cash and cash equivalents of $254.4 million and $293.4 million as of June 30, 2025 and December 31, 2024, respectively.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For the six months ended June 30, 2025, our principal sources of liquidity were cash flows from operations and the refinancing of our credit facility. Our principal uses of liquidity for the six months ended June 30, 2025 were to payoff our prior credit facility, fund our new shop builds and other working capital needs.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our cash flows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2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2720" w:type="dxa"/>
            <w:vAlign w:val="bottom"/>
            <w:tcBorders>
              <w:bottom w:val="single" w:sz="8" w:color="D7282F"/>
            </w:tcBorders>
            <w:gridSpan w:val="6"/>
          </w:tcPr>
          <w:p>
            <w:pPr>
              <w:ind w:left="100"/>
              <w:spacing w:after="0"/>
              <w:rPr>
                <w:sz w:val="20"/>
                <w:szCs w:val="20"/>
                <w:color w:val="auto"/>
              </w:rPr>
            </w:pPr>
            <w:r>
              <w:rPr>
                <w:rFonts w:ascii="Arial" w:cs="Arial" w:eastAsia="Arial" w:hAnsi="Arial"/>
                <w:sz w:val="18"/>
                <w:szCs w:val="18"/>
                <w:b w:val="1"/>
                <w:bCs w:val="1"/>
                <w:color w:val="131E29"/>
              </w:rPr>
              <w:t>Six Months Ended June 30,</w:t>
            </w:r>
          </w:p>
        </w:tc>
        <w:tc>
          <w:tcPr>
            <w:tcW w:w="1100" w:type="dxa"/>
            <w:vAlign w:val="bottom"/>
            <w:tcBorders>
              <w:bottom w:val="single" w:sz="8" w:color="D7282F"/>
            </w:tcBorders>
          </w:tcPr>
          <w:p>
            <w:pPr>
              <w:spacing w:after="0"/>
              <w:rPr>
                <w:sz w:val="22"/>
                <w:szCs w:val="22"/>
                <w:color w:val="auto"/>
              </w:rPr>
            </w:pPr>
          </w:p>
        </w:tc>
      </w:tr>
      <w:tr>
        <w:trPr>
          <w:trHeight w:val="263"/>
        </w:trPr>
        <w:tc>
          <w:tcPr>
            <w:tcW w:w="6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20" w:type="dxa"/>
            <w:vAlign w:val="bottom"/>
            <w:tcBorders>
              <w:bottom w:val="single" w:sz="8" w:color="D7282F"/>
            </w:tcBorders>
          </w:tcPr>
          <w:p>
            <w:pPr>
              <w:jc w:val="right"/>
              <w:ind w:right="2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20" w:type="dxa"/>
            <w:vAlign w:val="bottom"/>
            <w:tcBorders>
              <w:bottom w:val="single" w:sz="8" w:color="D7282F"/>
            </w:tcBorders>
          </w:tcPr>
          <w:p>
            <w:pPr>
              <w:jc w:val="right"/>
              <w:ind w:right="2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2200" w:type="dxa"/>
            <w:vAlign w:val="bottom"/>
            <w:tcBorders>
              <w:bottom w:val="single" w:sz="8" w:color="D7282F"/>
            </w:tcBorders>
            <w:gridSpan w:val="3"/>
          </w:tcPr>
          <w:p>
            <w:pPr>
              <w:ind w:left="4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operating activities</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126,781</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20" w:type="dxa"/>
            <w:vAlign w:val="bottom"/>
            <w:tcBorders>
              <w:bottom w:val="single" w:sz="8" w:color="D2DCE5"/>
            </w:tcBorders>
            <w:shd w:val="clear" w:color="auto" w:fill="D2DCE5"/>
          </w:tcPr>
          <w:p>
            <w:pPr>
              <w:jc w:val="center"/>
              <w:ind w:left="50"/>
              <w:spacing w:after="0"/>
              <w:rPr>
                <w:sz w:val="20"/>
                <w:szCs w:val="20"/>
                <w:color w:val="auto"/>
              </w:rPr>
            </w:pPr>
            <w:r>
              <w:rPr>
                <w:rFonts w:ascii="Arial" w:cs="Arial" w:eastAsia="Arial" w:hAnsi="Arial"/>
                <w:sz w:val="18"/>
                <w:szCs w:val="18"/>
                <w:color w:val="131E29"/>
              </w:rPr>
              <w:t>100,729</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26,052</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7"/>
              </w:rPr>
              <w:t>25.9%</w:t>
            </w:r>
          </w:p>
        </w:tc>
      </w:tr>
      <w:tr>
        <w:trPr>
          <w:trHeight w:val="247"/>
        </w:trPr>
        <w:tc>
          <w:tcPr>
            <w:tcW w:w="6140" w:type="dxa"/>
            <w:vAlign w:val="bottom"/>
            <w:gridSpan w:val="2"/>
          </w:tcPr>
          <w:p>
            <w:pPr>
              <w:ind w:left="20"/>
              <w:spacing w:after="0"/>
              <w:rPr>
                <w:sz w:val="20"/>
                <w:szCs w:val="20"/>
                <w:color w:val="auto"/>
              </w:rPr>
            </w:pPr>
            <w:r>
              <w:rPr>
                <w:rFonts w:ascii="Arial" w:cs="Arial" w:eastAsia="Arial" w:hAnsi="Arial"/>
                <w:sz w:val="18"/>
                <w:szCs w:val="18"/>
                <w:color w:val="131E29"/>
              </w:rPr>
              <w:t>Net cash used in investing 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6098"/>
              </w:rPr>
              <w:t>(99,731)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center"/>
              <w:ind w:left="30"/>
              <w:spacing w:after="0"/>
              <w:rPr>
                <w:sz w:val="20"/>
                <w:szCs w:val="20"/>
                <w:color w:val="auto"/>
              </w:rPr>
            </w:pPr>
            <w:r>
              <w:rPr>
                <w:rFonts w:ascii="Arial" w:cs="Arial" w:eastAsia="Arial" w:hAnsi="Arial"/>
                <w:sz w:val="18"/>
                <w:szCs w:val="18"/>
                <w:color w:val="131E29"/>
                <w:w w:val="98"/>
              </w:rPr>
              <w:t>(113,240)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13,509</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131E29"/>
                <w:w w:val="97"/>
              </w:rPr>
              <w:t>(11.9)</w:t>
            </w:r>
          </w:p>
        </w:tc>
      </w:tr>
      <w:tr>
        <w:trPr>
          <w:trHeight w:val="2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(used in) financing activities</w:t>
            </w: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(65,989)</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center"/>
              <w:ind w:left="50"/>
              <w:spacing w:after="0"/>
              <w:rPr>
                <w:sz w:val="20"/>
                <w:szCs w:val="20"/>
                <w:color w:val="auto"/>
              </w:rPr>
            </w:pPr>
            <w:r>
              <w:rPr>
                <w:rFonts w:ascii="Arial" w:cs="Arial" w:eastAsia="Arial" w:hAnsi="Arial"/>
                <w:sz w:val="18"/>
                <w:szCs w:val="18"/>
                <w:color w:val="131E29"/>
              </w:rPr>
              <w:t>139,888</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(205,877)</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(147.2)%</w:t>
            </w: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140" w:type="dxa"/>
            <w:vAlign w:val="bottom"/>
          </w:tcPr>
          <w:p>
            <w:pPr>
              <w:ind w:left="20"/>
              <w:spacing w:after="0"/>
              <w:rPr>
                <w:sz w:val="20"/>
                <w:szCs w:val="20"/>
                <w:color w:val="auto"/>
              </w:rPr>
            </w:pPr>
            <w:r>
              <w:rPr>
                <w:rFonts w:ascii="Arial" w:cs="Arial" w:eastAsia="Arial" w:hAnsi="Arial"/>
                <w:sz w:val="18"/>
                <w:szCs w:val="18"/>
                <w:b w:val="1"/>
                <w:bCs w:val="1"/>
                <w:color w:val="131E29"/>
              </w:rPr>
              <w:t>Net increase (decrease) in 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006098"/>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006098"/>
              </w:rPr>
              <w:t>(38,939)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131E29"/>
              </w:rPr>
              <w:t>127,377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1E29"/>
              </w:rPr>
              <w:t>(166,316)</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131E29"/>
              </w:rPr>
              <w:t>(130.6)%</w:t>
            </w:r>
          </w:p>
        </w:tc>
      </w:tr>
      <w:tr>
        <w:trPr>
          <w:trHeight w:val="278"/>
        </w:trPr>
        <w:tc>
          <w:tcPr>
            <w:tcW w:w="61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280" w:type="dxa"/>
            <w:vAlign w:val="bottom"/>
            <w:tcBorders>
              <w:bottom w:val="single" w:sz="8" w:color="D2DCE5"/>
            </w:tcBorders>
            <w:shd w:val="clear" w:color="auto" w:fill="D2DCE5"/>
          </w:tcPr>
          <w:p>
            <w:pPr>
              <w:spacing w:after="0"/>
              <w:rPr>
                <w:sz w:val="24"/>
                <w:szCs w:val="24"/>
                <w:color w:val="auto"/>
              </w:rPr>
            </w:pPr>
          </w:p>
        </w:tc>
        <w:tc>
          <w:tcPr>
            <w:tcW w:w="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293,354</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D2DCE5"/>
            </w:tcBorders>
            <w:shd w:val="clear" w:color="auto" w:fill="D2DCE5"/>
          </w:tcPr>
          <w:p>
            <w:pPr>
              <w:spacing w:after="0"/>
              <w:rPr>
                <w:sz w:val="24"/>
                <w:szCs w:val="24"/>
                <w:color w:val="auto"/>
              </w:rPr>
            </w:pPr>
          </w:p>
        </w:tc>
        <w:tc>
          <w:tcPr>
            <w:tcW w:w="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133,545</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D2DCE5"/>
            </w:tcBorders>
            <w:shd w:val="clear" w:color="auto" w:fill="D2DCE5"/>
          </w:tcPr>
          <w:p>
            <w:pPr>
              <w:spacing w:after="0"/>
              <w:rPr>
                <w:sz w:val="24"/>
                <w:szCs w:val="24"/>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159,809</w:t>
            </w:r>
          </w:p>
        </w:tc>
        <w:tc>
          <w:tcPr>
            <w:tcW w:w="10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7"/>
              </w:rPr>
              <w:t>119.7</w:t>
            </w:r>
          </w:p>
        </w:tc>
      </w:tr>
      <w:tr>
        <w:trPr>
          <w:trHeight w:val="263"/>
        </w:trPr>
        <w:tc>
          <w:tcPr>
            <w:tcW w:w="6140" w:type="dxa"/>
            <w:vAlign w:val="bottom"/>
          </w:tcPr>
          <w:p>
            <w:pPr>
              <w:ind w:left="20"/>
              <w:spacing w:after="0"/>
              <w:rPr>
                <w:sz w:val="20"/>
                <w:szCs w:val="20"/>
                <w:color w:val="auto"/>
              </w:rPr>
            </w:pPr>
            <w:r>
              <w:rPr>
                <w:rFonts w:ascii="Arial" w:cs="Arial" w:eastAsia="Arial" w:hAnsi="Arial"/>
                <w:sz w:val="18"/>
                <w:szCs w:val="18"/>
                <w:b w:val="1"/>
                <w:bCs w:val="1"/>
                <w:color w:val="131E29"/>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006098"/>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254,415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260,922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(6,507)</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131E29"/>
              </w:rPr>
              <w:t>(2.5)%</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Operating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operating activities cash flows was primarily driven by higher net income as a result of year-over-year sales growth, expanded company-operated shop contribution, and leverage of selling, general and administrative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Investing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investing activities cash outflows was primarily driven by lower i</w:t>
      </w:r>
      <w:r>
        <w:rPr>
          <w:rFonts w:ascii="Arial" w:cs="Arial" w:eastAsia="Arial" w:hAnsi="Arial"/>
          <w:sz w:val="18"/>
          <w:szCs w:val="18"/>
          <w:color w:val="000000"/>
        </w:rPr>
        <w:t>nvestment in capital expenditures due to fewer new</w:t>
      </w:r>
      <w:r>
        <w:rPr>
          <w:rFonts w:ascii="Arial" w:cs="Arial" w:eastAsia="Arial" w:hAnsi="Arial"/>
          <w:sz w:val="18"/>
          <w:szCs w:val="18"/>
          <w:color w:val="131E29"/>
        </w:rPr>
        <w:t xml:space="preserve"> </w:t>
      </w:r>
      <w:r>
        <w:rPr>
          <w:rFonts w:ascii="Arial" w:cs="Arial" w:eastAsia="Arial" w:hAnsi="Arial"/>
          <w:sz w:val="18"/>
          <w:szCs w:val="18"/>
          <w:color w:val="000000"/>
        </w:rPr>
        <w:t>company-operated shops openings in the current period compared to the same period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Financing Activities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The decrease in financing activities cash flows was primarily driven by the net payoff of our 2022 Credit Facility, partially offset by proceeds from our 2025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Requirements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believe that cash provided by operating activities and proceeds from our 2025 Credit Facility are adequate to fund our debt service requirements, lease obligations, cash distributions required by the OpCo LLC Agreement and the TRAs, and working capital obligations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131E29"/>
        </w:rPr>
        <w:t>Our future capital requirements may vary materially from period to period and will depend on many factors, primarily our expansion and growth by opening additional company-operated shops and/or reacquiring existing franchised shops. Further, the payments that we may be required to make under the TRAs may be significant. We currently expect to fund our current and long-term material capital requirements with operating cash flows and, as needed, additional proceeds from our 2025 Credit Facility, but we may also seek additional debt or equity financing. From time to time, we may explore additional financing sources which could include equity, equity</w:t>
      </w:r>
      <w:r>
        <w:rPr>
          <w:rFonts w:ascii="MS PGothic" w:cs="MS PGothic" w:eastAsia="MS PGothic" w:hAnsi="MS PGothic"/>
          <w:sz w:val="18"/>
          <w:szCs w:val="18"/>
          <w:color w:val="131E29"/>
        </w:rPr>
        <w:t>‑</w:t>
      </w:r>
      <w:r>
        <w:rPr>
          <w:rFonts w:ascii="Arial" w:cs="Arial" w:eastAsia="Arial" w:hAnsi="Arial"/>
          <w:sz w:val="18"/>
          <w:szCs w:val="18"/>
          <w:color w:val="131E29"/>
        </w:rPr>
        <w:t>linked, and debt financing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As of June 30, 2025, cash requirements for the following items have materially changed from our 2024 Form 10-K:</w:t>
      </w:r>
    </w:p>
    <w:p>
      <w:pPr>
        <w:spacing w:after="0" w:line="17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131E29"/>
        </w:rPr>
      </w:pPr>
      <w:r>
        <w:rPr>
          <w:rFonts w:ascii="Arial" w:cs="Arial" w:eastAsia="Arial" w:hAnsi="Arial"/>
          <w:sz w:val="18"/>
          <w:szCs w:val="18"/>
          <w:color w:val="006098"/>
        </w:rPr>
        <w:t xml:space="preserve">Operating lease liabilities </w:t>
      </w:r>
      <w:r>
        <w:rPr>
          <w:rFonts w:ascii="Arial" w:cs="Arial" w:eastAsia="Arial" w:hAnsi="Arial"/>
          <w:sz w:val="18"/>
          <w:szCs w:val="18"/>
          <w:color w:val="131E29"/>
        </w:rPr>
        <w:t>— increased approximately $124 million from newly commenced leases.</w:t>
      </w:r>
    </w:p>
    <w:p>
      <w:pPr>
        <w:spacing w:after="0" w:line="63"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3"/>
        </w:numPr>
        <w:rPr>
          <w:rFonts w:ascii="Arial" w:cs="Arial" w:eastAsia="Arial" w:hAnsi="Arial"/>
          <w:sz w:val="18"/>
          <w:szCs w:val="18"/>
          <w:color w:val="131E29"/>
        </w:rPr>
      </w:pPr>
      <w:r>
        <w:rPr>
          <w:rFonts w:ascii="Arial" w:cs="Arial" w:eastAsia="Arial" w:hAnsi="Arial"/>
          <w:sz w:val="18"/>
          <w:szCs w:val="18"/>
          <w:color w:val="006098"/>
        </w:rPr>
        <w:t xml:space="preserve">Debt obligations </w:t>
      </w:r>
      <w:r>
        <w:rPr>
          <w:rFonts w:ascii="Arial" w:cs="Arial" w:eastAsia="Arial" w:hAnsi="Arial"/>
          <w:sz w:val="18"/>
          <w:szCs w:val="18"/>
          <w:color w:val="131E29"/>
        </w:rPr>
        <w:t>— decreased approximately $35 million on a net basis primarily due to the payoff of our 2022 Credit Facility, partially</w:t>
      </w:r>
      <w:r>
        <w:rPr>
          <w:rFonts w:ascii="Arial" w:cs="Arial" w:eastAsia="Arial" w:hAnsi="Arial"/>
          <w:sz w:val="18"/>
          <w:szCs w:val="18"/>
          <w:color w:val="006098"/>
        </w:rPr>
        <w:t xml:space="preserve"> </w:t>
      </w:r>
      <w:r>
        <w:rPr>
          <w:rFonts w:ascii="Arial" w:cs="Arial" w:eastAsia="Arial" w:hAnsi="Arial"/>
          <w:sz w:val="18"/>
          <w:szCs w:val="18"/>
          <w:color w:val="131E29"/>
        </w:rPr>
        <w:t>offset by proceeds from the 2025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JPMorgan Credit Facility</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May 29, 2025 (the Effective Date), we amended and restated our existing $650 million senior secured credit facility, dated February 28, 2022 (as previously amended, the 2022 Credit Facility), with JPMorgan Chase Bank, N.A. as administrative agent and other financial institutions as the lenders party thereto (the 2025 Credit Facility). The 2025 Credit Facility consists of a $500 million revolving credit facility and a term loan facility of up to $150 million. The 2025 Credit Facility also includes sublimits for letters of credit and swingline loans of up to $100 million and $20 million, respectively. The 2025 Credit Facility expires on May 29, 2030 (the Maturity Date). It also contains an option allowing the Loan Parties to increase the size of the 2025 Credit Facility by up to an additional (i) $230 million or (ii) 80% of EBITDAR, whichever is greater, with the agreement of the Administrative Agent and the applicable lenders party thereto.</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On the Effective Date, we drew the full $150 million in term loan and $50 million in revolving loans under the 2025 Credit Facility, and all outstanding debt under the 2022 Credit Facility was repaid.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Interest on borrowings under the 2025 Credit Facility is based on (i) the Alternate Base Rate plus an applicable margin, or (ii) the Term SOFR Rate plus an applicable margin (each as defined in the 2025 Credit Facility), and is payable in accordance with the selected interest rate period and upon maturity. Principal payments for the term loans are required on a quarterly basis in accordance with an amortization schedule up through and including the Maturity Date.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Obligations under the 2025 Credit Facility are guaranteed by Dutch Bros OpCo and certain of its subsidiaries, and secured by a first priority perfected security interest in substantially all of the assets of the guarantors.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Interest Rate Swap Contract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have an interest rate swap with JPMorgan Chase Bank, N.A. As of June 30, 2025, the interest rate swap had a notional amount of approximately $62 million and hedges interest rate risk on the term loan under the 2025 Credit Facility. The purpose of the floating-to-fixed interest rate swap is to fix the interest base rate charged on the term loan at 2.67% for the notional amount. The interest rate swap matures on February 28, 2027.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31E29"/>
        </w:rPr>
        <w:t>The amendment to our credit facility had no impact on our interest rate swap contract.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See NOTE 9 — Debt and NOTE 10 — Derivative Financial Instruments for additional details related to our 2025 Credit Facility and interest rate swap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Organizational Realignment and Restructurings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We expect to recognize additional costs associated with our May 2025 back-office streamlining and restructuring program of up to $8.5 million, including cash expenditures for (i) employee-related costs and (ii) other costs, including consulting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See NOTE 4 — Organization Realignment and Restructurings for additional details.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Seasonality</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business is subject to seasonal fluctuations that impact our revenue and company-operated shops gross profit margins. We typically experience higher system sales in the summer months, which impacts revenue and company-operated shops gross profit margins in the second and third quarters of our fiscal year.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Critical Accounting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There have been no material changes to our critical accounting estimates from those disclosed in our 2024 Form 10-K.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Segment contribution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Segment gross profit, before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Net income before interest expense (net of interest income), income tax expense, and depreciation and amortization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Defined as EBITDA, excluding equity-based compensation, expenses associated with equity offerings, expenses associated with credit facility refinancing executives transitions costs, (gain) loss on the remeasurement of the liability related to the TRAs, sale of Aircraft, and organization realignment and restructurings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Adjusted selling, general, and administrative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Selling, general, and administrative expenses, excluding depreciation and amortization, equity-based compensation expense, expenses associated with equity offerings, executive transitions costs, and organization realignment and restructurings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Non-cash expenses related to the grant and vesting of stock awards, including RSAs, RSUs and PSUs, in Dutch Bros Inc. to certain eligible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Expenses associated with equity offerings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Costs incurred as a result of our equity offerings, including secondary offerings by our Sponsor. These costs include, but are not limited to, legal fees, consulting fees, tax fees, and accounting fees.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Expenses associated with 2022 credit facility refinancing</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Costs incurred as a result of refinancing our credit facility in May 2025, including write-off of unamortized loan costs related to the amendment and restatement of our 2022 Credit Facility, and intermediary fees and other costs related to our 2025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Executive transitions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Employee severance and related benefit costs, as well as sign-on bonus(es) for several executive-level transitions occurring in 2022 and 2023, and amortized through the first quarter of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TRAs remeasurements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(Gain) loss impacts related to adjustments of our TRAs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Sale of Aircraft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Gain impact related to the sale of the Company airplane to our Co-Founder.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Organization realignment and restructurings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Fees and costs, including consulting, employee-related and other costs, in connection with our comprehensive initiatives to develop and implement a long-term strategy involving changes to our organizational structure to support our growth. Our 2024 initiative resulted in realignment activities that occurred in 2023, and restructuring activities to expand our support center operations in Phoenix, Arizona including the build out and move into our new office, that commenced in 2024, and were substantially completed in March 2025. The activities related to our 2025 initiative, which commenced in May 2025 and are expected to continue through at least the first half of 2026, primarily relate to relocation and streamlining of our remaining back-office operations to our new Phoenix, Arizona corporate headquarters. Given the magnitude and scope of these strategic initiatives, we do not expect such costs will recur in the foreseeable future, and do not consider such costs reflective of the ongoing costs necessary to operate our business.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following are reconciliations of the most comparable GAAP metric to non-GAAP metrics (presented in dollars and as a percentage of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80" w:type="dxa"/>
            <w:vAlign w:val="bottom"/>
            <w:tcBorders>
              <w:bottom w:val="single" w:sz="8" w:color="D7282F"/>
            </w:tcBorders>
            <w:gridSpan w:val="14"/>
          </w:tcPr>
          <w:p>
            <w:pPr>
              <w:jc w:val="right"/>
              <w:ind w:right="20"/>
              <w:spacing w:after="0"/>
              <w:rPr>
                <w:sz w:val="20"/>
                <w:szCs w:val="20"/>
                <w:color w:val="auto"/>
              </w:rPr>
            </w:pPr>
            <w:r>
              <w:rPr>
                <w:rFonts w:ascii="Arial" w:cs="Arial" w:eastAsia="Arial" w:hAnsi="Arial"/>
                <w:sz w:val="18"/>
                <w:szCs w:val="18"/>
                <w:b w:val="1"/>
                <w:bCs w:val="1"/>
                <w:color w:val="131E29"/>
              </w:rPr>
              <w:t>Three Months Ended June 30,</w:t>
            </w:r>
          </w:p>
        </w:tc>
        <w:tc>
          <w:tcPr>
            <w:tcW w:w="460" w:type="dxa"/>
            <w:vAlign w:val="bottom"/>
            <w:tcBorders>
              <w:bottom w:val="single" w:sz="8" w:color="D7282F"/>
            </w:tcBorders>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20" w:type="dxa"/>
            <w:vAlign w:val="bottom"/>
            <w:tcBorders>
              <w:bottom w:val="single" w:sz="8" w:color="D7282F"/>
            </w:tcBorders>
            <w:gridSpan w:val="11"/>
          </w:tcPr>
          <w:p>
            <w:pPr>
              <w:ind w:left="680"/>
              <w:spacing w:after="0"/>
              <w:rPr>
                <w:sz w:val="20"/>
                <w:szCs w:val="20"/>
                <w:color w:val="auto"/>
              </w:rPr>
            </w:pPr>
            <w:r>
              <w:rPr>
                <w:rFonts w:ascii="Arial" w:cs="Arial" w:eastAsia="Arial" w:hAnsi="Arial"/>
                <w:sz w:val="18"/>
                <w:szCs w:val="18"/>
                <w:b w:val="1"/>
                <w:bCs w:val="1"/>
                <w:color w:val="131E29"/>
              </w:rPr>
              <w:t>Six Months Ended June 30,</w:t>
            </w:r>
          </w:p>
        </w:tc>
        <w:tc>
          <w:tcPr>
            <w:tcW w:w="560" w:type="dxa"/>
            <w:vAlign w:val="bottom"/>
            <w:tcBorders>
              <w:bottom w:val="single" w:sz="8" w:color="D7282F"/>
            </w:tcBorders>
          </w:tcPr>
          <w:p>
            <w:pPr>
              <w:spacing w:after="0"/>
              <w:rPr>
                <w:sz w:val="22"/>
                <w:szCs w:val="22"/>
                <w:color w:val="auto"/>
              </w:rPr>
            </w:pPr>
          </w:p>
        </w:tc>
      </w:tr>
      <w:tr>
        <w:trPr>
          <w:trHeight w:val="263"/>
        </w:trPr>
        <w:tc>
          <w:tcPr>
            <w:tcW w:w="3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Borders>
              <w:bottom w:val="single" w:sz="8" w:color="D7282F"/>
            </w:tcBorders>
            <w:gridSpan w:val="5"/>
          </w:tcPr>
          <w:p>
            <w:pPr>
              <w:jc w:val="right"/>
              <w:ind w:right="100"/>
              <w:spacing w:after="0"/>
              <w:rPr>
                <w:sz w:val="20"/>
                <w:szCs w:val="20"/>
                <w:color w:val="auto"/>
              </w:rPr>
            </w:pPr>
            <w:r>
              <w:rPr>
                <w:rFonts w:ascii="Arial" w:cs="Arial" w:eastAsia="Arial" w:hAnsi="Arial"/>
                <w:sz w:val="18"/>
                <w:szCs w:val="18"/>
                <w:b w:val="1"/>
                <w:bCs w:val="1"/>
                <w:color w:val="131E29"/>
              </w:rPr>
              <w:t>2025</w:t>
            </w:r>
          </w:p>
        </w:tc>
        <w:tc>
          <w:tcPr>
            <w:tcW w:w="540" w:type="dxa"/>
            <w:vAlign w:val="bottom"/>
            <w:tcBorders>
              <w:bottom w:val="single" w:sz="8" w:color="D7282F"/>
            </w:tcBorders>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Borders>
              <w:bottom w:val="single" w:sz="8" w:color="D7282F"/>
            </w:tcBorders>
            <w:gridSpan w:val="5"/>
          </w:tcPr>
          <w:p>
            <w:pPr>
              <w:jc w:val="right"/>
              <w:ind w:right="160"/>
              <w:spacing w:after="0"/>
              <w:rPr>
                <w:sz w:val="20"/>
                <w:szCs w:val="20"/>
                <w:color w:val="auto"/>
              </w:rPr>
            </w:pPr>
            <w:r>
              <w:rPr>
                <w:rFonts w:ascii="Arial" w:cs="Arial" w:eastAsia="Arial" w:hAnsi="Arial"/>
                <w:sz w:val="18"/>
                <w:szCs w:val="18"/>
                <w:b w:val="1"/>
                <w:bCs w:val="1"/>
                <w:color w:val="131E29"/>
              </w:rPr>
              <w:t>2024</w:t>
            </w:r>
          </w:p>
        </w:tc>
        <w:tc>
          <w:tcPr>
            <w:tcW w:w="460" w:type="dxa"/>
            <w:vAlign w:val="bottom"/>
            <w:tcBorders>
              <w:bottom w:val="single" w:sz="8" w:color="D7282F"/>
            </w:tcBorders>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bottom w:val="single" w:sz="8" w:color="D7282F"/>
            </w:tcBorders>
            <w:gridSpan w:val="4"/>
          </w:tcPr>
          <w:p>
            <w:pPr>
              <w:ind w:left="700"/>
              <w:spacing w:after="0"/>
              <w:rPr>
                <w:sz w:val="20"/>
                <w:szCs w:val="20"/>
                <w:color w:val="auto"/>
              </w:rPr>
            </w:pPr>
            <w:r>
              <w:rPr>
                <w:rFonts w:ascii="Arial" w:cs="Arial" w:eastAsia="Arial" w:hAnsi="Arial"/>
                <w:sz w:val="18"/>
                <w:szCs w:val="18"/>
                <w:b w:val="1"/>
                <w:bCs w:val="1"/>
                <w:color w:val="131E29"/>
              </w:rPr>
              <w:t>2025</w:t>
            </w:r>
          </w:p>
        </w:tc>
        <w:tc>
          <w:tcPr>
            <w:tcW w:w="580" w:type="dxa"/>
            <w:vAlign w:val="bottom"/>
            <w:tcBorders>
              <w:bottom w:val="single" w:sz="8" w:color="D7282F"/>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bottom w:val="single" w:sz="8" w:color="D7282F"/>
            </w:tcBorders>
            <w:gridSpan w:val="4"/>
          </w:tcPr>
          <w:p>
            <w:pPr>
              <w:jc w:val="right"/>
              <w:ind w:right="140"/>
              <w:spacing w:after="0"/>
              <w:rPr>
                <w:sz w:val="20"/>
                <w:szCs w:val="20"/>
                <w:color w:val="auto"/>
              </w:rPr>
            </w:pPr>
            <w:r>
              <w:rPr>
                <w:rFonts w:ascii="Arial" w:cs="Arial" w:eastAsia="Arial" w:hAnsi="Arial"/>
                <w:sz w:val="18"/>
                <w:szCs w:val="18"/>
                <w:b w:val="1"/>
                <w:bCs w:val="1"/>
                <w:color w:val="131E29"/>
              </w:rPr>
              <w:t>2024</w:t>
            </w:r>
          </w:p>
        </w:tc>
        <w:tc>
          <w:tcPr>
            <w:tcW w:w="560" w:type="dxa"/>
            <w:vAlign w:val="bottom"/>
            <w:tcBorders>
              <w:bottom w:val="single" w:sz="8" w:color="D7282F"/>
            </w:tcBorders>
          </w:tcPr>
          <w:p>
            <w:pPr>
              <w:spacing w:after="0"/>
              <w:rPr>
                <w:sz w:val="22"/>
                <w:szCs w:val="22"/>
                <w:color w:val="auto"/>
              </w:rPr>
            </w:pPr>
          </w:p>
        </w:tc>
      </w:tr>
      <w:tr>
        <w:trPr>
          <w:trHeight w:val="264"/>
        </w:trPr>
        <w:tc>
          <w:tcPr>
            <w:tcW w:w="380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gridSpan w:val="2"/>
          </w:tcPr>
          <w:p>
            <w:pPr>
              <w:spacing w:after="0"/>
              <w:rPr>
                <w:sz w:val="22"/>
                <w:szCs w:val="22"/>
                <w:color w:val="auto"/>
              </w:rPr>
            </w:pPr>
          </w:p>
        </w:tc>
        <w:tc>
          <w:tcPr>
            <w:tcW w:w="900" w:type="dxa"/>
            <w:vAlign w:val="bottom"/>
            <w:tcBorders>
              <w:bottom w:val="single" w:sz="8" w:color="D7282F"/>
            </w:tcBorders>
          </w:tcPr>
          <w:p>
            <w:pPr>
              <w:jc w:val="right"/>
              <w:ind w:right="290"/>
              <w:spacing w:after="0"/>
              <w:rPr>
                <w:sz w:val="20"/>
                <w:szCs w:val="20"/>
                <w:color w:val="auto"/>
              </w:rPr>
            </w:pPr>
            <w:r>
              <w:rPr>
                <w:rFonts w:ascii="Arial" w:cs="Arial" w:eastAsia="Arial" w:hAnsi="Arial"/>
                <w:sz w:val="18"/>
                <w:szCs w:val="18"/>
                <w:b w:val="1"/>
                <w:bCs w:val="1"/>
                <w:color w:val="131E29"/>
              </w:rPr>
              <w:t>$</w:t>
            </w:r>
          </w:p>
        </w:tc>
        <w:tc>
          <w:tcPr>
            <w:tcW w:w="60" w:type="dxa"/>
            <w:vAlign w:val="bottom"/>
            <w:tcBorders>
              <w:bottom w:val="single" w:sz="8" w:color="D7282F"/>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540" w:type="dxa"/>
            <w:vAlign w:val="bottom"/>
            <w:tcBorders>
              <w:bottom w:val="single" w:sz="8" w:color="D7282F"/>
            </w:tcBorders>
          </w:tcPr>
          <w:p>
            <w:pPr>
              <w:jc w:val="right"/>
              <w:ind w:right="150"/>
              <w:spacing w:after="0"/>
              <w:rPr>
                <w:sz w:val="20"/>
                <w:szCs w:val="20"/>
                <w:color w:val="auto"/>
              </w:rPr>
            </w:pPr>
            <w:r>
              <w:rPr>
                <w:rFonts w:ascii="Arial" w:cs="Arial" w:eastAsia="Arial" w:hAnsi="Arial"/>
                <w:sz w:val="18"/>
                <w:szCs w:val="18"/>
                <w:b w:val="1"/>
                <w:bCs w:val="1"/>
                <w:color w:val="131E29"/>
              </w:rPr>
              <w:t>%</w:t>
            </w:r>
          </w:p>
        </w:tc>
        <w:tc>
          <w:tcPr>
            <w:tcW w:w="40" w:type="dxa"/>
            <w:vAlign w:val="bottom"/>
            <w:tcBorders>
              <w:bottom w:val="single" w:sz="8" w:color="D7282F"/>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60" w:type="dxa"/>
            <w:vAlign w:val="bottom"/>
            <w:tcBorders>
              <w:bottom w:val="single" w:sz="8" w:color="D2DCE5"/>
            </w:tcBorders>
          </w:tcPr>
          <w:p>
            <w:pPr>
              <w:spacing w:after="0"/>
              <w:rPr>
                <w:sz w:val="22"/>
                <w:szCs w:val="22"/>
                <w:color w:val="auto"/>
              </w:rPr>
            </w:pPr>
          </w:p>
        </w:tc>
        <w:tc>
          <w:tcPr>
            <w:tcW w:w="84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w:t>
            </w:r>
          </w:p>
        </w:tc>
        <w:tc>
          <w:tcPr>
            <w:tcW w:w="60" w:type="dxa"/>
            <w:vAlign w:val="bottom"/>
            <w:tcBorders>
              <w:bottom w:val="single" w:sz="8" w:color="D7282F"/>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60" w:type="dxa"/>
            <w:vAlign w:val="bottom"/>
            <w:tcBorders>
              <w:bottom w:val="single" w:sz="8" w:color="D2DCE5"/>
            </w:tcBorders>
          </w:tcPr>
          <w:p>
            <w:pPr>
              <w:spacing w:after="0"/>
              <w:rPr>
                <w:sz w:val="22"/>
                <w:szCs w:val="22"/>
                <w:color w:val="auto"/>
              </w:rPr>
            </w:pPr>
          </w:p>
        </w:tc>
        <w:tc>
          <w:tcPr>
            <w:tcW w:w="220" w:type="dxa"/>
            <w:vAlign w:val="bottom"/>
            <w:tcBorders>
              <w:bottom w:val="single" w:sz="8" w:color="D7282F"/>
            </w:tcBorders>
          </w:tcPr>
          <w:p>
            <w:pPr>
              <w:spacing w:after="0"/>
              <w:rPr>
                <w:sz w:val="22"/>
                <w:szCs w:val="22"/>
                <w:color w:val="auto"/>
              </w:rPr>
            </w:pPr>
          </w:p>
        </w:tc>
        <w:tc>
          <w:tcPr>
            <w:tcW w:w="460" w:type="dxa"/>
            <w:vAlign w:val="bottom"/>
            <w:tcBorders>
              <w:bottom w:val="single" w:sz="8" w:color="D7282F"/>
            </w:tcBorders>
          </w:tcPr>
          <w:p>
            <w:pPr>
              <w:jc w:val="right"/>
              <w:ind w:right="150"/>
              <w:spacing w:after="0"/>
              <w:rPr>
                <w:sz w:val="20"/>
                <w:szCs w:val="20"/>
                <w:color w:val="auto"/>
              </w:rPr>
            </w:pPr>
            <w:r>
              <w:rPr>
                <w:rFonts w:ascii="Arial" w:cs="Arial" w:eastAsia="Arial" w:hAnsi="Arial"/>
                <w:sz w:val="18"/>
                <w:szCs w:val="18"/>
                <w:b w:val="1"/>
                <w:bCs w:val="1"/>
                <w:color w:val="131E29"/>
              </w:rPr>
              <w:t>%</w:t>
            </w:r>
          </w:p>
        </w:tc>
        <w:tc>
          <w:tcPr>
            <w:tcW w:w="40" w:type="dxa"/>
            <w:vAlign w:val="bottom"/>
            <w:tcBorders>
              <w:bottom w:val="single" w:sz="8" w:color="D7282F"/>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96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8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2DCE5"/>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960" w:type="dxa"/>
            <w:vAlign w:val="bottom"/>
            <w:tcBorders>
              <w:bottom w:val="single" w:sz="8" w:color="D7282F"/>
            </w:tcBorders>
            <w:gridSpan w:val="2"/>
          </w:tcPr>
          <w:p>
            <w:pPr>
              <w:jc w:val="right"/>
              <w:ind w:right="3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6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70"/>
        </w:trPr>
        <w:tc>
          <w:tcPr>
            <w:tcW w:w="390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gross profit</w:t>
            </w:r>
          </w:p>
        </w:tc>
        <w:tc>
          <w:tcPr>
            <w:tcW w:w="9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92,552</w:t>
            </w: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24.3</w:t>
            </w: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70,016</w:t>
            </w: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4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23.7</w:t>
            </w: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164,050</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23.2</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96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124,321</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22.9</w:t>
            </w: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color w:val="006098"/>
              </w:rPr>
              <w:t>25,684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6.8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21,038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131E29"/>
              </w:rPr>
              <w:t>7.1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50,251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06098"/>
              </w:rPr>
              <w:t>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131E29"/>
              </w:rPr>
              <w:t>40,732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7.5</w:t>
            </w:r>
          </w:p>
        </w:tc>
      </w:tr>
      <w:tr>
        <w:trPr>
          <w:trHeight w:val="23"/>
        </w:trPr>
        <w:tc>
          <w:tcPr>
            <w:tcW w:w="37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390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contribution</w:t>
            </w:r>
          </w:p>
        </w:tc>
        <w:tc>
          <w:tcPr>
            <w:tcW w:w="9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118,236</w:t>
            </w:r>
          </w:p>
        </w:tc>
        <w:tc>
          <w:tcPr>
            <w:tcW w:w="60" w:type="dxa"/>
            <w:vAlign w:val="bottom"/>
            <w:tcBorders>
              <w:bottom w:val="single" w:sz="8" w:color="auto"/>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spacing w:after="0"/>
              <w:rPr>
                <w:sz w:val="24"/>
                <w:szCs w:val="24"/>
                <w:color w:val="auto"/>
              </w:rPr>
            </w:pPr>
          </w:p>
        </w:tc>
        <w:tc>
          <w:tcPr>
            <w:tcW w:w="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31.1</w:t>
            </w:r>
          </w:p>
        </w:tc>
        <w:tc>
          <w:tcPr>
            <w:tcW w:w="40" w:type="dxa"/>
            <w:vAlign w:val="bottom"/>
            <w:tcBorders>
              <w:bottom w:val="single" w:sz="8" w:color="auto"/>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60" w:type="dxa"/>
            <w:vAlign w:val="bottom"/>
            <w:tcBorders>
              <w:bottom w:val="single" w:sz="8" w:color="D2DCE5"/>
            </w:tcBorders>
            <w:shd w:val="clear" w:color="auto" w:fill="D2DCE5"/>
          </w:tcPr>
          <w:p>
            <w:pPr>
              <w:spacing w:after="0"/>
              <w:rPr>
                <w:sz w:val="24"/>
                <w:szCs w:val="24"/>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91,054</w:t>
            </w:r>
          </w:p>
        </w:tc>
        <w:tc>
          <w:tcPr>
            <w:tcW w:w="60" w:type="dxa"/>
            <w:vAlign w:val="bottom"/>
            <w:tcBorders>
              <w:bottom w:val="single" w:sz="8" w:color="auto"/>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6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spacing w:after="0"/>
              <w:rPr>
                <w:sz w:val="24"/>
                <w:szCs w:val="24"/>
                <w:color w:val="auto"/>
              </w:rPr>
            </w:pPr>
          </w:p>
        </w:tc>
        <w:tc>
          <w:tcPr>
            <w:tcW w:w="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30.8</w:t>
            </w:r>
          </w:p>
        </w:tc>
        <w:tc>
          <w:tcPr>
            <w:tcW w:w="40" w:type="dxa"/>
            <w:vAlign w:val="bottom"/>
            <w:tcBorders>
              <w:bottom w:val="single" w:sz="8" w:color="auto"/>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214,301</w:t>
            </w:r>
          </w:p>
        </w:tc>
        <w:tc>
          <w:tcPr>
            <w:tcW w:w="80" w:type="dxa"/>
            <w:vAlign w:val="bottom"/>
            <w:tcBorders>
              <w:bottom w:val="single" w:sz="8" w:color="D2DCE5"/>
            </w:tcBorders>
            <w:shd w:val="clear" w:color="auto" w:fill="D2DCE5"/>
          </w:tcPr>
          <w:p>
            <w:pPr>
              <w:spacing w:after="0"/>
              <w:rPr>
                <w:sz w:val="24"/>
                <w:szCs w:val="24"/>
                <w:color w:val="auto"/>
              </w:rPr>
            </w:pPr>
          </w:p>
        </w:tc>
        <w:tc>
          <w:tcPr>
            <w:tcW w:w="2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spacing w:after="0"/>
              <w:rPr>
                <w:sz w:val="24"/>
                <w:szCs w:val="24"/>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30.3</w:t>
            </w:r>
          </w:p>
        </w:tc>
        <w:tc>
          <w:tcPr>
            <w:tcW w:w="20" w:type="dxa"/>
            <w:vAlign w:val="bottom"/>
            <w:tcBorders>
              <w:bottom w:val="single" w:sz="8" w:color="D2DCE5"/>
            </w:tcBorders>
            <w:shd w:val="clear" w:color="auto" w:fill="D2DCE5"/>
          </w:tcPr>
          <w:p>
            <w:pPr>
              <w:spacing w:after="0"/>
              <w:rPr>
                <w:sz w:val="24"/>
                <w:szCs w:val="24"/>
                <w:color w:val="auto"/>
              </w:rPr>
            </w:pPr>
          </w:p>
        </w:tc>
        <w:tc>
          <w:tcPr>
            <w:tcW w:w="80" w:type="dxa"/>
            <w:vAlign w:val="bottom"/>
            <w:tcBorders>
              <w:bottom w:val="single" w:sz="8" w:color="D2DCE5"/>
            </w:tcBorders>
            <w:shd w:val="clear" w:color="auto" w:fill="D2DCE5"/>
          </w:tcPr>
          <w:p>
            <w:pPr>
              <w:spacing w:after="0"/>
              <w:rPr>
                <w:sz w:val="24"/>
                <w:szCs w:val="24"/>
                <w:color w:val="auto"/>
              </w:rPr>
            </w:pPr>
          </w:p>
        </w:tc>
        <w:tc>
          <w:tcPr>
            <w:tcW w:w="960" w:type="dxa"/>
            <w:vAlign w:val="bottom"/>
            <w:tcBorders>
              <w:bottom w:val="single" w:sz="8" w:color="auto"/>
            </w:tcBorders>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165,053</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spacing w:after="0"/>
              <w:rPr>
                <w:sz w:val="24"/>
                <w:szCs w:val="24"/>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30.4</w:t>
            </w:r>
          </w:p>
        </w:tc>
      </w:tr>
      <w:tr>
        <w:trPr>
          <w:trHeight w:val="20"/>
        </w:trPr>
        <w:tc>
          <w:tcPr>
            <w:tcW w:w="37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D2DCE5"/>
              <w:bottom w:val="single" w:sz="8" w:color="auto"/>
            </w:tcBorders>
          </w:tcPr>
          <w:p>
            <w:pPr>
              <w:spacing w:after="0" w:line="20" w:lineRule="exact"/>
              <w:rPr>
                <w:sz w:val="1"/>
                <w:szCs w:val="1"/>
                <w:color w:val="auto"/>
              </w:rPr>
            </w:pPr>
          </w:p>
        </w:tc>
        <w:tc>
          <w:tcPr>
            <w:tcW w:w="60" w:type="dxa"/>
            <w:vAlign w:val="bottom"/>
            <w:tcBorders>
              <w:top w:val="single" w:sz="8" w:color="D2DCE5"/>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80" w:type="dxa"/>
            <w:vAlign w:val="bottom"/>
            <w:tcBorders>
              <w:top w:val="single" w:sz="8" w:color="D2DCE5"/>
              <w:bottom w:val="single" w:sz="8" w:color="auto"/>
            </w:tcBorders>
            <w:gridSpan w:val="2"/>
          </w:tcPr>
          <w:p>
            <w:pPr>
              <w:spacing w:after="0" w:line="20" w:lineRule="exact"/>
              <w:rPr>
                <w:sz w:val="1"/>
                <w:szCs w:val="1"/>
                <w:color w:val="auto"/>
              </w:rPr>
            </w:pPr>
          </w:p>
        </w:tc>
        <w:tc>
          <w:tcPr>
            <w:tcW w:w="40" w:type="dxa"/>
            <w:vAlign w:val="bottom"/>
            <w:tcBorders>
              <w:top w:val="single" w:sz="8" w:color="D2DCE5"/>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60" w:type="dxa"/>
            <w:vAlign w:val="bottom"/>
            <w:tcBorders>
              <w:top w:val="single" w:sz="8" w:color="D2DCE5"/>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460" w:type="dxa"/>
            <w:vAlign w:val="bottom"/>
            <w:tcBorders>
              <w:top w:val="single" w:sz="8" w:color="D2DCE5"/>
              <w:bottom w:val="single" w:sz="8" w:color="auto"/>
            </w:tcBorders>
          </w:tcPr>
          <w:p>
            <w:pPr>
              <w:spacing w:after="0" w:line="20" w:lineRule="exact"/>
              <w:rPr>
                <w:sz w:val="1"/>
                <w:szCs w:val="1"/>
                <w:color w:val="auto"/>
              </w:rPr>
            </w:pPr>
          </w:p>
        </w:tc>
        <w:tc>
          <w:tcPr>
            <w:tcW w:w="40" w:type="dxa"/>
            <w:vAlign w:val="bottom"/>
            <w:tcBorders>
              <w:top w:val="single" w:sz="8" w:color="D2DCE5"/>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D2DCE5"/>
              <w:bottom w:val="single" w:sz="8" w:color="auto"/>
            </w:tcBorders>
            <w:gridSpan w:val="2"/>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560" w:type="dxa"/>
            <w:vAlign w:val="bottom"/>
            <w:tcBorders>
              <w:top w:val="single" w:sz="8" w:color="D2DCE5"/>
              <w:bottom w:val="single" w:sz="8" w:color="auto"/>
            </w:tcBorders>
          </w:tcPr>
          <w:p>
            <w:pPr>
              <w:spacing w:after="0" w:line="20" w:lineRule="exact"/>
              <w:rPr>
                <w:sz w:val="1"/>
                <w:szCs w:val="1"/>
                <w:color w:val="auto"/>
              </w:rPr>
            </w:pPr>
          </w:p>
        </w:tc>
      </w:tr>
      <w:tr>
        <w:trPr>
          <w:trHeight w:val="521"/>
        </w:trPr>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D7282F"/>
            </w:tcBorders>
          </w:tcPr>
          <w:p>
            <w:pPr>
              <w:spacing w:after="0"/>
              <w:rPr>
                <w:sz w:val="24"/>
                <w:szCs w:val="24"/>
                <w:color w:val="auto"/>
              </w:rPr>
            </w:pPr>
          </w:p>
        </w:tc>
        <w:tc>
          <w:tcPr>
            <w:tcW w:w="3080" w:type="dxa"/>
            <w:vAlign w:val="bottom"/>
            <w:tcBorders>
              <w:bottom w:val="single" w:sz="8" w:color="D7282F"/>
            </w:tcBorders>
            <w:gridSpan w:val="14"/>
          </w:tcPr>
          <w:p>
            <w:pPr>
              <w:jc w:val="right"/>
              <w:ind w:right="60"/>
              <w:spacing w:after="0"/>
              <w:rPr>
                <w:sz w:val="20"/>
                <w:szCs w:val="20"/>
                <w:color w:val="auto"/>
              </w:rPr>
            </w:pPr>
            <w:r>
              <w:rPr>
                <w:rFonts w:ascii="Arial" w:cs="Arial" w:eastAsia="Arial" w:hAnsi="Arial"/>
                <w:sz w:val="18"/>
                <w:szCs w:val="18"/>
                <w:b w:val="1"/>
                <w:bCs w:val="1"/>
                <w:color w:val="131E29"/>
              </w:rPr>
              <w:t>Three Months Ended June 30,</w:t>
            </w:r>
          </w:p>
        </w:tc>
        <w:tc>
          <w:tcPr>
            <w:tcW w:w="460" w:type="dxa"/>
            <w:vAlign w:val="bottom"/>
            <w:tcBorders>
              <w:bottom w:val="single" w:sz="8" w:color="D7282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D7282F"/>
            </w:tcBorders>
          </w:tcPr>
          <w:p>
            <w:pPr>
              <w:spacing w:after="0"/>
              <w:rPr>
                <w:sz w:val="24"/>
                <w:szCs w:val="24"/>
                <w:color w:val="auto"/>
              </w:rPr>
            </w:pPr>
          </w:p>
        </w:tc>
        <w:tc>
          <w:tcPr>
            <w:tcW w:w="3120" w:type="dxa"/>
            <w:vAlign w:val="bottom"/>
            <w:tcBorders>
              <w:bottom w:val="single" w:sz="8" w:color="D7282F"/>
            </w:tcBorders>
            <w:gridSpan w:val="11"/>
          </w:tcPr>
          <w:p>
            <w:pPr>
              <w:ind w:left="660"/>
              <w:spacing w:after="0"/>
              <w:rPr>
                <w:sz w:val="20"/>
                <w:szCs w:val="20"/>
                <w:color w:val="auto"/>
              </w:rPr>
            </w:pPr>
            <w:r>
              <w:rPr>
                <w:rFonts w:ascii="Arial" w:cs="Arial" w:eastAsia="Arial" w:hAnsi="Arial"/>
                <w:sz w:val="18"/>
                <w:szCs w:val="18"/>
                <w:b w:val="1"/>
                <w:bCs w:val="1"/>
                <w:color w:val="131E29"/>
              </w:rPr>
              <w:t>Six Months Ended June 30,</w:t>
            </w:r>
          </w:p>
        </w:tc>
        <w:tc>
          <w:tcPr>
            <w:tcW w:w="560" w:type="dxa"/>
            <w:vAlign w:val="bottom"/>
            <w:tcBorders>
              <w:bottom w:val="single" w:sz="8" w:color="D7282F"/>
            </w:tcBorders>
          </w:tcPr>
          <w:p>
            <w:pPr>
              <w:spacing w:after="0"/>
              <w:rPr>
                <w:sz w:val="24"/>
                <w:szCs w:val="24"/>
                <w:color w:val="auto"/>
              </w:rPr>
            </w:pPr>
          </w:p>
        </w:tc>
      </w:tr>
      <w:tr>
        <w:trPr>
          <w:trHeight w:val="263"/>
        </w:trPr>
        <w:tc>
          <w:tcPr>
            <w:tcW w:w="3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1040" w:type="dxa"/>
            <w:vAlign w:val="bottom"/>
            <w:tcBorders>
              <w:bottom w:val="single" w:sz="8" w:color="D7282F"/>
            </w:tcBorders>
            <w:gridSpan w:val="4"/>
          </w:tcPr>
          <w:p>
            <w:pPr>
              <w:jc w:val="right"/>
              <w:spacing w:after="0"/>
              <w:rPr>
                <w:sz w:val="20"/>
                <w:szCs w:val="20"/>
                <w:color w:val="auto"/>
              </w:rPr>
            </w:pPr>
            <w:r>
              <w:rPr>
                <w:rFonts w:ascii="Arial" w:cs="Arial" w:eastAsia="Arial" w:hAnsi="Arial"/>
                <w:sz w:val="18"/>
                <w:szCs w:val="18"/>
                <w:b w:val="1"/>
                <w:bCs w:val="1"/>
                <w:color w:val="131E29"/>
              </w:rPr>
              <w:t>2025</w:t>
            </w:r>
          </w:p>
        </w:tc>
        <w:tc>
          <w:tcPr>
            <w:tcW w:w="140" w:type="dxa"/>
            <w:vAlign w:val="bottom"/>
            <w:tcBorders>
              <w:bottom w:val="single" w:sz="8" w:color="D7282F"/>
            </w:tcBorders>
          </w:tcPr>
          <w:p>
            <w:pPr>
              <w:spacing w:after="0"/>
              <w:rPr>
                <w:sz w:val="22"/>
                <w:szCs w:val="22"/>
                <w:color w:val="auto"/>
              </w:rPr>
            </w:pPr>
          </w:p>
        </w:tc>
        <w:tc>
          <w:tcPr>
            <w:tcW w:w="540" w:type="dxa"/>
            <w:vAlign w:val="bottom"/>
            <w:tcBorders>
              <w:bottom w:val="single" w:sz="8" w:color="D7282F"/>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131E29"/>
              </w:rPr>
              <w:t>2024</w:t>
            </w:r>
          </w:p>
        </w:tc>
        <w:tc>
          <w:tcPr>
            <w:tcW w:w="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gridSpan w:val="4"/>
          </w:tcPr>
          <w:p>
            <w:pPr>
              <w:ind w:left="700"/>
              <w:spacing w:after="0"/>
              <w:rPr>
                <w:sz w:val="20"/>
                <w:szCs w:val="20"/>
                <w:color w:val="auto"/>
              </w:rPr>
            </w:pPr>
            <w:r>
              <w:rPr>
                <w:rFonts w:ascii="Arial" w:cs="Arial" w:eastAsia="Arial" w:hAnsi="Arial"/>
                <w:sz w:val="18"/>
                <w:szCs w:val="18"/>
                <w:b w:val="1"/>
                <w:bCs w:val="1"/>
                <w:color w:val="131E29"/>
              </w:rPr>
              <w:t>2025</w:t>
            </w:r>
          </w:p>
        </w:tc>
        <w:tc>
          <w:tcPr>
            <w:tcW w:w="58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Borders>
              <w:bottom w:val="single" w:sz="8" w:color="D7282F"/>
            </w:tcBorders>
            <w:gridSpan w:val="3"/>
          </w:tcPr>
          <w:p>
            <w:pPr>
              <w:jc w:val="right"/>
              <w:ind w:right="120"/>
              <w:spacing w:after="0"/>
              <w:rPr>
                <w:sz w:val="20"/>
                <w:szCs w:val="20"/>
                <w:color w:val="auto"/>
              </w:rPr>
            </w:pPr>
            <w:r>
              <w:rPr>
                <w:rFonts w:ascii="Arial" w:cs="Arial" w:eastAsia="Arial" w:hAnsi="Arial"/>
                <w:sz w:val="18"/>
                <w:szCs w:val="18"/>
                <w:b w:val="1"/>
                <w:bCs w:val="1"/>
                <w:color w:val="131E29"/>
              </w:rPr>
              <w:t>2024</w:t>
            </w:r>
          </w:p>
        </w:tc>
        <w:tc>
          <w:tcPr>
            <w:tcW w:w="560" w:type="dxa"/>
            <w:vAlign w:val="bottom"/>
            <w:tcBorders>
              <w:bottom w:val="single" w:sz="8" w:color="D7282F"/>
            </w:tcBorders>
          </w:tcPr>
          <w:p>
            <w:pPr>
              <w:spacing w:after="0"/>
              <w:rPr>
                <w:sz w:val="22"/>
                <w:szCs w:val="22"/>
                <w:color w:val="auto"/>
              </w:rPr>
            </w:pPr>
          </w:p>
        </w:tc>
      </w:tr>
      <w:tr>
        <w:trPr>
          <w:trHeight w:val="263"/>
        </w:trPr>
        <w:tc>
          <w:tcPr>
            <w:tcW w:w="3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gridSpan w:val="2"/>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90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6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5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4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60" w:type="dxa"/>
            <w:vAlign w:val="bottom"/>
            <w:tcBorders>
              <w:bottom w:val="single" w:sz="8" w:color="D7282F"/>
            </w:tcBorders>
          </w:tcPr>
          <w:p>
            <w:pPr>
              <w:spacing w:after="0"/>
              <w:rPr>
                <w:sz w:val="22"/>
                <w:szCs w:val="22"/>
                <w:color w:val="auto"/>
              </w:rPr>
            </w:pPr>
          </w:p>
        </w:tc>
        <w:tc>
          <w:tcPr>
            <w:tcW w:w="84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w:t>
            </w:r>
          </w:p>
        </w:tc>
        <w:tc>
          <w:tcPr>
            <w:tcW w:w="6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60" w:type="dxa"/>
            <w:vAlign w:val="bottom"/>
            <w:tcBorders>
              <w:bottom w:val="single" w:sz="8" w:color="D7282F"/>
            </w:tcBorders>
          </w:tcPr>
          <w:p>
            <w:pPr>
              <w:spacing w:after="0"/>
              <w:rPr>
                <w:sz w:val="22"/>
                <w:szCs w:val="22"/>
                <w:color w:val="auto"/>
              </w:rPr>
            </w:pPr>
          </w:p>
        </w:tc>
        <w:tc>
          <w:tcPr>
            <w:tcW w:w="220" w:type="dxa"/>
            <w:vAlign w:val="bottom"/>
            <w:tcBorders>
              <w:bottom w:val="single" w:sz="8" w:color="D7282F"/>
            </w:tcBorders>
          </w:tcPr>
          <w:p>
            <w:pPr>
              <w:spacing w:after="0"/>
              <w:rPr>
                <w:sz w:val="22"/>
                <w:szCs w:val="22"/>
                <w:color w:val="auto"/>
              </w:rPr>
            </w:pPr>
          </w:p>
        </w:tc>
        <w:tc>
          <w:tcPr>
            <w:tcW w:w="460" w:type="dxa"/>
            <w:vAlign w:val="bottom"/>
            <w:tcBorders>
              <w:bottom w:val="single" w:sz="8" w:color="D7282F"/>
            </w:tcBorders>
          </w:tcPr>
          <w:p>
            <w:pPr>
              <w:jc w:val="right"/>
              <w:ind w:right="210"/>
              <w:spacing w:after="0"/>
              <w:rPr>
                <w:sz w:val="20"/>
                <w:szCs w:val="20"/>
                <w:color w:val="auto"/>
              </w:rPr>
            </w:pPr>
            <w:r>
              <w:rPr>
                <w:rFonts w:ascii="Arial" w:cs="Arial" w:eastAsia="Arial" w:hAnsi="Arial"/>
                <w:sz w:val="18"/>
                <w:szCs w:val="18"/>
                <w:b w:val="1"/>
                <w:bCs w:val="1"/>
                <w:color w:val="131E29"/>
                <w:w w:val="87"/>
              </w:rPr>
              <w:t>%</w:t>
            </w:r>
          </w:p>
        </w:tc>
        <w:tc>
          <w:tcPr>
            <w:tcW w:w="4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5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8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94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6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70"/>
        </w:trPr>
        <w:tc>
          <w:tcPr>
            <w:tcW w:w="390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Franchising and other gross profit</w:t>
            </w:r>
          </w:p>
        </w:tc>
        <w:tc>
          <w:tcPr>
            <w:tcW w:w="9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27,492</w:t>
            </w: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77.9</w:t>
            </w: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20,265</w:t>
            </w: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4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68.4</w:t>
            </w: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45,987</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71.8</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96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37,809</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66.7</w:t>
            </w: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color w:val="006098"/>
              </w:rPr>
              <w:t>1,392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3.9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1,077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131E29"/>
              </w:rPr>
              <w:t>3.6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2,853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06098"/>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131E29"/>
              </w:rPr>
              <w:t>2,372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4.2</w:t>
            </w:r>
          </w:p>
        </w:tc>
      </w:tr>
      <w:tr>
        <w:trPr>
          <w:trHeight w:val="23"/>
        </w:trPr>
        <w:tc>
          <w:tcPr>
            <w:tcW w:w="37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4"/>
        </w:trPr>
        <w:tc>
          <w:tcPr>
            <w:tcW w:w="390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Franchising and other contribution</w:t>
            </w:r>
          </w:p>
        </w:tc>
        <w:tc>
          <w:tcPr>
            <w:tcW w:w="9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28,884</w:t>
            </w:r>
          </w:p>
        </w:tc>
        <w:tc>
          <w:tcPr>
            <w:tcW w:w="6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140" w:type="dxa"/>
            <w:vAlign w:val="bottom"/>
            <w:shd w:val="clear" w:color="auto" w:fill="D2DCE5"/>
          </w:tcPr>
          <w:p>
            <w:pPr>
              <w:spacing w:after="0"/>
              <w:rPr>
                <w:sz w:val="24"/>
                <w:szCs w:val="24"/>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81.8</w:t>
            </w:r>
          </w:p>
        </w:tc>
        <w:tc>
          <w:tcPr>
            <w:tcW w:w="4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60" w:type="dxa"/>
            <w:vAlign w:val="bottom"/>
            <w:shd w:val="clear" w:color="auto" w:fill="D2DCE5"/>
          </w:tcPr>
          <w:p>
            <w:pPr>
              <w:spacing w:after="0"/>
              <w:rPr>
                <w:sz w:val="24"/>
                <w:szCs w:val="24"/>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21,342</w:t>
            </w:r>
          </w:p>
        </w:tc>
        <w:tc>
          <w:tcPr>
            <w:tcW w:w="6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6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4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72.0</w:t>
            </w:r>
          </w:p>
        </w:tc>
        <w:tc>
          <w:tcPr>
            <w:tcW w:w="4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48,840</w:t>
            </w:r>
          </w:p>
        </w:tc>
        <w:tc>
          <w:tcPr>
            <w:tcW w:w="80" w:type="dxa"/>
            <w:vAlign w:val="bottom"/>
            <w:shd w:val="clear" w:color="auto" w:fill="D2DCE5"/>
          </w:tcPr>
          <w:p>
            <w:pPr>
              <w:spacing w:after="0"/>
              <w:rPr>
                <w:sz w:val="24"/>
                <w:szCs w:val="24"/>
                <w:color w:val="auto"/>
              </w:rPr>
            </w:pPr>
          </w:p>
        </w:tc>
        <w:tc>
          <w:tcPr>
            <w:tcW w:w="2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76.3</w:t>
            </w:r>
          </w:p>
        </w:tc>
        <w:tc>
          <w:tcPr>
            <w:tcW w:w="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96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40,181</w:t>
            </w: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70.9</w:t>
            </w:r>
          </w:p>
        </w:tc>
      </w:tr>
      <w:tr>
        <w:trPr>
          <w:trHeight w:val="20"/>
        </w:trPr>
        <w:tc>
          <w:tcPr>
            <w:tcW w:w="37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00" w:type="dxa"/>
            <w:vAlign w:val="bottom"/>
            <w:tcBorders>
              <w:bottom w:val="single" w:sz="8" w:color="D7282F"/>
            </w:tcBorders>
            <w:gridSpan w:val="13"/>
          </w:tcPr>
          <w:p>
            <w:pPr>
              <w:jc w:val="right"/>
              <w:ind w:right="40"/>
              <w:spacing w:after="0"/>
              <w:rPr>
                <w:sz w:val="20"/>
                <w:szCs w:val="20"/>
                <w:color w:val="auto"/>
              </w:rPr>
            </w:pPr>
            <w:r>
              <w:rPr>
                <w:rFonts w:ascii="Arial" w:cs="Arial" w:eastAsia="Arial" w:hAnsi="Arial"/>
                <w:sz w:val="18"/>
                <w:szCs w:val="18"/>
                <w:b w:val="1"/>
                <w:bCs w:val="1"/>
                <w:color w:val="131E29"/>
              </w:rPr>
              <w:t>Three Months Ended June 30,</w:t>
            </w:r>
          </w:p>
        </w:tc>
        <w:tc>
          <w:tcPr>
            <w:tcW w:w="48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00" w:type="dxa"/>
            <w:vAlign w:val="bottom"/>
            <w:tcBorders>
              <w:bottom w:val="single" w:sz="8" w:color="D7282F"/>
            </w:tcBorders>
            <w:gridSpan w:val="10"/>
          </w:tcPr>
          <w:p>
            <w:pPr>
              <w:ind w:left="660"/>
              <w:spacing w:after="0"/>
              <w:rPr>
                <w:sz w:val="20"/>
                <w:szCs w:val="20"/>
                <w:color w:val="auto"/>
              </w:rPr>
            </w:pPr>
            <w:r>
              <w:rPr>
                <w:rFonts w:ascii="Arial" w:cs="Arial" w:eastAsia="Arial" w:hAnsi="Arial"/>
                <w:sz w:val="18"/>
                <w:szCs w:val="18"/>
                <w:b w:val="1"/>
                <w:bCs w:val="1"/>
                <w:color w:val="131E29"/>
              </w:rPr>
              <w:t>Six Months Ended June 30,</w:t>
            </w:r>
          </w:p>
        </w:tc>
        <w:tc>
          <w:tcPr>
            <w:tcW w:w="56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Borders>
              <w:bottom w:val="single" w:sz="8" w:color="D7282F"/>
            </w:tcBorders>
            <w:gridSpan w:val="4"/>
          </w:tcPr>
          <w:p>
            <w:pPr>
              <w:jc w:val="right"/>
              <w:ind w:right="120"/>
              <w:spacing w:after="0"/>
              <w:rPr>
                <w:sz w:val="20"/>
                <w:szCs w:val="20"/>
                <w:color w:val="auto"/>
              </w:rPr>
            </w:pPr>
            <w:r>
              <w:rPr>
                <w:rFonts w:ascii="Arial" w:cs="Arial" w:eastAsia="Arial" w:hAnsi="Arial"/>
                <w:sz w:val="18"/>
                <w:szCs w:val="18"/>
                <w:b w:val="1"/>
                <w:bCs w:val="1"/>
                <w:color w:val="131E29"/>
              </w:rPr>
              <w:t>2025</w:t>
            </w:r>
          </w:p>
        </w:tc>
        <w:tc>
          <w:tcPr>
            <w:tcW w:w="54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bottom w:val="single" w:sz="8" w:color="D7282F"/>
            </w:tcBorders>
            <w:gridSpan w:val="5"/>
          </w:tcPr>
          <w:p>
            <w:pPr>
              <w:jc w:val="right"/>
              <w:ind w:right="200"/>
              <w:spacing w:after="0"/>
              <w:rPr>
                <w:sz w:val="20"/>
                <w:szCs w:val="20"/>
                <w:color w:val="auto"/>
              </w:rPr>
            </w:pPr>
            <w:r>
              <w:rPr>
                <w:rFonts w:ascii="Arial" w:cs="Arial" w:eastAsia="Arial" w:hAnsi="Arial"/>
                <w:sz w:val="18"/>
                <w:szCs w:val="18"/>
                <w:b w:val="1"/>
                <w:bCs w:val="1"/>
                <w:color w:val="131E29"/>
              </w:rPr>
              <w:t>2024</w:t>
            </w:r>
          </w:p>
        </w:tc>
        <w:tc>
          <w:tcPr>
            <w:tcW w:w="48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Borders>
              <w:bottom w:val="single" w:sz="8" w:color="D7282F"/>
            </w:tcBorders>
            <w:gridSpan w:val="5"/>
          </w:tcPr>
          <w:p>
            <w:pPr>
              <w:jc w:val="right"/>
              <w:ind w:right="100"/>
              <w:spacing w:after="0"/>
              <w:rPr>
                <w:sz w:val="20"/>
                <w:szCs w:val="20"/>
                <w:color w:val="auto"/>
              </w:rPr>
            </w:pPr>
            <w:r>
              <w:rPr>
                <w:rFonts w:ascii="Arial" w:cs="Arial" w:eastAsia="Arial" w:hAnsi="Arial"/>
                <w:sz w:val="18"/>
                <w:szCs w:val="18"/>
                <w:b w:val="1"/>
                <w:bCs w:val="1"/>
                <w:color w:val="131E29"/>
              </w:rPr>
              <w:t>2025</w:t>
            </w:r>
          </w:p>
        </w:tc>
        <w:tc>
          <w:tcPr>
            <w:tcW w:w="540" w:type="dxa"/>
            <w:vAlign w:val="bottom"/>
            <w:tcBorders>
              <w:bottom w:val="single" w:sz="8" w:color="D7282F"/>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8"/>
                <w:szCs w:val="18"/>
                <w:b w:val="1"/>
                <w:bCs w:val="1"/>
                <w:color w:val="131E29"/>
              </w:rPr>
              <w:t>2024</w:t>
            </w:r>
          </w:p>
        </w:tc>
        <w:tc>
          <w:tcPr>
            <w:tcW w:w="56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gridSpan w:val="2"/>
          </w:tcPr>
          <w:p>
            <w:pPr>
              <w:spacing w:after="0"/>
              <w:rPr>
                <w:sz w:val="22"/>
                <w:szCs w:val="22"/>
                <w:color w:val="auto"/>
              </w:rPr>
            </w:pPr>
          </w:p>
        </w:tc>
        <w:tc>
          <w:tcPr>
            <w:tcW w:w="92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4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92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220" w:type="dxa"/>
            <w:vAlign w:val="bottom"/>
            <w:tcBorders>
              <w:bottom w:val="single" w:sz="8" w:color="D7282F"/>
            </w:tcBorders>
          </w:tcPr>
          <w:p>
            <w:pPr>
              <w:spacing w:after="0"/>
              <w:rPr>
                <w:sz w:val="22"/>
                <w:szCs w:val="22"/>
                <w:color w:val="auto"/>
              </w:rPr>
            </w:pPr>
          </w:p>
        </w:tc>
        <w:tc>
          <w:tcPr>
            <w:tcW w:w="48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94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7282F"/>
            </w:tcBorders>
          </w:tcPr>
          <w:p>
            <w:pPr>
              <w:spacing w:after="0"/>
              <w:rPr>
                <w:sz w:val="22"/>
                <w:szCs w:val="22"/>
                <w:color w:val="auto"/>
              </w:rPr>
            </w:pPr>
          </w:p>
        </w:tc>
        <w:tc>
          <w:tcPr>
            <w:tcW w:w="60" w:type="dxa"/>
            <w:vAlign w:val="bottom"/>
            <w:tcBorders>
              <w:bottom w:val="single" w:sz="8" w:color="D2DCE5"/>
            </w:tcBorders>
          </w:tcPr>
          <w:p>
            <w:pPr>
              <w:spacing w:after="0"/>
              <w:rPr>
                <w:sz w:val="22"/>
                <w:szCs w:val="22"/>
                <w:color w:val="auto"/>
              </w:rPr>
            </w:pPr>
          </w:p>
        </w:tc>
        <w:tc>
          <w:tcPr>
            <w:tcW w:w="4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540" w:type="dxa"/>
            <w:vAlign w:val="bottom"/>
            <w:tcBorders>
              <w:bottom w:val="single" w:sz="8" w:color="D7282F"/>
            </w:tcBorders>
          </w:tcPr>
          <w:p>
            <w:pPr>
              <w:jc w:val="right"/>
              <w:ind w:right="150"/>
              <w:spacing w:after="0"/>
              <w:rPr>
                <w:sz w:val="20"/>
                <w:szCs w:val="20"/>
                <w:color w:val="auto"/>
              </w:rPr>
            </w:pPr>
            <w:r>
              <w:rPr>
                <w:rFonts w:ascii="Arial" w:cs="Arial" w:eastAsia="Arial" w:hAnsi="Arial"/>
                <w:sz w:val="18"/>
                <w:szCs w:val="18"/>
                <w:b w:val="1"/>
                <w:bCs w:val="1"/>
                <w:color w:val="131E29"/>
              </w:rPr>
              <w:t>%</w:t>
            </w:r>
          </w:p>
        </w:tc>
        <w:tc>
          <w:tcPr>
            <w:tcW w:w="14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6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70"/>
        </w:trPr>
        <w:tc>
          <w:tcPr>
            <w:tcW w:w="390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38,357</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9.2</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22,156</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6.8</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60,837</w:t>
            </w:r>
          </w:p>
        </w:tc>
        <w:tc>
          <w:tcPr>
            <w:tcW w:w="2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7.9</w:t>
            </w:r>
          </w:p>
        </w:tc>
        <w:tc>
          <w:tcPr>
            <w:tcW w:w="140" w:type="dxa"/>
            <w:vAlign w:val="bottom"/>
            <w:tcBorders>
              <w:right w:val="single" w:sz="8" w:color="D2DCE5"/>
            </w:tcBorders>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38,371</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6.4</w:t>
            </w:r>
          </w:p>
        </w:tc>
        <w:tc>
          <w:tcPr>
            <w:tcW w:w="0" w:type="dxa"/>
            <w:vAlign w:val="bottom"/>
          </w:tcPr>
          <w:p>
            <w:pPr>
              <w:spacing w:after="0"/>
              <w:rPr>
                <w:sz w:val="1"/>
                <w:szCs w:val="1"/>
                <w:color w:val="auto"/>
              </w:rPr>
            </w:pP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Depreciation and amortization</w:t>
            </w:r>
          </w:p>
        </w:tc>
        <w:tc>
          <w:tcPr>
            <w:tcW w:w="920" w:type="dxa"/>
            <w:vAlign w:val="bottom"/>
          </w:tcPr>
          <w:p>
            <w:pPr>
              <w:jc w:val="right"/>
              <w:spacing w:after="0"/>
              <w:rPr>
                <w:sz w:val="20"/>
                <w:szCs w:val="20"/>
                <w:color w:val="auto"/>
              </w:rPr>
            </w:pPr>
            <w:r>
              <w:rPr>
                <w:rFonts w:ascii="Arial" w:cs="Arial" w:eastAsia="Arial" w:hAnsi="Arial"/>
                <w:sz w:val="18"/>
                <w:szCs w:val="18"/>
                <w:color w:val="006098"/>
              </w:rPr>
              <w:t>27,893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22,350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131E29"/>
              </w:rPr>
              <w:t>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6098"/>
              </w:rPr>
              <w:t>54,323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7.0</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43,603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7.3</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8"/>
                <w:szCs w:val="18"/>
                <w:color w:val="131E29"/>
              </w:rPr>
              <w:t>Interest expense, net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7,076</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1.8</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6,997</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14,191</w:t>
            </w:r>
          </w:p>
        </w:tc>
        <w:tc>
          <w:tcPr>
            <w:tcW w:w="2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1.9</w:t>
            </w:r>
          </w:p>
        </w:tc>
        <w:tc>
          <w:tcPr>
            <w:tcW w:w="140" w:type="dxa"/>
            <w:vAlign w:val="bottom"/>
            <w:tcBorders>
              <w:bottom w:val="single" w:sz="8" w:color="D2DCE5"/>
              <w:right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13,390</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w:t>
            </w:r>
          </w:p>
        </w:tc>
        <w:tc>
          <w:tcPr>
            <w:tcW w:w="0" w:type="dxa"/>
            <w:vAlign w:val="bottom"/>
          </w:tcPr>
          <w:p>
            <w:pPr>
              <w:spacing w:after="0"/>
              <w:rPr>
                <w:sz w:val="1"/>
                <w:szCs w:val="1"/>
                <w:color w:val="auto"/>
              </w:rPr>
            </w:pP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Income tax expense</w:t>
            </w:r>
          </w:p>
        </w:tc>
        <w:tc>
          <w:tcPr>
            <w:tcW w:w="920" w:type="dxa"/>
            <w:vAlign w:val="bottom"/>
          </w:tcPr>
          <w:p>
            <w:pPr>
              <w:jc w:val="right"/>
              <w:spacing w:after="0"/>
              <w:rPr>
                <w:sz w:val="20"/>
                <w:szCs w:val="20"/>
                <w:color w:val="auto"/>
              </w:rPr>
            </w:pPr>
            <w:r>
              <w:rPr>
                <w:rFonts w:ascii="Arial" w:cs="Arial" w:eastAsia="Arial" w:hAnsi="Arial"/>
                <w:sz w:val="18"/>
                <w:szCs w:val="18"/>
                <w:color w:val="006098"/>
              </w:rPr>
              <w:t>7,243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3,860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131E29"/>
              </w:rPr>
              <w:t>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6098"/>
              </w:rPr>
              <w:t>8,702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1.1</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12,632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2.1</w:t>
            </w:r>
          </w:p>
        </w:tc>
        <w:tc>
          <w:tcPr>
            <w:tcW w:w="0" w:type="dxa"/>
            <w:vAlign w:val="bottom"/>
          </w:tcPr>
          <w:p>
            <w:pPr>
              <w:spacing w:after="0"/>
              <w:rPr>
                <w:sz w:val="1"/>
                <w:szCs w:val="1"/>
                <w:color w:val="auto"/>
              </w:rPr>
            </w:pPr>
          </w:p>
        </w:tc>
      </w:tr>
      <w:tr>
        <w:trPr>
          <w:trHeight w:val="23"/>
        </w:trPr>
        <w:tc>
          <w:tcPr>
            <w:tcW w:w="37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2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4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56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00" w:type="dxa"/>
            <w:vAlign w:val="bottom"/>
            <w:gridSpan w:val="4"/>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80,569</w:t>
            </w:r>
          </w:p>
        </w:tc>
        <w:tc>
          <w:tcPr>
            <w:tcW w:w="8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160" w:type="dxa"/>
            <w:vAlign w:val="bottom"/>
            <w:tcBorders>
              <w:bottom w:val="single" w:sz="8" w:color="131E29"/>
            </w:tcBorders>
            <w:shd w:val="clear" w:color="auto" w:fill="D2DCE5"/>
          </w:tcPr>
          <w:p>
            <w:pPr>
              <w:spacing w:after="0"/>
              <w:rPr>
                <w:sz w:val="22"/>
                <w:szCs w:val="22"/>
                <w:color w:val="auto"/>
              </w:rPr>
            </w:pPr>
          </w:p>
        </w:tc>
        <w:tc>
          <w:tcPr>
            <w:tcW w:w="5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19.4</w:t>
            </w:r>
          </w:p>
        </w:tc>
        <w:tc>
          <w:tcPr>
            <w:tcW w:w="20" w:type="dxa"/>
            <w:vAlign w:val="bottom"/>
            <w:tcBorders>
              <w:bottom w:val="single" w:sz="8" w:color="131E29"/>
            </w:tcBorders>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55,363</w:t>
            </w:r>
          </w:p>
        </w:tc>
        <w:tc>
          <w:tcPr>
            <w:tcW w:w="20" w:type="dxa"/>
            <w:vAlign w:val="bottom"/>
            <w:tcBorders>
              <w:bottom w:val="single" w:sz="8" w:color="auto"/>
            </w:tcBorders>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220" w:type="dxa"/>
            <w:vAlign w:val="bottom"/>
            <w:tcBorders>
              <w:bottom w:val="single" w:sz="8" w:color="131E29"/>
            </w:tcBorders>
            <w:shd w:val="clear" w:color="auto" w:fill="D2DCE5"/>
          </w:tcPr>
          <w:p>
            <w:pPr>
              <w:spacing w:after="0"/>
              <w:rPr>
                <w:sz w:val="22"/>
                <w:szCs w:val="22"/>
                <w:color w:val="auto"/>
              </w:rPr>
            </w:pPr>
          </w:p>
        </w:tc>
        <w:tc>
          <w:tcPr>
            <w:tcW w:w="48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17.0</w:t>
            </w:r>
          </w:p>
        </w:tc>
        <w:tc>
          <w:tcPr>
            <w:tcW w:w="8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138,053</w:t>
            </w:r>
          </w:p>
        </w:tc>
        <w:tc>
          <w:tcPr>
            <w:tcW w:w="20" w:type="dxa"/>
            <w:vAlign w:val="bottom"/>
            <w:tcBorders>
              <w:bottom w:val="single" w:sz="8" w:color="auto"/>
            </w:tcBorders>
            <w:shd w:val="clear" w:color="auto" w:fill="D2DCE5"/>
          </w:tcPr>
          <w:p>
            <w:pPr>
              <w:spacing w:after="0"/>
              <w:rPr>
                <w:sz w:val="22"/>
                <w:szCs w:val="22"/>
                <w:color w:val="auto"/>
              </w:rPr>
            </w:pPr>
          </w:p>
        </w:tc>
        <w:tc>
          <w:tcPr>
            <w:tcW w:w="60" w:type="dxa"/>
            <w:vAlign w:val="bottom"/>
            <w:shd w:val="clear" w:color="auto" w:fill="D2DCE5"/>
          </w:tcPr>
          <w:p>
            <w:pPr>
              <w:spacing w:after="0"/>
              <w:rPr>
                <w:sz w:val="22"/>
                <w:szCs w:val="22"/>
                <w:color w:val="auto"/>
              </w:rPr>
            </w:pPr>
          </w:p>
        </w:tc>
        <w:tc>
          <w:tcPr>
            <w:tcW w:w="40" w:type="dxa"/>
            <w:vAlign w:val="bottom"/>
            <w:shd w:val="clear" w:color="auto" w:fill="D2DCE5"/>
          </w:tcPr>
          <w:p>
            <w:pPr>
              <w:spacing w:after="0"/>
              <w:rPr>
                <w:sz w:val="22"/>
                <w:szCs w:val="22"/>
                <w:color w:val="auto"/>
              </w:rPr>
            </w:pPr>
          </w:p>
        </w:tc>
        <w:tc>
          <w:tcPr>
            <w:tcW w:w="140" w:type="dxa"/>
            <w:vAlign w:val="bottom"/>
            <w:tcBorders>
              <w:bottom w:val="single" w:sz="8" w:color="131E29"/>
            </w:tcBorders>
            <w:shd w:val="clear" w:color="auto" w:fill="D2DCE5"/>
          </w:tcPr>
          <w:p>
            <w:pPr>
              <w:spacing w:after="0"/>
              <w:rPr>
                <w:sz w:val="22"/>
                <w:szCs w:val="22"/>
                <w:color w:val="auto"/>
              </w:rPr>
            </w:pPr>
          </w:p>
        </w:tc>
        <w:tc>
          <w:tcPr>
            <w:tcW w:w="5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17.9</w:t>
            </w:r>
          </w:p>
        </w:tc>
        <w:tc>
          <w:tcPr>
            <w:tcW w:w="140" w:type="dxa"/>
            <w:vAlign w:val="bottom"/>
            <w:tcBorders>
              <w:bottom w:val="single" w:sz="8" w:color="131E29"/>
              <w:right w:val="single" w:sz="8" w:color="D2DCE5"/>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107,996</w:t>
            </w:r>
          </w:p>
        </w:tc>
        <w:tc>
          <w:tcPr>
            <w:tcW w:w="100" w:type="dxa"/>
            <w:vAlign w:val="bottom"/>
            <w:shd w:val="clear" w:color="auto" w:fill="D2DCE5"/>
          </w:tcPr>
          <w:p>
            <w:pPr>
              <w:spacing w:after="0"/>
              <w:rPr>
                <w:sz w:val="22"/>
                <w:szCs w:val="22"/>
                <w:color w:val="auto"/>
              </w:rPr>
            </w:pPr>
          </w:p>
        </w:tc>
        <w:tc>
          <w:tcPr>
            <w:tcW w:w="160" w:type="dxa"/>
            <w:vAlign w:val="bottom"/>
            <w:tcBorders>
              <w:bottom w:val="single" w:sz="8" w:color="131E29"/>
            </w:tcBorders>
            <w:shd w:val="clear" w:color="auto" w:fill="D2DCE5"/>
          </w:tcPr>
          <w:p>
            <w:pPr>
              <w:spacing w:after="0"/>
              <w:rPr>
                <w:sz w:val="22"/>
                <w:szCs w:val="22"/>
                <w:color w:val="auto"/>
              </w:rPr>
            </w:pPr>
          </w:p>
        </w:tc>
        <w:tc>
          <w:tcPr>
            <w:tcW w:w="5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18.0</w:t>
            </w:r>
          </w:p>
        </w:tc>
        <w:tc>
          <w:tcPr>
            <w:tcW w:w="0" w:type="dxa"/>
            <w:vAlign w:val="bottom"/>
          </w:tcPr>
          <w:p>
            <w:pPr>
              <w:spacing w:after="0"/>
              <w:rPr>
                <w:sz w:val="1"/>
                <w:szCs w:val="1"/>
                <w:color w:val="auto"/>
              </w:rPr>
            </w:pPr>
          </w:p>
        </w:tc>
      </w:tr>
      <w:tr>
        <w:trPr>
          <w:trHeight w:val="241"/>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Equity-based compensation</w:t>
            </w:r>
          </w:p>
        </w:tc>
        <w:tc>
          <w:tcPr>
            <w:tcW w:w="920" w:type="dxa"/>
            <w:vAlign w:val="bottom"/>
          </w:tcPr>
          <w:p>
            <w:pPr>
              <w:jc w:val="right"/>
              <w:spacing w:after="0"/>
              <w:rPr>
                <w:sz w:val="20"/>
                <w:szCs w:val="20"/>
                <w:color w:val="auto"/>
              </w:rPr>
            </w:pPr>
            <w:r>
              <w:rPr>
                <w:rFonts w:ascii="Arial" w:cs="Arial" w:eastAsia="Arial" w:hAnsi="Arial"/>
                <w:sz w:val="18"/>
                <w:szCs w:val="18"/>
                <w:color w:val="006098"/>
              </w:rPr>
              <w:t>4,671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3,326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131E29"/>
              </w:rPr>
              <w:t>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6098"/>
              </w:rPr>
              <w:t>8,865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1.1</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5,259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0.9</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4"/>
            <w:shd w:val="clear" w:color="auto" w:fill="D2DCE5"/>
          </w:tcPr>
          <w:p>
            <w:pPr>
              <w:ind w:left="180"/>
              <w:spacing w:after="0"/>
              <w:rPr>
                <w:sz w:val="20"/>
                <w:szCs w:val="20"/>
                <w:color w:val="auto"/>
              </w:rPr>
            </w:pPr>
            <w:r>
              <w:rPr>
                <w:rFonts w:ascii="Arial" w:cs="Arial" w:eastAsia="Arial" w:hAnsi="Arial"/>
                <w:sz w:val="18"/>
                <w:szCs w:val="18"/>
                <w:color w:val="131E29"/>
              </w:rPr>
              <w:t>Expenses associated with equity offerings</w:t>
            </w:r>
          </w:p>
        </w:tc>
        <w:tc>
          <w:tcPr>
            <w:tcW w:w="1180" w:type="dxa"/>
            <w:vAlign w:val="bottom"/>
            <w:gridSpan w:val="4"/>
            <w:shd w:val="clear" w:color="auto" w:fill="D2DCE5"/>
          </w:tcPr>
          <w:p>
            <w:pPr>
              <w:jc w:val="right"/>
              <w:ind w:right="320"/>
              <w:spacing w:after="0"/>
              <w:rPr>
                <w:sz w:val="20"/>
                <w:szCs w:val="20"/>
                <w:color w:val="auto"/>
              </w:rPr>
            </w:pPr>
            <w:r>
              <w:rPr>
                <w:rFonts w:ascii="Arial" w:cs="Arial" w:eastAsia="Arial" w:hAnsi="Arial"/>
                <w:sz w:val="18"/>
                <w:szCs w:val="18"/>
                <w:color w:val="131E29"/>
              </w:rPr>
              <w:t>—</w:t>
            </w:r>
          </w:p>
        </w:tc>
        <w:tc>
          <w:tcPr>
            <w:tcW w:w="660" w:type="dxa"/>
            <w:vAlign w:val="bottom"/>
            <w:gridSpan w:val="4"/>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528</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0.2</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200" w:type="dxa"/>
            <w:vAlign w:val="bottom"/>
            <w:gridSpan w:val="5"/>
            <w:shd w:val="clear" w:color="auto" w:fill="D2DCE5"/>
          </w:tcPr>
          <w:p>
            <w:pPr>
              <w:jc w:val="right"/>
              <w:ind w:right="320"/>
              <w:spacing w:after="0"/>
              <w:rPr>
                <w:sz w:val="20"/>
                <w:szCs w:val="20"/>
                <w:color w:val="auto"/>
              </w:rPr>
            </w:pPr>
            <w:r>
              <w:rPr>
                <w:rFonts w:ascii="Arial" w:cs="Arial" w:eastAsia="Arial" w:hAnsi="Arial"/>
                <w:sz w:val="18"/>
                <w:szCs w:val="18"/>
                <w:color w:val="131E29"/>
              </w:rPr>
              <w:t>—</w:t>
            </w:r>
          </w:p>
        </w:tc>
        <w:tc>
          <w:tcPr>
            <w:tcW w:w="680" w:type="dxa"/>
            <w:vAlign w:val="bottom"/>
            <w:tcBorders>
              <w:right w:val="single" w:sz="8" w:color="DBDBDB"/>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1,489</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0.2</w:t>
            </w:r>
          </w:p>
        </w:tc>
        <w:tc>
          <w:tcPr>
            <w:tcW w:w="0" w:type="dxa"/>
            <w:vAlign w:val="bottom"/>
          </w:tcPr>
          <w:p>
            <w:pPr>
              <w:spacing w:after="0"/>
              <w:rPr>
                <w:sz w:val="1"/>
                <w:szCs w:val="1"/>
                <w:color w:val="auto"/>
              </w:rPr>
            </w:pPr>
          </w:p>
        </w:tc>
      </w:tr>
      <w:tr>
        <w:trPr>
          <w:trHeight w:val="224"/>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Expenses associated with 2022 credit facility</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refinancing</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006098"/>
              </w:rPr>
              <w:t>2,000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006098"/>
              </w:rPr>
              <w:t>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131E29"/>
              </w:rPr>
              <w:t>—</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131E2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006098"/>
              </w:rPr>
              <w:t>2,000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006098"/>
              </w:rPr>
              <w:t>0.3</w:t>
            </w:r>
          </w:p>
        </w:tc>
        <w:tc>
          <w:tcPr>
            <w:tcW w:w="140" w:type="dxa"/>
            <w:vAlign w:val="bottom"/>
          </w:tcPr>
          <w:p>
            <w:pPr>
              <w:spacing w:after="0"/>
              <w:rPr>
                <w:sz w:val="20"/>
                <w:szCs w:val="20"/>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131E2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8"/>
                <w:szCs w:val="18"/>
                <w:color w:val="131E29"/>
              </w:rPr>
              <w:t>Executive transitions</w:t>
            </w:r>
          </w:p>
        </w:tc>
        <w:tc>
          <w:tcPr>
            <w:tcW w:w="1180" w:type="dxa"/>
            <w:vAlign w:val="bottom"/>
            <w:tcBorders>
              <w:bottom w:val="single" w:sz="8" w:color="D2DCE5"/>
            </w:tcBorders>
            <w:gridSpan w:val="4"/>
            <w:shd w:val="clear" w:color="auto" w:fill="D2DCE5"/>
          </w:tcPr>
          <w:p>
            <w:pPr>
              <w:jc w:val="right"/>
              <w:ind w:right="320"/>
              <w:spacing w:after="0"/>
              <w:rPr>
                <w:sz w:val="20"/>
                <w:szCs w:val="20"/>
                <w:color w:val="auto"/>
              </w:rPr>
            </w:pPr>
            <w:r>
              <w:rPr>
                <w:rFonts w:ascii="Arial" w:cs="Arial" w:eastAsia="Arial" w:hAnsi="Arial"/>
                <w:sz w:val="18"/>
                <w:szCs w:val="18"/>
                <w:color w:val="006098"/>
              </w:rPr>
              <w:t>—</w:t>
            </w:r>
          </w:p>
        </w:tc>
        <w:tc>
          <w:tcPr>
            <w:tcW w:w="660" w:type="dxa"/>
            <w:vAlign w:val="bottom"/>
            <w:tcBorders>
              <w:bottom w:val="single" w:sz="8" w:color="D2DCE5"/>
            </w:tcBorders>
            <w:gridSpan w:val="4"/>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1260" w:type="dxa"/>
            <w:vAlign w:val="bottom"/>
            <w:tcBorders>
              <w:bottom w:val="single" w:sz="8" w:color="D2DCE5"/>
            </w:tcBorders>
            <w:gridSpan w:val="5"/>
            <w:shd w:val="clear" w:color="auto" w:fill="D2DCE5"/>
          </w:tcPr>
          <w:p>
            <w:pPr>
              <w:jc w:val="right"/>
              <w:ind w:right="400"/>
              <w:spacing w:after="0"/>
              <w:rPr>
                <w:sz w:val="20"/>
                <w:szCs w:val="20"/>
                <w:color w:val="auto"/>
              </w:rPr>
            </w:pPr>
            <w:r>
              <w:rPr>
                <w:rFonts w:ascii="Arial" w:cs="Arial" w:eastAsia="Arial" w:hAnsi="Arial"/>
                <w:sz w:val="18"/>
                <w:szCs w:val="18"/>
                <w:color w:val="131E29"/>
              </w:rPr>
              <w:t>—</w:t>
            </w:r>
          </w:p>
        </w:tc>
        <w:tc>
          <w:tcPr>
            <w:tcW w:w="580" w:type="dxa"/>
            <w:vAlign w:val="bottom"/>
            <w:tcBorders>
              <w:bottom w:val="single" w:sz="8" w:color="D2DCE5"/>
            </w:tcBorders>
            <w:gridSpan w:val="3"/>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200" w:type="dxa"/>
            <w:vAlign w:val="bottom"/>
            <w:tcBorders>
              <w:bottom w:val="single" w:sz="8" w:color="D2DCE5"/>
            </w:tcBorders>
            <w:gridSpan w:val="5"/>
            <w:shd w:val="clear" w:color="auto" w:fill="D2DCE5"/>
          </w:tcPr>
          <w:p>
            <w:pPr>
              <w:jc w:val="right"/>
              <w:ind w:right="320"/>
              <w:spacing w:after="0"/>
              <w:rPr>
                <w:sz w:val="20"/>
                <w:szCs w:val="20"/>
                <w:color w:val="auto"/>
              </w:rPr>
            </w:pPr>
            <w:r>
              <w:rPr>
                <w:rFonts w:ascii="Arial" w:cs="Arial" w:eastAsia="Arial" w:hAnsi="Arial"/>
                <w:sz w:val="18"/>
                <w:szCs w:val="18"/>
                <w:color w:val="006098"/>
              </w:rPr>
              <w:t>—</w:t>
            </w:r>
          </w:p>
        </w:tc>
        <w:tc>
          <w:tcPr>
            <w:tcW w:w="680" w:type="dxa"/>
            <w:vAlign w:val="bottom"/>
            <w:tcBorders>
              <w:bottom w:val="single" w:sz="8" w:color="D2DCE5"/>
              <w:right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TRAs remeasurement</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006098"/>
              </w:rPr>
              <w:t>—</w:t>
            </w: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006098"/>
              </w:rPr>
              <w:t>—</w:t>
            </w:r>
          </w:p>
        </w:tc>
        <w:tc>
          <w:tcPr>
            <w:tcW w:w="1260" w:type="dxa"/>
            <w:vAlign w:val="bottom"/>
            <w:gridSpan w:val="5"/>
          </w:tcPr>
          <w:p>
            <w:pPr>
              <w:jc w:val="right"/>
              <w:ind w:right="400"/>
              <w:spacing w:after="0"/>
              <w:rPr>
                <w:sz w:val="20"/>
                <w:szCs w:val="20"/>
                <w:color w:val="auto"/>
              </w:rPr>
            </w:pPr>
            <w:r>
              <w:rPr>
                <w:rFonts w:ascii="Arial" w:cs="Arial" w:eastAsia="Arial" w:hAnsi="Arial"/>
                <w:sz w:val="18"/>
                <w:szCs w:val="18"/>
                <w:color w:val="131E29"/>
              </w:rPr>
              <w:t>—</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131E29"/>
              </w:rPr>
              <w:t>—</w:t>
            </w:r>
          </w:p>
        </w:tc>
        <w:tc>
          <w:tcPr>
            <w:tcW w:w="1200" w:type="dxa"/>
            <w:vAlign w:val="bottom"/>
            <w:gridSpan w:val="5"/>
          </w:tcPr>
          <w:p>
            <w:pPr>
              <w:jc w:val="right"/>
              <w:ind w:right="320"/>
              <w:spacing w:after="0"/>
              <w:rPr>
                <w:sz w:val="20"/>
                <w:szCs w:val="20"/>
                <w:color w:val="auto"/>
              </w:rPr>
            </w:pPr>
            <w:r>
              <w:rPr>
                <w:rFonts w:ascii="Arial" w:cs="Arial" w:eastAsia="Arial" w:hAnsi="Arial"/>
                <w:sz w:val="18"/>
                <w:szCs w:val="18"/>
                <w:color w:val="006098"/>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(5,687)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(0.9)</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4"/>
            <w:shd w:val="clear" w:color="auto" w:fill="D2DCE5"/>
          </w:tcPr>
          <w:p>
            <w:pPr>
              <w:ind w:left="180"/>
              <w:spacing w:after="0"/>
              <w:rPr>
                <w:sz w:val="20"/>
                <w:szCs w:val="20"/>
                <w:color w:val="auto"/>
              </w:rPr>
            </w:pPr>
            <w:r>
              <w:rPr>
                <w:rFonts w:ascii="Arial" w:cs="Arial" w:eastAsia="Arial" w:hAnsi="Arial"/>
                <w:sz w:val="18"/>
                <w:szCs w:val="18"/>
                <w:color w:val="131E29"/>
              </w:rPr>
              <w:t>Sale of Aircraft</w:t>
            </w:r>
          </w:p>
        </w:tc>
        <w:tc>
          <w:tcPr>
            <w:tcW w:w="1180" w:type="dxa"/>
            <w:vAlign w:val="bottom"/>
            <w:gridSpan w:val="4"/>
            <w:shd w:val="clear" w:color="auto" w:fill="D2DCE5"/>
          </w:tcPr>
          <w:p>
            <w:pPr>
              <w:jc w:val="right"/>
              <w:ind w:right="320"/>
              <w:spacing w:after="0"/>
              <w:rPr>
                <w:sz w:val="20"/>
                <w:szCs w:val="20"/>
                <w:color w:val="auto"/>
              </w:rPr>
            </w:pPr>
            <w:r>
              <w:rPr>
                <w:rFonts w:ascii="Arial" w:cs="Arial" w:eastAsia="Arial" w:hAnsi="Arial"/>
                <w:sz w:val="18"/>
                <w:szCs w:val="18"/>
                <w:color w:val="131E29"/>
              </w:rPr>
              <w:t>—</w:t>
            </w:r>
          </w:p>
        </w:tc>
        <w:tc>
          <w:tcPr>
            <w:tcW w:w="660" w:type="dxa"/>
            <w:vAlign w:val="bottom"/>
            <w:gridSpan w:val="4"/>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(752)</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(0.2)</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200" w:type="dxa"/>
            <w:vAlign w:val="bottom"/>
            <w:gridSpan w:val="5"/>
            <w:shd w:val="clear" w:color="auto" w:fill="D2DCE5"/>
          </w:tcPr>
          <w:p>
            <w:pPr>
              <w:jc w:val="right"/>
              <w:ind w:right="320"/>
              <w:spacing w:after="0"/>
              <w:rPr>
                <w:sz w:val="20"/>
                <w:szCs w:val="20"/>
                <w:color w:val="auto"/>
              </w:rPr>
            </w:pPr>
            <w:r>
              <w:rPr>
                <w:rFonts w:ascii="Arial" w:cs="Arial" w:eastAsia="Arial" w:hAnsi="Arial"/>
                <w:sz w:val="18"/>
                <w:szCs w:val="18"/>
                <w:color w:val="131E29"/>
              </w:rPr>
              <w:t>—</w:t>
            </w:r>
          </w:p>
        </w:tc>
        <w:tc>
          <w:tcPr>
            <w:tcW w:w="680" w:type="dxa"/>
            <w:vAlign w:val="bottom"/>
            <w:tcBorders>
              <w:right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(752)</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(0.1)</w:t>
            </w:r>
          </w:p>
        </w:tc>
        <w:tc>
          <w:tcPr>
            <w:tcW w:w="0" w:type="dxa"/>
            <w:vAlign w:val="bottom"/>
          </w:tcPr>
          <w:p>
            <w:pPr>
              <w:spacing w:after="0"/>
              <w:rPr>
                <w:sz w:val="1"/>
                <w:szCs w:val="1"/>
                <w:color w:val="auto"/>
              </w:rPr>
            </w:pP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Organization realignment and restructurings: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4"/>
            <w:shd w:val="clear" w:color="auto" w:fill="D2DCE5"/>
          </w:tcPr>
          <w:p>
            <w:pPr>
              <w:ind w:left="360"/>
              <w:spacing w:after="0"/>
              <w:rPr>
                <w:sz w:val="20"/>
                <w:szCs w:val="20"/>
                <w:color w:val="auto"/>
              </w:rPr>
            </w:pPr>
            <w:r>
              <w:rPr>
                <w:rFonts w:ascii="Arial" w:cs="Arial" w:eastAsia="Arial" w:hAnsi="Arial"/>
                <w:sz w:val="18"/>
                <w:szCs w:val="18"/>
                <w:color w:val="131E29"/>
              </w:rPr>
              <w:t>Employee-related costs</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1,734</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6,664</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2,743</w:t>
            </w:r>
          </w:p>
        </w:tc>
        <w:tc>
          <w:tcPr>
            <w:tcW w:w="2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140" w:type="dxa"/>
            <w:vAlign w:val="bottom"/>
            <w:tcBorders>
              <w:bottom w:val="single" w:sz="8" w:color="D2DCE5"/>
              <w:right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9,289</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w:t>
            </w:r>
          </w:p>
        </w:tc>
        <w:tc>
          <w:tcPr>
            <w:tcW w:w="0" w:type="dxa"/>
            <w:vAlign w:val="bottom"/>
          </w:tcPr>
          <w:p>
            <w:pPr>
              <w:spacing w:after="0"/>
              <w:rPr>
                <w:sz w:val="1"/>
                <w:szCs w:val="1"/>
                <w:color w:val="auto"/>
              </w:rPr>
            </w:pPr>
          </w:p>
        </w:tc>
      </w:tr>
      <w:tr>
        <w:trPr>
          <w:trHeight w:val="247"/>
        </w:trPr>
        <w:tc>
          <w:tcPr>
            <w:tcW w:w="3900" w:type="dxa"/>
            <w:vAlign w:val="bottom"/>
            <w:gridSpan w:val="4"/>
          </w:tcPr>
          <w:p>
            <w:pPr>
              <w:ind w:left="360"/>
              <w:spacing w:after="0"/>
              <w:rPr>
                <w:sz w:val="20"/>
                <w:szCs w:val="20"/>
                <w:color w:val="auto"/>
              </w:rPr>
            </w:pPr>
            <w:r>
              <w:rPr>
                <w:rFonts w:ascii="Arial" w:cs="Arial" w:eastAsia="Arial" w:hAnsi="Arial"/>
                <w:sz w:val="18"/>
                <w:szCs w:val="18"/>
                <w:color w:val="131E29"/>
              </w:rPr>
              <w:t>Other costs</w:t>
            </w:r>
          </w:p>
        </w:tc>
        <w:tc>
          <w:tcPr>
            <w:tcW w:w="920" w:type="dxa"/>
            <w:vAlign w:val="bottom"/>
          </w:tcPr>
          <w:p>
            <w:pPr>
              <w:jc w:val="right"/>
              <w:spacing w:after="0"/>
              <w:rPr>
                <w:sz w:val="20"/>
                <w:szCs w:val="20"/>
                <w:color w:val="auto"/>
              </w:rPr>
            </w:pPr>
            <w:r>
              <w:rPr>
                <w:rFonts w:ascii="Arial" w:cs="Arial" w:eastAsia="Arial" w:hAnsi="Arial"/>
                <w:sz w:val="18"/>
                <w:szCs w:val="18"/>
                <w:color w:val="006098"/>
              </w:rPr>
              <w:t>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006098"/>
              </w:rPr>
              <w:t>—</w:t>
            </w:r>
          </w:p>
        </w:tc>
        <w:tc>
          <w:tcPr>
            <w:tcW w:w="920" w:type="dxa"/>
            <w:vAlign w:val="bottom"/>
          </w:tcPr>
          <w:p>
            <w:pPr>
              <w:jc w:val="right"/>
              <w:spacing w:after="0"/>
              <w:rPr>
                <w:sz w:val="20"/>
                <w:szCs w:val="20"/>
                <w:color w:val="auto"/>
              </w:rPr>
            </w:pPr>
            <w:r>
              <w:rPr>
                <w:rFonts w:ascii="Arial" w:cs="Arial" w:eastAsia="Arial" w:hAnsi="Arial"/>
                <w:sz w:val="18"/>
                <w:szCs w:val="18"/>
                <w:color w:val="131E29"/>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006098"/>
              </w:rPr>
              <w:t>248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3"/>
        </w:trPr>
        <w:tc>
          <w:tcPr>
            <w:tcW w:w="37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900" w:type="dxa"/>
            <w:vAlign w:val="bottom"/>
            <w:gridSpan w:val="4"/>
            <w:shd w:val="clear" w:color="auto" w:fill="D2DCE5"/>
          </w:tcPr>
          <w:p>
            <w:pPr>
              <w:ind w:left="520"/>
              <w:spacing w:after="0" w:line="204" w:lineRule="exact"/>
              <w:rPr>
                <w:sz w:val="20"/>
                <w:szCs w:val="20"/>
                <w:color w:val="auto"/>
              </w:rPr>
            </w:pPr>
            <w:r>
              <w:rPr>
                <w:rFonts w:ascii="Arial" w:cs="Arial" w:eastAsia="Arial" w:hAnsi="Arial"/>
                <w:sz w:val="18"/>
                <w:szCs w:val="18"/>
                <w:color w:val="131E29"/>
              </w:rPr>
              <w:t>Total organization realignment and</w:t>
            </w:r>
          </w:p>
        </w:tc>
        <w:tc>
          <w:tcPr>
            <w:tcW w:w="9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92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4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40" w:type="dxa"/>
            <w:vAlign w:val="bottom"/>
            <w:tcBorders>
              <w:right w:val="single" w:sz="8" w:color="D2DCE5"/>
            </w:tcBorders>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900" w:type="dxa"/>
            <w:vAlign w:val="bottom"/>
            <w:tcBorders>
              <w:bottom w:val="single" w:sz="8" w:color="D2DCE5"/>
            </w:tcBorders>
            <w:gridSpan w:val="4"/>
            <w:shd w:val="clear" w:color="auto" w:fill="D2DCE5"/>
          </w:tcPr>
          <w:p>
            <w:pPr>
              <w:ind w:left="520"/>
              <w:spacing w:after="0"/>
              <w:rPr>
                <w:sz w:val="20"/>
                <w:szCs w:val="20"/>
                <w:color w:val="auto"/>
              </w:rPr>
            </w:pPr>
            <w:r>
              <w:rPr>
                <w:rFonts w:ascii="Arial" w:cs="Arial" w:eastAsia="Arial" w:hAnsi="Arial"/>
                <w:sz w:val="18"/>
                <w:szCs w:val="18"/>
                <w:color w:val="131E29"/>
              </w:rPr>
              <w:t>restructurings</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1,763</w:t>
            </w: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2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6,694</w:t>
            </w:r>
          </w:p>
        </w:tc>
        <w:tc>
          <w:tcPr>
            <w:tcW w:w="2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D2DCE5"/>
            </w:tcBorders>
            <w:shd w:val="clear" w:color="auto" w:fill="D2DCE5"/>
          </w:tcPr>
          <w:p>
            <w:pPr>
              <w:spacing w:after="0"/>
              <w:rPr>
                <w:sz w:val="22"/>
                <w:szCs w:val="22"/>
                <w:color w:val="auto"/>
              </w:rPr>
            </w:pPr>
          </w:p>
        </w:tc>
        <w:tc>
          <w:tcPr>
            <w:tcW w:w="4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w:t>
            </w: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2,991</w:t>
            </w:r>
          </w:p>
        </w:tc>
        <w:tc>
          <w:tcPr>
            <w:tcW w:w="20" w:type="dxa"/>
            <w:vAlign w:val="bottom"/>
            <w:tcBorders>
              <w:bottom w:val="single" w:sz="8" w:color="D2DCE5"/>
            </w:tcBorders>
            <w:shd w:val="clear" w:color="auto" w:fill="D2DCE5"/>
          </w:tcPr>
          <w:p>
            <w:pPr>
              <w:spacing w:after="0"/>
              <w:rPr>
                <w:sz w:val="22"/>
                <w:szCs w:val="22"/>
                <w:color w:val="auto"/>
              </w:rPr>
            </w:pPr>
          </w:p>
        </w:tc>
        <w:tc>
          <w:tcPr>
            <w:tcW w:w="60" w:type="dxa"/>
            <w:vAlign w:val="bottom"/>
            <w:tcBorders>
              <w:bottom w:val="single" w:sz="8" w:color="D2DCE5"/>
            </w:tcBorders>
            <w:shd w:val="clear" w:color="auto" w:fill="D2DCE5"/>
          </w:tcPr>
          <w:p>
            <w:pPr>
              <w:spacing w:after="0"/>
              <w:rPr>
                <w:sz w:val="22"/>
                <w:szCs w:val="22"/>
                <w:color w:val="auto"/>
              </w:rPr>
            </w:pPr>
          </w:p>
        </w:tc>
        <w:tc>
          <w:tcPr>
            <w:tcW w:w="40" w:type="dxa"/>
            <w:vAlign w:val="bottom"/>
            <w:tcBorders>
              <w:bottom w:val="single" w:sz="8" w:color="D2DCE5"/>
            </w:tcBorders>
            <w:shd w:val="clear" w:color="auto" w:fill="D2DCE5"/>
          </w:tcPr>
          <w:p>
            <w:pPr>
              <w:spacing w:after="0"/>
              <w:rPr>
                <w:sz w:val="22"/>
                <w:szCs w:val="22"/>
                <w:color w:val="auto"/>
              </w:rPr>
            </w:pPr>
          </w:p>
        </w:tc>
        <w:tc>
          <w:tcPr>
            <w:tcW w:w="140" w:type="dxa"/>
            <w:vAlign w:val="bottom"/>
            <w:tcBorders>
              <w:bottom w:val="single" w:sz="8" w:color="D2DCE5"/>
            </w:tcBorders>
            <w:shd w:val="clear" w:color="auto" w:fill="D2DCE5"/>
          </w:tcPr>
          <w:p>
            <w:pPr>
              <w:spacing w:after="0"/>
              <w:rPr>
                <w:sz w:val="22"/>
                <w:szCs w:val="22"/>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140" w:type="dxa"/>
            <w:vAlign w:val="bottom"/>
            <w:tcBorders>
              <w:bottom w:val="single" w:sz="8" w:color="D2DCE5"/>
              <w:right w:val="single" w:sz="8" w:color="D2DCE5"/>
            </w:tcBorders>
            <w:shd w:val="clear" w:color="auto" w:fill="D2DCE5"/>
          </w:tcPr>
          <w:p>
            <w:pPr>
              <w:spacing w:after="0"/>
              <w:rPr>
                <w:sz w:val="22"/>
                <w:szCs w:val="22"/>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9,319</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w:t>
            </w:r>
          </w:p>
        </w:tc>
        <w:tc>
          <w:tcPr>
            <w:tcW w:w="0" w:type="dxa"/>
            <w:vAlign w:val="bottom"/>
          </w:tcPr>
          <w:p>
            <w:pPr>
              <w:spacing w:after="0"/>
              <w:rPr>
                <w:sz w:val="1"/>
                <w:szCs w:val="1"/>
                <w:color w:val="auto"/>
              </w:rPr>
            </w:pPr>
          </w:p>
        </w:tc>
      </w:tr>
      <w:tr>
        <w:trPr>
          <w:trHeight w:val="264"/>
        </w:trPr>
        <w:tc>
          <w:tcPr>
            <w:tcW w:w="3900" w:type="dxa"/>
            <w:vAlign w:val="bottom"/>
            <w:gridSpan w:val="4"/>
          </w:tcPr>
          <w:p>
            <w:pPr>
              <w:ind w:left="520"/>
              <w:spacing w:after="0"/>
              <w:rPr>
                <w:sz w:val="20"/>
                <w:szCs w:val="20"/>
                <w:color w:val="auto"/>
              </w:rPr>
            </w:pPr>
            <w:r>
              <w:rPr>
                <w:rFonts w:ascii="Arial" w:cs="Arial" w:eastAsia="Arial" w:hAnsi="Arial"/>
                <w:sz w:val="18"/>
                <w:szCs w:val="18"/>
                <w:b w:val="1"/>
                <w:bCs w:val="1"/>
                <w:color w:val="131E29"/>
              </w:rPr>
              <w:t>Adjusted EBITDA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89,003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131E29"/>
            </w:tcBorders>
          </w:tcPr>
          <w:p>
            <w:pPr>
              <w:spacing w:after="0"/>
              <w:rPr>
                <w:sz w:val="22"/>
                <w:szCs w:val="22"/>
                <w:color w:val="auto"/>
              </w:rPr>
            </w:pPr>
          </w:p>
        </w:tc>
        <w:tc>
          <w:tcPr>
            <w:tcW w:w="54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b w:val="1"/>
                <w:bCs w:val="1"/>
                <w:color w:val="006098"/>
              </w:rPr>
              <w:t>21.4</w:t>
            </w:r>
          </w:p>
        </w:tc>
        <w:tc>
          <w:tcPr>
            <w:tcW w:w="20" w:type="dxa"/>
            <w:vAlign w:val="bottom"/>
            <w:tcBorders>
              <w:top w:val="single" w:sz="8" w:color="auto"/>
              <w:bottom w:val="single" w:sz="8" w:color="131E29"/>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65,159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131E29"/>
            </w:tcBorders>
          </w:tcPr>
          <w:p>
            <w:pPr>
              <w:spacing w:after="0"/>
              <w:rPr>
                <w:sz w:val="22"/>
                <w:szCs w:val="22"/>
                <w:color w:val="auto"/>
              </w:rPr>
            </w:pPr>
          </w:p>
        </w:tc>
        <w:tc>
          <w:tcPr>
            <w:tcW w:w="48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20.1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151,909</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131E29"/>
            </w:tcBorders>
          </w:tcPr>
          <w:p>
            <w:pPr>
              <w:spacing w:after="0"/>
              <w:rPr>
                <w:sz w:val="22"/>
                <w:szCs w:val="22"/>
                <w:color w:val="auto"/>
              </w:rPr>
            </w:pPr>
          </w:p>
        </w:tc>
        <w:tc>
          <w:tcPr>
            <w:tcW w:w="54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b w:val="1"/>
                <w:bCs w:val="1"/>
                <w:color w:val="006098"/>
              </w:rPr>
              <w:t>19.7</w:t>
            </w:r>
          </w:p>
        </w:tc>
        <w:tc>
          <w:tcPr>
            <w:tcW w:w="140" w:type="dxa"/>
            <w:vAlign w:val="bottom"/>
            <w:tcBorders>
              <w:top w:val="single" w:sz="8" w:color="auto"/>
              <w:bottom w:val="single" w:sz="8" w:color="131E29"/>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117,699</w:t>
            </w:r>
          </w:p>
        </w:tc>
        <w:tc>
          <w:tcPr>
            <w:tcW w:w="100" w:type="dxa"/>
            <w:vAlign w:val="bottom"/>
          </w:tcPr>
          <w:p>
            <w:pPr>
              <w:spacing w:after="0"/>
              <w:rPr>
                <w:sz w:val="22"/>
                <w:szCs w:val="22"/>
                <w:color w:val="auto"/>
              </w:rPr>
            </w:pPr>
          </w:p>
        </w:tc>
        <w:tc>
          <w:tcPr>
            <w:tcW w:w="160" w:type="dxa"/>
            <w:vAlign w:val="bottom"/>
            <w:tcBorders>
              <w:top w:val="single" w:sz="8" w:color="auto"/>
              <w:bottom w:val="single" w:sz="8" w:color="131E29"/>
            </w:tcBorders>
          </w:tcPr>
          <w:p>
            <w:pPr>
              <w:spacing w:after="0"/>
              <w:rPr>
                <w:sz w:val="22"/>
                <w:szCs w:val="22"/>
                <w:color w:val="auto"/>
              </w:rPr>
            </w:pPr>
          </w:p>
        </w:tc>
        <w:tc>
          <w:tcPr>
            <w:tcW w:w="56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19.6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131E29"/>
            </w:tcBorders>
            <w:gridSpan w:val="2"/>
          </w:tcPr>
          <w:p>
            <w:pPr>
              <w:spacing w:after="0" w:line="20" w:lineRule="exact"/>
              <w:rPr>
                <w:sz w:val="1"/>
                <w:szCs w:val="1"/>
                <w:color w:val="auto"/>
              </w:rPr>
            </w:pPr>
          </w:p>
        </w:tc>
        <w:tc>
          <w:tcPr>
            <w:tcW w:w="2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131E29"/>
            </w:tcBorders>
          </w:tcPr>
          <w:p>
            <w:pPr>
              <w:spacing w:after="0" w:line="20" w:lineRule="exact"/>
              <w:rPr>
                <w:sz w:val="1"/>
                <w:szCs w:val="1"/>
                <w:color w:val="auto"/>
              </w:rPr>
            </w:pPr>
          </w:p>
        </w:tc>
        <w:tc>
          <w:tcPr>
            <w:tcW w:w="48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131E29"/>
            </w:tcBorders>
            <w:gridSpan w:val="2"/>
          </w:tcPr>
          <w:p>
            <w:pPr>
              <w:spacing w:after="0" w:line="20" w:lineRule="exact"/>
              <w:rPr>
                <w:sz w:val="1"/>
                <w:szCs w:val="1"/>
                <w:color w:val="auto"/>
              </w:rPr>
            </w:pPr>
          </w:p>
        </w:tc>
        <w:tc>
          <w:tcPr>
            <w:tcW w:w="140" w:type="dxa"/>
            <w:vAlign w:val="bottom"/>
            <w:tcBorders>
              <w:bottom w:val="single" w:sz="8" w:color="131E29"/>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31E29"/>
            </w:tcBorders>
          </w:tcPr>
          <w:p>
            <w:pPr>
              <w:spacing w:after="0" w:line="20" w:lineRule="exact"/>
              <w:rPr>
                <w:sz w:val="1"/>
                <w:szCs w:val="1"/>
                <w:color w:val="auto"/>
              </w:rPr>
            </w:pPr>
          </w:p>
        </w:tc>
        <w:tc>
          <w:tcPr>
            <w:tcW w:w="56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D7282F"/>
            </w:tcBorders>
          </w:tcPr>
          <w:p>
            <w:pPr>
              <w:spacing w:after="0"/>
              <w:rPr>
                <w:sz w:val="24"/>
                <w:szCs w:val="24"/>
                <w:color w:val="auto"/>
              </w:rPr>
            </w:pPr>
          </w:p>
        </w:tc>
        <w:tc>
          <w:tcPr>
            <w:tcW w:w="3100" w:type="dxa"/>
            <w:vAlign w:val="bottom"/>
            <w:tcBorders>
              <w:bottom w:val="single" w:sz="8" w:color="D7282F"/>
            </w:tcBorders>
            <w:gridSpan w:val="13"/>
          </w:tcPr>
          <w:p>
            <w:pPr>
              <w:jc w:val="right"/>
              <w:ind w:right="60"/>
              <w:spacing w:after="0"/>
              <w:rPr>
                <w:sz w:val="20"/>
                <w:szCs w:val="20"/>
                <w:color w:val="auto"/>
              </w:rPr>
            </w:pPr>
            <w:r>
              <w:rPr>
                <w:rFonts w:ascii="Arial" w:cs="Arial" w:eastAsia="Arial" w:hAnsi="Arial"/>
                <w:sz w:val="18"/>
                <w:szCs w:val="18"/>
                <w:b w:val="1"/>
                <w:bCs w:val="1"/>
                <w:color w:val="131E29"/>
              </w:rPr>
              <w:t>Three Months Ended June 30,</w:t>
            </w:r>
          </w:p>
        </w:tc>
        <w:tc>
          <w:tcPr>
            <w:tcW w:w="480" w:type="dxa"/>
            <w:vAlign w:val="bottom"/>
            <w:tcBorders>
              <w:bottom w:val="single" w:sz="8" w:color="D7282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3100" w:type="dxa"/>
            <w:vAlign w:val="bottom"/>
            <w:tcBorders>
              <w:bottom w:val="single" w:sz="8" w:color="D7282F"/>
            </w:tcBorders>
            <w:gridSpan w:val="10"/>
          </w:tcPr>
          <w:p>
            <w:pPr>
              <w:ind w:left="660"/>
              <w:spacing w:after="0"/>
              <w:rPr>
                <w:sz w:val="20"/>
                <w:szCs w:val="20"/>
                <w:color w:val="auto"/>
              </w:rPr>
            </w:pPr>
            <w:r>
              <w:rPr>
                <w:rFonts w:ascii="Arial" w:cs="Arial" w:eastAsia="Arial" w:hAnsi="Arial"/>
                <w:sz w:val="18"/>
                <w:szCs w:val="18"/>
                <w:b w:val="1"/>
                <w:bCs w:val="1"/>
                <w:color w:val="131E29"/>
              </w:rPr>
              <w:t>Six Months Ended June 30,</w:t>
            </w:r>
          </w:p>
        </w:tc>
        <w:tc>
          <w:tcPr>
            <w:tcW w:w="5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1180" w:type="dxa"/>
            <w:vAlign w:val="bottom"/>
            <w:tcBorders>
              <w:bottom w:val="single" w:sz="8" w:color="D7282F"/>
            </w:tcBorders>
            <w:gridSpan w:val="4"/>
          </w:tcPr>
          <w:p>
            <w:pPr>
              <w:jc w:val="right"/>
              <w:ind w:right="140"/>
              <w:spacing w:after="0"/>
              <w:rPr>
                <w:sz w:val="20"/>
                <w:szCs w:val="20"/>
                <w:color w:val="auto"/>
              </w:rPr>
            </w:pPr>
            <w:r>
              <w:rPr>
                <w:rFonts w:ascii="Arial" w:cs="Arial" w:eastAsia="Arial" w:hAnsi="Arial"/>
                <w:sz w:val="18"/>
                <w:szCs w:val="18"/>
                <w:b w:val="1"/>
                <w:bCs w:val="1"/>
                <w:color w:val="131E29"/>
              </w:rPr>
              <w:t>2025</w:t>
            </w:r>
          </w:p>
        </w:tc>
        <w:tc>
          <w:tcPr>
            <w:tcW w:w="540" w:type="dxa"/>
            <w:vAlign w:val="bottom"/>
            <w:tcBorders>
              <w:bottom w:val="single" w:sz="8" w:color="D7282F"/>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260" w:type="dxa"/>
            <w:vAlign w:val="bottom"/>
            <w:tcBorders>
              <w:bottom w:val="single" w:sz="8" w:color="D7282F"/>
            </w:tcBorders>
            <w:gridSpan w:val="5"/>
          </w:tcPr>
          <w:p>
            <w:pPr>
              <w:jc w:val="right"/>
              <w:ind w:right="200"/>
              <w:spacing w:after="0"/>
              <w:rPr>
                <w:sz w:val="20"/>
                <w:szCs w:val="20"/>
                <w:color w:val="auto"/>
              </w:rPr>
            </w:pPr>
            <w:r>
              <w:rPr>
                <w:rFonts w:ascii="Arial" w:cs="Arial" w:eastAsia="Arial" w:hAnsi="Arial"/>
                <w:sz w:val="18"/>
                <w:szCs w:val="18"/>
                <w:b w:val="1"/>
                <w:bCs w:val="1"/>
                <w:color w:val="131E29"/>
              </w:rPr>
              <w:t>2024</w:t>
            </w:r>
          </w:p>
        </w:tc>
        <w:tc>
          <w:tcPr>
            <w:tcW w:w="48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200" w:type="dxa"/>
            <w:vAlign w:val="bottom"/>
            <w:tcBorders>
              <w:bottom w:val="single" w:sz="8" w:color="D7282F"/>
            </w:tcBorders>
            <w:gridSpan w:val="5"/>
          </w:tcPr>
          <w:p>
            <w:pPr>
              <w:ind w:left="660"/>
              <w:spacing w:after="0"/>
              <w:rPr>
                <w:sz w:val="20"/>
                <w:szCs w:val="20"/>
                <w:color w:val="auto"/>
              </w:rPr>
            </w:pPr>
            <w:r>
              <w:rPr>
                <w:rFonts w:ascii="Arial" w:cs="Arial" w:eastAsia="Arial" w:hAnsi="Arial"/>
                <w:sz w:val="18"/>
                <w:szCs w:val="18"/>
                <w:b w:val="1"/>
                <w:bCs w:val="1"/>
                <w:color w:val="131E29"/>
              </w:rPr>
              <w:t>2025</w:t>
            </w:r>
          </w:p>
        </w:tc>
        <w:tc>
          <w:tcPr>
            <w:tcW w:w="540" w:type="dxa"/>
            <w:vAlign w:val="bottom"/>
            <w:tcBorders>
              <w:bottom w:val="single" w:sz="8" w:color="D7282F"/>
            </w:tcBorders>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Borders>
              <w:bottom w:val="single" w:sz="8" w:color="D7282F"/>
            </w:tcBorders>
            <w:gridSpan w:val="3"/>
          </w:tcPr>
          <w:p>
            <w:pPr>
              <w:jc w:val="right"/>
              <w:ind w:right="160"/>
              <w:spacing w:after="0"/>
              <w:rPr>
                <w:sz w:val="20"/>
                <w:szCs w:val="20"/>
                <w:color w:val="auto"/>
              </w:rPr>
            </w:pPr>
            <w:r>
              <w:rPr>
                <w:rFonts w:ascii="Arial" w:cs="Arial" w:eastAsia="Arial" w:hAnsi="Arial"/>
                <w:sz w:val="18"/>
                <w:szCs w:val="18"/>
                <w:b w:val="1"/>
                <w:bCs w:val="1"/>
                <w:color w:val="131E29"/>
              </w:rPr>
              <w:t>2024</w:t>
            </w:r>
          </w:p>
        </w:tc>
        <w:tc>
          <w:tcPr>
            <w:tcW w:w="56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80" w:type="dxa"/>
            <w:vAlign w:val="bottom"/>
            <w:tcBorders>
              <w:bottom w:val="single" w:sz="8" w:color="D2DCE5"/>
            </w:tcBorders>
            <w:gridSpan w:val="2"/>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92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2DCE5"/>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92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2DCE5"/>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220" w:type="dxa"/>
            <w:vAlign w:val="bottom"/>
            <w:tcBorders>
              <w:bottom w:val="single" w:sz="8" w:color="D7282F"/>
            </w:tcBorders>
          </w:tcPr>
          <w:p>
            <w:pPr>
              <w:spacing w:after="0"/>
              <w:rPr>
                <w:sz w:val="22"/>
                <w:szCs w:val="22"/>
                <w:color w:val="auto"/>
              </w:rPr>
            </w:pPr>
          </w:p>
        </w:tc>
        <w:tc>
          <w:tcPr>
            <w:tcW w:w="48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94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w:t>
            </w:r>
          </w:p>
        </w:tc>
        <w:tc>
          <w:tcPr>
            <w:tcW w:w="20" w:type="dxa"/>
            <w:vAlign w:val="bottom"/>
            <w:tcBorders>
              <w:bottom w:val="single" w:sz="8" w:color="D2DCE5"/>
            </w:tcBorders>
          </w:tcPr>
          <w:p>
            <w:pPr>
              <w:spacing w:after="0"/>
              <w:rPr>
                <w:sz w:val="22"/>
                <w:szCs w:val="22"/>
                <w:color w:val="auto"/>
              </w:rPr>
            </w:pPr>
          </w:p>
        </w:tc>
        <w:tc>
          <w:tcPr>
            <w:tcW w:w="60" w:type="dxa"/>
            <w:vAlign w:val="bottom"/>
            <w:tcBorders>
              <w:bottom w:val="single" w:sz="8" w:color="D2DCE5"/>
            </w:tcBorders>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5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40" w:type="dxa"/>
            <w:vAlign w:val="bottom"/>
            <w:tcBorders>
              <w:bottom w:val="single" w:sz="8" w:color="D2DCE5"/>
            </w:tcBorders>
          </w:tcPr>
          <w:p>
            <w:pPr>
              <w:spacing w:after="0"/>
              <w:rPr>
                <w:sz w:val="22"/>
                <w:szCs w:val="22"/>
                <w:color w:val="auto"/>
              </w:rPr>
            </w:pPr>
          </w:p>
        </w:tc>
        <w:tc>
          <w:tcPr>
            <w:tcW w:w="96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56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70"/>
        </w:trPr>
        <w:tc>
          <w:tcPr>
            <w:tcW w:w="390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Selling, general, and administrative</w:t>
            </w: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65,385</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15.7</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58,097</w:t>
            </w: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17.9</w:t>
            </w: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124,306</w:t>
            </w:r>
          </w:p>
        </w:tc>
        <w:tc>
          <w:tcPr>
            <w:tcW w:w="20" w:type="dxa"/>
            <w:vAlign w:val="bottom"/>
            <w:shd w:val="clear" w:color="auto" w:fill="D2DCE5"/>
          </w:tcPr>
          <w:p>
            <w:pPr>
              <w:spacing w:after="0"/>
              <w:rPr>
                <w:sz w:val="23"/>
                <w:szCs w:val="23"/>
                <w:color w:val="auto"/>
              </w:rPr>
            </w:pPr>
          </w:p>
        </w:tc>
        <w:tc>
          <w:tcPr>
            <w:tcW w:w="6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16.1</w:t>
            </w:r>
          </w:p>
        </w:tc>
        <w:tc>
          <w:tcPr>
            <w:tcW w:w="140" w:type="dxa"/>
            <w:vAlign w:val="bottom"/>
            <w:tcBorders>
              <w:right w:val="single" w:sz="8" w:color="D2DCE5"/>
            </w:tcBorders>
            <w:shd w:val="clear" w:color="auto" w:fill="D2DCE5"/>
          </w:tcPr>
          <w:p>
            <w:pPr>
              <w:spacing w:after="0"/>
              <w:rPr>
                <w:sz w:val="23"/>
                <w:szCs w:val="23"/>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104,330</w:t>
            </w:r>
          </w:p>
        </w:tc>
        <w:tc>
          <w:tcPr>
            <w:tcW w:w="10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17.4</w:t>
            </w:r>
          </w:p>
        </w:tc>
        <w:tc>
          <w:tcPr>
            <w:tcW w:w="0" w:type="dxa"/>
            <w:vAlign w:val="bottom"/>
          </w:tcPr>
          <w:p>
            <w:pPr>
              <w:spacing w:after="0"/>
              <w:rPr>
                <w:sz w:val="1"/>
                <w:szCs w:val="1"/>
                <w:color w:val="auto"/>
              </w:rPr>
            </w:pP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Depreciation and amortization</w:t>
            </w:r>
          </w:p>
        </w:tc>
        <w:tc>
          <w:tcPr>
            <w:tcW w:w="920" w:type="dxa"/>
            <w:vAlign w:val="bottom"/>
          </w:tcPr>
          <w:p>
            <w:pPr>
              <w:jc w:val="right"/>
              <w:spacing w:after="0"/>
              <w:rPr>
                <w:sz w:val="20"/>
                <w:szCs w:val="20"/>
                <w:color w:val="auto"/>
              </w:rPr>
            </w:pPr>
            <w:r>
              <w:rPr>
                <w:rFonts w:ascii="Arial" w:cs="Arial" w:eastAsia="Arial" w:hAnsi="Arial"/>
                <w:sz w:val="18"/>
                <w:szCs w:val="18"/>
                <w:color w:val="006098"/>
              </w:rPr>
              <w:t>(817)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(235)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131E29"/>
              </w:rPr>
              <w:t>(0.1)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6098"/>
              </w:rPr>
              <w:t>(1,219)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6098"/>
              </w:rPr>
              <w:t>(0.2)</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(0.1)</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8"/>
                <w:szCs w:val="18"/>
                <w:color w:val="131E29"/>
              </w:rPr>
              <w:t>Equity-based compensation</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(4,096)</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(3,056)</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(0.9)</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(7,890)</w:t>
            </w:r>
          </w:p>
        </w:tc>
        <w:tc>
          <w:tcPr>
            <w:tcW w:w="2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(0.9)</w:t>
            </w:r>
          </w:p>
        </w:tc>
        <w:tc>
          <w:tcPr>
            <w:tcW w:w="140" w:type="dxa"/>
            <w:vAlign w:val="bottom"/>
            <w:tcBorders>
              <w:bottom w:val="single" w:sz="8" w:color="D2DCE5"/>
              <w:right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(4,895)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(0.9)</w:t>
            </w:r>
          </w:p>
        </w:tc>
        <w:tc>
          <w:tcPr>
            <w:tcW w:w="0" w:type="dxa"/>
            <w:vAlign w:val="bottom"/>
          </w:tcPr>
          <w:p>
            <w:pPr>
              <w:spacing w:after="0"/>
              <w:rPr>
                <w:sz w:val="1"/>
                <w:szCs w:val="1"/>
                <w:color w:val="auto"/>
              </w:rPr>
            </w:pP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Expenses associated with equity offerings</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006098"/>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006098"/>
              </w:rPr>
              <w:t>—</w:t>
            </w:r>
          </w:p>
        </w:tc>
        <w:tc>
          <w:tcPr>
            <w:tcW w:w="920" w:type="dxa"/>
            <w:vAlign w:val="bottom"/>
          </w:tcPr>
          <w:p>
            <w:pPr>
              <w:jc w:val="right"/>
              <w:spacing w:after="0"/>
              <w:rPr>
                <w:sz w:val="20"/>
                <w:szCs w:val="20"/>
                <w:color w:val="auto"/>
              </w:rPr>
            </w:pPr>
            <w:r>
              <w:rPr>
                <w:rFonts w:ascii="Arial" w:cs="Arial" w:eastAsia="Arial" w:hAnsi="Arial"/>
                <w:sz w:val="18"/>
                <w:szCs w:val="18"/>
                <w:color w:val="131E29"/>
              </w:rPr>
              <w:t>(528)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131E29"/>
              </w:rPr>
              <w:t>(0.2)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5"/>
          </w:tcPr>
          <w:p>
            <w:pPr>
              <w:jc w:val="right"/>
              <w:ind w:right="340"/>
              <w:spacing w:after="0"/>
              <w:rPr>
                <w:sz w:val="20"/>
                <w:szCs w:val="20"/>
                <w:color w:val="auto"/>
              </w:rPr>
            </w:pPr>
            <w:r>
              <w:rPr>
                <w:rFonts w:ascii="Arial" w:cs="Arial" w:eastAsia="Arial" w:hAnsi="Arial"/>
                <w:sz w:val="18"/>
                <w:szCs w:val="18"/>
                <w:color w:val="006098"/>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006098"/>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(1,489)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(0.2)</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8"/>
                <w:szCs w:val="18"/>
                <w:color w:val="131E29"/>
              </w:rPr>
              <w:t>Executives transition</w:t>
            </w:r>
          </w:p>
        </w:tc>
        <w:tc>
          <w:tcPr>
            <w:tcW w:w="1180" w:type="dxa"/>
            <w:vAlign w:val="bottom"/>
            <w:tcBorders>
              <w:bottom w:val="single" w:sz="8" w:color="D2DCE5"/>
            </w:tcBorders>
            <w:gridSpan w:val="4"/>
            <w:shd w:val="clear" w:color="auto" w:fill="D2DCE5"/>
          </w:tcPr>
          <w:p>
            <w:pPr>
              <w:jc w:val="right"/>
              <w:ind w:right="340"/>
              <w:spacing w:after="0"/>
              <w:rPr>
                <w:sz w:val="20"/>
                <w:szCs w:val="20"/>
                <w:color w:val="auto"/>
              </w:rPr>
            </w:pPr>
            <w:r>
              <w:rPr>
                <w:rFonts w:ascii="Arial" w:cs="Arial" w:eastAsia="Arial" w:hAnsi="Arial"/>
                <w:sz w:val="18"/>
                <w:szCs w:val="18"/>
                <w:color w:val="006098"/>
              </w:rPr>
              <w:t>—</w:t>
            </w:r>
          </w:p>
        </w:tc>
        <w:tc>
          <w:tcPr>
            <w:tcW w:w="660" w:type="dxa"/>
            <w:vAlign w:val="bottom"/>
            <w:tcBorders>
              <w:bottom w:val="single" w:sz="8" w:color="D2DCE5"/>
            </w:tcBorders>
            <w:gridSpan w:val="4"/>
            <w:shd w:val="clear" w:color="auto" w:fill="D2DCE5"/>
          </w:tcPr>
          <w:p>
            <w:pPr>
              <w:jc w:val="right"/>
              <w:ind w:right="200"/>
              <w:spacing w:after="0"/>
              <w:rPr>
                <w:sz w:val="20"/>
                <w:szCs w:val="20"/>
                <w:color w:val="auto"/>
              </w:rPr>
            </w:pPr>
            <w:r>
              <w:rPr>
                <w:rFonts w:ascii="Arial" w:cs="Arial" w:eastAsia="Arial" w:hAnsi="Arial"/>
                <w:sz w:val="18"/>
                <w:szCs w:val="18"/>
                <w:color w:val="006098"/>
              </w:rPr>
              <w:t>—</w:t>
            </w:r>
          </w:p>
        </w:tc>
        <w:tc>
          <w:tcPr>
            <w:tcW w:w="1260" w:type="dxa"/>
            <w:vAlign w:val="bottom"/>
            <w:tcBorders>
              <w:bottom w:val="single" w:sz="8" w:color="D2DCE5"/>
            </w:tcBorders>
            <w:gridSpan w:val="5"/>
            <w:shd w:val="clear" w:color="auto" w:fill="D2DCE5"/>
          </w:tcPr>
          <w:p>
            <w:pPr>
              <w:jc w:val="right"/>
              <w:ind w:right="420"/>
              <w:spacing w:after="0"/>
              <w:rPr>
                <w:sz w:val="20"/>
                <w:szCs w:val="20"/>
                <w:color w:val="auto"/>
              </w:rPr>
            </w:pPr>
            <w:r>
              <w:rPr>
                <w:rFonts w:ascii="Arial" w:cs="Arial" w:eastAsia="Arial" w:hAnsi="Arial"/>
                <w:sz w:val="18"/>
                <w:szCs w:val="18"/>
                <w:color w:val="131E29"/>
              </w:rPr>
              <w:t>—</w:t>
            </w:r>
          </w:p>
        </w:tc>
        <w:tc>
          <w:tcPr>
            <w:tcW w:w="580" w:type="dxa"/>
            <w:vAlign w:val="bottom"/>
            <w:tcBorders>
              <w:bottom w:val="single" w:sz="8" w:color="D2DCE5"/>
            </w:tcBorders>
            <w:gridSpan w:val="3"/>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200" w:type="dxa"/>
            <w:vAlign w:val="bottom"/>
            <w:tcBorders>
              <w:bottom w:val="single" w:sz="8" w:color="D2DCE5"/>
            </w:tcBorders>
            <w:gridSpan w:val="5"/>
            <w:shd w:val="clear" w:color="auto" w:fill="D2DCE5"/>
          </w:tcPr>
          <w:p>
            <w:pPr>
              <w:jc w:val="right"/>
              <w:ind w:right="340"/>
              <w:spacing w:after="0"/>
              <w:rPr>
                <w:sz w:val="20"/>
                <w:szCs w:val="20"/>
                <w:color w:val="auto"/>
              </w:rPr>
            </w:pPr>
            <w:r>
              <w:rPr>
                <w:rFonts w:ascii="Arial" w:cs="Arial" w:eastAsia="Arial" w:hAnsi="Arial"/>
                <w:sz w:val="18"/>
                <w:szCs w:val="18"/>
                <w:color w:val="006098"/>
              </w:rPr>
              <w:t>—</w:t>
            </w:r>
          </w:p>
        </w:tc>
        <w:tc>
          <w:tcPr>
            <w:tcW w:w="680" w:type="dxa"/>
            <w:vAlign w:val="bottom"/>
            <w:tcBorders>
              <w:bottom w:val="single" w:sz="8" w:color="D2DCE5"/>
              <w:right w:val="single" w:sz="8" w:color="D2DCE5"/>
            </w:tcBorders>
            <w:gridSpan w:val="2"/>
            <w:shd w:val="clear" w:color="auto" w:fill="D2DCE5"/>
          </w:tcPr>
          <w:p>
            <w:pPr>
              <w:jc w:val="right"/>
              <w:ind w:right="220"/>
              <w:spacing w:after="0"/>
              <w:rPr>
                <w:sz w:val="20"/>
                <w:szCs w:val="20"/>
                <w:color w:val="auto"/>
              </w:rPr>
            </w:pPr>
            <w:r>
              <w:rPr>
                <w:rFonts w:ascii="Arial" w:cs="Arial" w:eastAsia="Arial" w:hAnsi="Arial"/>
                <w:sz w:val="18"/>
                <w:szCs w:val="18"/>
                <w:color w:val="006098"/>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7"/>
        </w:trPr>
        <w:tc>
          <w:tcPr>
            <w:tcW w:w="3900" w:type="dxa"/>
            <w:vAlign w:val="bottom"/>
            <w:gridSpan w:val="4"/>
          </w:tcPr>
          <w:p>
            <w:pPr>
              <w:ind w:left="180"/>
              <w:spacing w:after="0"/>
              <w:rPr>
                <w:sz w:val="20"/>
                <w:szCs w:val="20"/>
                <w:color w:val="auto"/>
              </w:rPr>
            </w:pPr>
            <w:r>
              <w:rPr>
                <w:rFonts w:ascii="Arial" w:cs="Arial" w:eastAsia="Arial" w:hAnsi="Arial"/>
                <w:sz w:val="18"/>
                <w:szCs w:val="18"/>
                <w:color w:val="131E29"/>
              </w:rPr>
              <w:t>Organization realignment and restructurings: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D2DCE5"/>
            </w:tcBorders>
            <w:gridSpan w:val="4"/>
            <w:shd w:val="clear" w:color="auto" w:fill="D2DCE5"/>
          </w:tcPr>
          <w:p>
            <w:pPr>
              <w:ind w:left="360"/>
              <w:spacing w:after="0"/>
              <w:rPr>
                <w:sz w:val="20"/>
                <w:szCs w:val="20"/>
                <w:color w:val="auto"/>
              </w:rPr>
            </w:pPr>
            <w:r>
              <w:rPr>
                <w:rFonts w:ascii="Arial" w:cs="Arial" w:eastAsia="Arial" w:hAnsi="Arial"/>
                <w:sz w:val="18"/>
                <w:szCs w:val="18"/>
                <w:color w:val="131E29"/>
              </w:rPr>
              <w:t>Employee-related costs</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(1,734)</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(6,664)</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(2,743)</w:t>
            </w:r>
          </w:p>
        </w:tc>
        <w:tc>
          <w:tcPr>
            <w:tcW w:w="2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140" w:type="dxa"/>
            <w:vAlign w:val="bottom"/>
            <w:tcBorders>
              <w:bottom w:val="single" w:sz="8" w:color="D2DCE5"/>
              <w:right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(9,289)</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w:t>
            </w:r>
          </w:p>
        </w:tc>
        <w:tc>
          <w:tcPr>
            <w:tcW w:w="0" w:type="dxa"/>
            <w:vAlign w:val="bottom"/>
          </w:tcPr>
          <w:p>
            <w:pPr>
              <w:spacing w:after="0"/>
              <w:rPr>
                <w:sz w:val="1"/>
                <w:szCs w:val="1"/>
                <w:color w:val="auto"/>
              </w:rPr>
            </w:pPr>
          </w:p>
        </w:tc>
      </w:tr>
      <w:tr>
        <w:trPr>
          <w:trHeight w:val="247"/>
        </w:trPr>
        <w:tc>
          <w:tcPr>
            <w:tcW w:w="3900" w:type="dxa"/>
            <w:vAlign w:val="bottom"/>
            <w:gridSpan w:val="4"/>
          </w:tcPr>
          <w:p>
            <w:pPr>
              <w:ind w:left="360"/>
              <w:spacing w:after="0"/>
              <w:rPr>
                <w:sz w:val="20"/>
                <w:szCs w:val="20"/>
                <w:color w:val="auto"/>
              </w:rPr>
            </w:pPr>
            <w:r>
              <w:rPr>
                <w:rFonts w:ascii="Arial" w:cs="Arial" w:eastAsia="Arial" w:hAnsi="Arial"/>
                <w:sz w:val="18"/>
                <w:szCs w:val="18"/>
                <w:color w:val="131E29"/>
              </w:rPr>
              <w:t>Other costs</w:t>
            </w:r>
          </w:p>
        </w:tc>
        <w:tc>
          <w:tcPr>
            <w:tcW w:w="920" w:type="dxa"/>
            <w:vAlign w:val="bottom"/>
          </w:tcPr>
          <w:p>
            <w:pPr>
              <w:jc w:val="right"/>
              <w:spacing w:after="0"/>
              <w:rPr>
                <w:sz w:val="20"/>
                <w:szCs w:val="20"/>
                <w:color w:val="auto"/>
              </w:rPr>
            </w:pPr>
            <w:r>
              <w:rPr>
                <w:rFonts w:ascii="Arial" w:cs="Arial" w:eastAsia="Arial" w:hAnsi="Arial"/>
                <w:sz w:val="18"/>
                <w:szCs w:val="18"/>
                <w:color w:val="006098"/>
              </w:rPr>
              <w:t>(29)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006098"/>
              </w:rPr>
              <w:t>—</w:t>
            </w:r>
          </w:p>
        </w:tc>
        <w:tc>
          <w:tcPr>
            <w:tcW w:w="920" w:type="dxa"/>
            <w:vAlign w:val="bottom"/>
          </w:tcPr>
          <w:p>
            <w:pPr>
              <w:jc w:val="right"/>
              <w:spacing w:after="0"/>
              <w:rPr>
                <w:sz w:val="20"/>
                <w:szCs w:val="20"/>
                <w:color w:val="auto"/>
              </w:rPr>
            </w:pPr>
            <w:r>
              <w:rPr>
                <w:rFonts w:ascii="Arial" w:cs="Arial" w:eastAsia="Arial" w:hAnsi="Arial"/>
                <w:sz w:val="18"/>
                <w:szCs w:val="18"/>
                <w:color w:val="131E29"/>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131E29"/>
              </w:rPr>
              <w:t>—</w:t>
            </w:r>
          </w:p>
        </w:tc>
        <w:tc>
          <w:tcPr>
            <w:tcW w:w="940" w:type="dxa"/>
            <w:vAlign w:val="bottom"/>
          </w:tcPr>
          <w:p>
            <w:pPr>
              <w:jc w:val="right"/>
              <w:spacing w:after="0"/>
              <w:rPr>
                <w:sz w:val="20"/>
                <w:szCs w:val="20"/>
                <w:color w:val="auto"/>
              </w:rPr>
            </w:pPr>
            <w:r>
              <w:rPr>
                <w:rFonts w:ascii="Arial" w:cs="Arial" w:eastAsia="Arial" w:hAnsi="Arial"/>
                <w:sz w:val="18"/>
                <w:szCs w:val="18"/>
                <w:color w:val="006098"/>
              </w:rPr>
              <w:t>(248)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006098"/>
              </w:rPr>
              <w:t>—</w:t>
            </w:r>
          </w:p>
        </w:tc>
        <w:tc>
          <w:tcPr>
            <w:tcW w:w="960" w:type="dxa"/>
            <w:vAlign w:val="bottom"/>
          </w:tcPr>
          <w:p>
            <w:pPr>
              <w:jc w:val="right"/>
              <w:spacing w:after="0"/>
              <w:rPr>
                <w:sz w:val="20"/>
                <w:szCs w:val="20"/>
                <w:color w:val="auto"/>
              </w:rPr>
            </w:pPr>
            <w:r>
              <w:rPr>
                <w:rFonts w:ascii="Arial" w:cs="Arial" w:eastAsia="Arial" w:hAnsi="Arial"/>
                <w:sz w:val="18"/>
                <w:szCs w:val="18"/>
                <w:color w:val="131E29"/>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3"/>
        </w:trPr>
        <w:tc>
          <w:tcPr>
            <w:tcW w:w="378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60" w:type="dxa"/>
            <w:vAlign w:val="bottom"/>
            <w:gridSpan w:val="3"/>
            <w:shd w:val="clear" w:color="auto" w:fill="D2DCE5"/>
          </w:tcPr>
          <w:p>
            <w:pPr>
              <w:ind w:left="520"/>
              <w:spacing w:after="0" w:line="204" w:lineRule="exact"/>
              <w:rPr>
                <w:sz w:val="20"/>
                <w:szCs w:val="20"/>
                <w:color w:val="auto"/>
              </w:rPr>
            </w:pPr>
            <w:r>
              <w:rPr>
                <w:rFonts w:ascii="Arial" w:cs="Arial" w:eastAsia="Arial" w:hAnsi="Arial"/>
                <w:sz w:val="18"/>
                <w:szCs w:val="18"/>
                <w:color w:val="131E29"/>
              </w:rPr>
              <w:t>Total organization realignment and</w:t>
            </w:r>
          </w:p>
        </w:tc>
        <w:tc>
          <w:tcPr>
            <w:tcW w:w="40" w:type="dxa"/>
            <w:vAlign w:val="bottom"/>
            <w:shd w:val="clear" w:color="auto" w:fill="D2DCE5"/>
          </w:tcPr>
          <w:p>
            <w:pPr>
              <w:spacing w:after="0"/>
              <w:rPr>
                <w:sz w:val="17"/>
                <w:szCs w:val="17"/>
                <w:color w:val="auto"/>
              </w:rPr>
            </w:pPr>
          </w:p>
        </w:tc>
        <w:tc>
          <w:tcPr>
            <w:tcW w:w="9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92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4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540" w:type="dxa"/>
            <w:vAlign w:val="bottom"/>
            <w:shd w:val="clear" w:color="auto" w:fill="D2DCE5"/>
          </w:tcPr>
          <w:p>
            <w:pPr>
              <w:spacing w:after="0"/>
              <w:rPr>
                <w:sz w:val="17"/>
                <w:szCs w:val="17"/>
                <w:color w:val="auto"/>
              </w:rPr>
            </w:pPr>
          </w:p>
        </w:tc>
        <w:tc>
          <w:tcPr>
            <w:tcW w:w="140" w:type="dxa"/>
            <w:vAlign w:val="bottom"/>
            <w:tcBorders>
              <w:right w:val="single" w:sz="8" w:color="D2DCE5"/>
            </w:tcBorders>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860" w:type="dxa"/>
            <w:vAlign w:val="bottom"/>
            <w:tcBorders>
              <w:bottom w:val="single" w:sz="8" w:color="D2DCE5"/>
            </w:tcBorders>
            <w:gridSpan w:val="3"/>
            <w:shd w:val="clear" w:color="auto" w:fill="D2DCE5"/>
          </w:tcPr>
          <w:p>
            <w:pPr>
              <w:ind w:left="520"/>
              <w:spacing w:after="0"/>
              <w:rPr>
                <w:sz w:val="20"/>
                <w:szCs w:val="20"/>
                <w:color w:val="auto"/>
              </w:rPr>
            </w:pPr>
            <w:r>
              <w:rPr>
                <w:rFonts w:ascii="Arial" w:cs="Arial" w:eastAsia="Arial" w:hAnsi="Arial"/>
                <w:sz w:val="18"/>
                <w:szCs w:val="18"/>
                <w:color w:val="131E29"/>
              </w:rPr>
              <w:t>restructurings</w:t>
            </w:r>
          </w:p>
        </w:tc>
        <w:tc>
          <w:tcPr>
            <w:tcW w:w="40" w:type="dxa"/>
            <w:vAlign w:val="bottom"/>
            <w:tcBorders>
              <w:bottom w:val="single" w:sz="8" w:color="D2DCE5"/>
            </w:tcBorders>
            <w:shd w:val="clear" w:color="auto" w:fill="D2DCE5"/>
          </w:tcPr>
          <w:p>
            <w:pPr>
              <w:spacing w:after="0"/>
              <w:rPr>
                <w:sz w:val="22"/>
                <w:szCs w:val="22"/>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(1,763)</w:t>
            </w: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2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(6,694)</w:t>
            </w:r>
          </w:p>
        </w:tc>
        <w:tc>
          <w:tcPr>
            <w:tcW w:w="2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D2DCE5"/>
            </w:tcBorders>
            <w:shd w:val="clear" w:color="auto" w:fill="D2DCE5"/>
          </w:tcPr>
          <w:p>
            <w:pPr>
              <w:spacing w:after="0"/>
              <w:rPr>
                <w:sz w:val="22"/>
                <w:szCs w:val="22"/>
                <w:color w:val="auto"/>
              </w:rPr>
            </w:pPr>
          </w:p>
        </w:tc>
        <w:tc>
          <w:tcPr>
            <w:tcW w:w="4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w:t>
            </w: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(2,991)</w:t>
            </w:r>
          </w:p>
        </w:tc>
        <w:tc>
          <w:tcPr>
            <w:tcW w:w="20" w:type="dxa"/>
            <w:vAlign w:val="bottom"/>
            <w:tcBorders>
              <w:bottom w:val="single" w:sz="8" w:color="D2DCE5"/>
            </w:tcBorders>
            <w:shd w:val="clear" w:color="auto" w:fill="D2DCE5"/>
          </w:tcPr>
          <w:p>
            <w:pPr>
              <w:spacing w:after="0"/>
              <w:rPr>
                <w:sz w:val="22"/>
                <w:szCs w:val="22"/>
                <w:color w:val="auto"/>
              </w:rPr>
            </w:pPr>
          </w:p>
        </w:tc>
        <w:tc>
          <w:tcPr>
            <w:tcW w:w="60" w:type="dxa"/>
            <w:vAlign w:val="bottom"/>
            <w:tcBorders>
              <w:bottom w:val="single" w:sz="8" w:color="D2DCE5"/>
            </w:tcBorders>
            <w:shd w:val="clear" w:color="auto" w:fill="D2DCE5"/>
          </w:tcPr>
          <w:p>
            <w:pPr>
              <w:spacing w:after="0"/>
              <w:rPr>
                <w:sz w:val="22"/>
                <w:szCs w:val="22"/>
                <w:color w:val="auto"/>
              </w:rPr>
            </w:pPr>
          </w:p>
        </w:tc>
        <w:tc>
          <w:tcPr>
            <w:tcW w:w="40" w:type="dxa"/>
            <w:vAlign w:val="bottom"/>
            <w:tcBorders>
              <w:bottom w:val="single" w:sz="8" w:color="D2DCE5"/>
            </w:tcBorders>
            <w:shd w:val="clear" w:color="auto" w:fill="D2DCE5"/>
          </w:tcPr>
          <w:p>
            <w:pPr>
              <w:spacing w:after="0"/>
              <w:rPr>
                <w:sz w:val="22"/>
                <w:szCs w:val="22"/>
                <w:color w:val="auto"/>
              </w:rPr>
            </w:pPr>
          </w:p>
        </w:tc>
        <w:tc>
          <w:tcPr>
            <w:tcW w:w="140" w:type="dxa"/>
            <w:vAlign w:val="bottom"/>
            <w:tcBorders>
              <w:bottom w:val="single" w:sz="8" w:color="D2DCE5"/>
            </w:tcBorders>
            <w:shd w:val="clear" w:color="auto" w:fill="D2DCE5"/>
          </w:tcPr>
          <w:p>
            <w:pPr>
              <w:spacing w:after="0"/>
              <w:rPr>
                <w:sz w:val="22"/>
                <w:szCs w:val="22"/>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(0.4)</w:t>
            </w:r>
          </w:p>
        </w:tc>
        <w:tc>
          <w:tcPr>
            <w:tcW w:w="140" w:type="dxa"/>
            <w:vAlign w:val="bottom"/>
            <w:tcBorders>
              <w:bottom w:val="single" w:sz="8" w:color="D2DCE5"/>
              <w:right w:val="single" w:sz="8" w:color="D2DCE5"/>
            </w:tcBorders>
            <w:shd w:val="clear" w:color="auto" w:fill="D2DCE5"/>
          </w:tcPr>
          <w:p>
            <w:pPr>
              <w:spacing w:after="0"/>
              <w:rPr>
                <w:sz w:val="22"/>
                <w:szCs w:val="22"/>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(9,319)</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w:t>
            </w:r>
          </w:p>
        </w:tc>
        <w:tc>
          <w:tcPr>
            <w:tcW w:w="0" w:type="dxa"/>
            <w:vAlign w:val="bottom"/>
          </w:tcPr>
          <w:p>
            <w:pPr>
              <w:spacing w:after="0"/>
              <w:rPr>
                <w:sz w:val="1"/>
                <w:szCs w:val="1"/>
                <w:color w:val="auto"/>
              </w:rPr>
            </w:pPr>
          </w:p>
        </w:tc>
      </w:tr>
      <w:tr>
        <w:trPr>
          <w:trHeight w:val="204"/>
        </w:trPr>
        <w:tc>
          <w:tcPr>
            <w:tcW w:w="3860" w:type="dxa"/>
            <w:vAlign w:val="bottom"/>
            <w:gridSpan w:val="3"/>
          </w:tcPr>
          <w:p>
            <w:pPr>
              <w:ind w:left="360"/>
              <w:spacing w:after="0" w:line="204" w:lineRule="exact"/>
              <w:rPr>
                <w:sz w:val="20"/>
                <w:szCs w:val="20"/>
                <w:color w:val="auto"/>
              </w:rPr>
            </w:pPr>
            <w:r>
              <w:rPr>
                <w:rFonts w:ascii="Arial" w:cs="Arial" w:eastAsia="Arial" w:hAnsi="Arial"/>
                <w:sz w:val="18"/>
                <w:szCs w:val="18"/>
                <w:b w:val="1"/>
                <w:bCs w:val="1"/>
                <w:color w:val="131E29"/>
              </w:rPr>
              <w:t>Adjusted selling, general, and</w:t>
            </w: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006098"/>
              </w:rPr>
              <w:t>58,709</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006098"/>
              </w:rPr>
              <w:t>14.1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131E29"/>
              </w:rPr>
              <w:t>47,584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131E29"/>
              </w:rPr>
              <w:t>14.6</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006098"/>
              </w:rPr>
              <w:t>112,206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006098"/>
              </w:rPr>
              <w:t>14.6</w:t>
            </w:r>
          </w:p>
        </w:tc>
        <w:tc>
          <w:tcPr>
            <w:tcW w:w="140" w:type="dxa"/>
            <w:vAlign w:val="bottom"/>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131E29"/>
              </w:rPr>
              <w:t>88,053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131E29"/>
              </w:rPr>
              <w:t>14.7</w:t>
            </w:r>
          </w:p>
        </w:tc>
        <w:tc>
          <w:tcPr>
            <w:tcW w:w="0" w:type="dxa"/>
            <w:vAlign w:val="bottom"/>
          </w:tcPr>
          <w:p>
            <w:pPr>
              <w:spacing w:after="0"/>
              <w:rPr>
                <w:sz w:val="1"/>
                <w:szCs w:val="1"/>
                <w:color w:val="auto"/>
              </w:rPr>
            </w:pPr>
          </w:p>
        </w:tc>
      </w:tr>
      <w:tr>
        <w:trPr>
          <w:trHeight w:val="235"/>
        </w:trPr>
        <w:tc>
          <w:tcPr>
            <w:tcW w:w="3900" w:type="dxa"/>
            <w:vAlign w:val="bottom"/>
            <w:gridSpan w:val="4"/>
          </w:tcPr>
          <w:p>
            <w:pPr>
              <w:ind w:left="360"/>
              <w:spacing w:after="0"/>
              <w:rPr>
                <w:sz w:val="20"/>
                <w:szCs w:val="20"/>
                <w:color w:val="auto"/>
              </w:rPr>
            </w:pPr>
            <w:r>
              <w:rPr>
                <w:rFonts w:ascii="Arial" w:cs="Arial" w:eastAsia="Arial" w:hAnsi="Arial"/>
                <w:sz w:val="18"/>
                <w:szCs w:val="18"/>
                <w:b w:val="1"/>
                <w:bCs w:val="1"/>
                <w:color w:val="131E29"/>
              </w:rPr>
              <w:t>administrative</w:t>
            </w: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QUANTITATIVE AND QUALITATIVE DISCLOSURES ABOUT MARKET RISK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Commodity Risks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and making operational adjustments that increase productivity. However, tariffs,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Labor Costs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have experienced minimum wage increases, which directly affect our labor costs, and other upward pressure on wage rates in several states, including in California beginning in April 2024. Additionally, several other states that we operate in have increased their minimum wage requirements in 2025. In the future, we may or may not be able to offset these cost increases with operational efficiencies, menu price increases, or other adjustments. As of June 30, 2025, we employed approximately 20,000 hourly workers in our company-operated shops.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Interest Rate Risk</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have historically been exposed to interest rate risk through fluctuations in interest rates on our debt obligations. Our 2025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June 30, 2025, we had $50.0 million in revolving loans outstanding, and $ 150.0 million was outstanding on our term loan facility. A hypothetical increase of interest rates up to 1% on our outstanding term loan as of June 30, 2025 would result in an increase in our annual interest expense of approximately $2.0 million, excluding any potential impacts of interest rate swaps.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Inflation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Evaluation of Disclosure Controls and Procedures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June 30, 2025,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Changes in Internal Control over Financial Reporting</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changes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LEGAL PROCEEDINGS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may, from time to time, be a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and adversely affect our business, financial condition, results of operations, and growth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31E29"/>
        </w:rPr>
        <w:t>Please refer to NOTE 15 — Commitments and Contingencies under the heading “Legal Proceedings”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1A. RISK FACTORS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Except for the items noted below, there have been no material changes in our risk factors from those disclosed in Part I, Item 1A of our 2024 Form 10-K. The risk factors described in our 2024 Form 10-K, as well as other information set forth in this Quarterly Report on Form 10-Q, could materially adversely affect our business, financial condition and results of operations, and should be carefully considered. The risks and uncertainties that we face, however, are not limited to those described in the 2024 Form 10-K. Additional risks and uncertainties not presently known to us or that we currently believe to be immaterial may also adversely affect our business and the trading price of our Class A common stock.</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International trade policies, including tariffs, sanctions and trade barriers may adversely affect our business, financial condition, results of operations, and prospects.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recent announcements of substantial new U.S. tariffs and other restrictive trade policies have created a dynamic and unpredictable trade landscape, which may adversely impact our business.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Current or future tariffs or other restrictive trade measures may raise the costs of our imported green coffee beans and other goods, which may adversely impact our product offerings, operational expenses, and construction costs. Such cost increases may reduce our margins and require us to increase prices, which could harm our competitive position, reduce customer demand, and damage customer relationships. Our suppliers and distribution channels are also affected by the current trade environment, and we and they may experience supply chain disruptions as a result of increased costs and uncertainty, as well as risks to the long-term viability of key suppliers, which may impact our ability to meet customer demand or manage inventory efficiently. Tariff and other trade-related cost pressures and supply chain disruptions may lead to reputational harm if we are unable to supply our shops with sufficient products or supply products on expected timelines, or if any price increases are poorly received by customers. In addition, evolving trade policies, including tariffs and trade restrictions, may decrease consumer discretionary spending and result in decreased demand for our products.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necessitate pricing actions and result in a negative impact on customer demand for our products, limit expansion opportunities, limit our access to capital, or otherwise negatively impact our business and operations. Ongoing tariff, trade restrictions and macroeconomic uncertainty may contribute to volatility in the price of our Class A common stock.</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Ongoing uncertainty regarding trade policies may also complicate our short- and long-term strategic planning, and that of our suppliers and distributors, including decisions regarding hiring, product strategy, capital investment, supply chain design, and geographic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our 2024 Form 10-K.</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006098"/>
        </w:rPr>
        <w:t>Legislation and regulations requiring the display and provision of nutritional information for our menu offerings, and new information, attitudes, or regulations regarding additives, diet and health or adverse opinions about the health effects of consuming our menu offerings, could affect consumer preferences and negatively impact our business, financial condition, and results of operations.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Government regulation and customer consumption habits may impact our business as a result of changes in attitudes regarding diet and health (including use of weight-loss or appetite-suppressing drugs)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More recently, U.S. regulatory authorities, including the Food and Drug Administration, have indicated their intent to restrict or prohibit the use of certain food dyes currently permitted for lawful use in the food supply by the end of 2026. The Food and Drug Administration has also announced its intent to revise its post-market food chemical review program. Furthermore, an increasing number of states have proposed or enacted laws prohibiting or limiting the use of certain food and color additives. Should such regulatory change affect the ingredients currently used in our products and we are unable to identify or secure comparable and cost-effective alternative ingredients, such change could have an adverse effect on our results of operations and financial position. An unfavorable report on, or reaction to, our current or future menu ingredients, the size of our portions, or the nutritional content of our menu items could negatively influence the demand for our offerings.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cannot make any assurances regarding our ability to effectively respond to changes in customer health perceptions or our ability to successfully implement nutrient content disclosure requirements or other resulting regulations, including potential regulations around the use of certain ingredients, dyes, or other additives, or to adapt our menu offerings to trends in drinking and consumption habits. The imposition of menu-labeling laws, additional restrictions on certain food additives, and such other regulations could have an adverse effect on our results of operations and financial position, as well as the food service and restaurant industry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may be unable to identify all potential allergens present in our products at the time of purchase, whether they may have been introduced by us or by our third party vendors. This could result in the inability of some customers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social media has contributed to an increase in “secret menu” style drinks that are not created or marketed by us. Such drinks can be ordered by customers, for example, by asking for specific combinations of flavors or ingredients. We have no control over such trends, may not become timely aware of them, and may be unable to provide nutritional information for them. Such trends may also result in a mixture of ingredients in ways that could be perceived negatively, including with regard to health effects, and such perception could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Unregistered Sales of Equity Securities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April 28, 2025, pursuant to Section 3(a)(9) of the Securities Act, we made an unregistered issuance of Dutch Bros Inc.’s Class A common stock via exchange of 1.75 million Dutch Bros OpCo Class A common units held by entities controlled by our Co-Founder for shares of our Class A common stock on a one-for-one basis. Such shares of Class A common stock were then reserved for sale directly by entities controlled by our Co-Founder pursuant to a Rule 10b5-1 trading arrangement, and we received no proceeds.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DEFAULTS UPON SENIOR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MINE SAFETY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5.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exhibits are included herein or incorporated herein by reference: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200" w:type="dxa"/>
            <w:vAlign w:val="bottom"/>
            <w:tcBorders>
              <w:bottom w:val="single" w:sz="8" w:color="D7282F"/>
            </w:tcBorders>
            <w:gridSpan w:val="4"/>
          </w:tcPr>
          <w:p>
            <w:pPr>
              <w:ind w:left="380"/>
              <w:spacing w:after="0"/>
              <w:rPr>
                <w:sz w:val="20"/>
                <w:szCs w:val="20"/>
                <w:color w:val="auto"/>
              </w:rPr>
            </w:pPr>
            <w:r>
              <w:rPr>
                <w:rFonts w:ascii="Arial" w:cs="Arial" w:eastAsia="Arial" w:hAnsi="Arial"/>
                <w:sz w:val="14"/>
                <w:szCs w:val="14"/>
                <w:b w:val="1"/>
                <w:bCs w:val="1"/>
                <w:color w:val="131E29"/>
              </w:rPr>
              <w:t>Incorporated by Reference</w:t>
            </w:r>
          </w:p>
        </w:tc>
        <w:tc>
          <w:tcPr>
            <w:tcW w:w="1240" w:type="dxa"/>
            <w:vAlign w:val="bottom"/>
            <w:tcBorders>
              <w:bottom w:val="single" w:sz="8" w:color="D7282F"/>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31E29"/>
              </w:rPr>
              <w:t>Exhibit</w:t>
            </w:r>
          </w:p>
        </w:tc>
        <w:tc>
          <w:tcPr>
            <w:tcW w:w="3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31E29"/>
                <w:w w:val="97"/>
              </w:rPr>
              <w:t>Filed</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Number</w:t>
            </w:r>
          </w:p>
        </w:tc>
        <w:tc>
          <w:tcPr>
            <w:tcW w:w="120" w:type="dxa"/>
            <w:vAlign w:val="bottom"/>
            <w:tcBorders>
              <w:bottom w:val="single" w:sz="8" w:color="D2DCE5"/>
            </w:tcBorders>
          </w:tcPr>
          <w:p>
            <w:pPr>
              <w:spacing w:after="0"/>
              <w:rPr>
                <w:sz w:val="17"/>
                <w:szCs w:val="17"/>
                <w:color w:val="auto"/>
              </w:rPr>
            </w:pPr>
          </w:p>
        </w:tc>
        <w:tc>
          <w:tcPr>
            <w:tcW w:w="4740" w:type="dxa"/>
            <w:vAlign w:val="bottom"/>
            <w:tcBorders>
              <w:bottom w:val="single" w:sz="8" w:color="D7282F"/>
            </w:tcBorders>
            <w:gridSpan w:val="19"/>
          </w:tcPr>
          <w:p>
            <w:pPr>
              <w:spacing w:after="0"/>
              <w:rPr>
                <w:sz w:val="20"/>
                <w:szCs w:val="20"/>
                <w:color w:val="auto"/>
              </w:rPr>
            </w:pPr>
            <w:r>
              <w:rPr>
                <w:rFonts w:ascii="Arial" w:cs="Arial" w:eastAsia="Arial" w:hAnsi="Arial"/>
                <w:sz w:val="14"/>
                <w:szCs w:val="14"/>
                <w:b w:val="1"/>
                <w:bCs w:val="1"/>
                <w:color w:val="131E29"/>
              </w:rPr>
              <w:t>Description</w:t>
            </w:r>
          </w:p>
        </w:tc>
        <w:tc>
          <w:tcPr>
            <w:tcW w:w="100" w:type="dxa"/>
            <w:vAlign w:val="bottom"/>
            <w:tcBorders>
              <w:bottom w:val="single" w:sz="8" w:color="D2DCE5"/>
            </w:tcBorders>
          </w:tcPr>
          <w:p>
            <w:pPr>
              <w:spacing w:after="0"/>
              <w:rPr>
                <w:sz w:val="17"/>
                <w:szCs w:val="17"/>
                <w:color w:val="auto"/>
              </w:rPr>
            </w:pPr>
          </w:p>
        </w:tc>
        <w:tc>
          <w:tcPr>
            <w:tcW w:w="7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Form</w:t>
            </w:r>
          </w:p>
        </w:tc>
        <w:tc>
          <w:tcPr>
            <w:tcW w:w="12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131E29"/>
              </w:rPr>
              <w:t>File No.</w:t>
            </w:r>
          </w:p>
        </w:tc>
        <w:tc>
          <w:tcPr>
            <w:tcW w:w="82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131E29"/>
              </w:rPr>
              <w:t>Exhibit</w:t>
            </w:r>
          </w:p>
        </w:tc>
        <w:tc>
          <w:tcPr>
            <w:tcW w:w="100" w:type="dxa"/>
            <w:vAlign w:val="bottom"/>
            <w:tcBorders>
              <w:bottom w:val="single" w:sz="8" w:color="D2DCE5"/>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Filing Date</w:t>
            </w:r>
          </w:p>
        </w:tc>
        <w:tc>
          <w:tcPr>
            <w:tcW w:w="100" w:type="dxa"/>
            <w:vAlign w:val="bottom"/>
            <w:tcBorders>
              <w:bottom w:val="single" w:sz="8" w:color="D2DCE5"/>
            </w:tcBorders>
          </w:tcPr>
          <w:p>
            <w:pPr>
              <w:spacing w:after="0"/>
              <w:rPr>
                <w:sz w:val="17"/>
                <w:szCs w:val="17"/>
                <w:color w:val="auto"/>
              </w:rPr>
            </w:pPr>
          </w:p>
        </w:tc>
        <w:tc>
          <w:tcPr>
            <w:tcW w:w="9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Herewith</w:t>
            </w:r>
          </w:p>
        </w:tc>
        <w:tc>
          <w:tcPr>
            <w:tcW w:w="0" w:type="dxa"/>
            <w:vAlign w:val="bottom"/>
          </w:tcPr>
          <w:p>
            <w:pPr>
              <w:spacing w:after="0"/>
              <w:rPr>
                <w:sz w:val="1"/>
                <w:szCs w:val="1"/>
                <w:color w:val="auto"/>
              </w:rPr>
            </w:pPr>
          </w:p>
        </w:tc>
      </w:tr>
      <w:tr>
        <w:trPr>
          <w:trHeight w:val="215"/>
        </w:trPr>
        <w:tc>
          <w:tcPr>
            <w:tcW w:w="1020" w:type="dxa"/>
            <w:vAlign w:val="bottom"/>
            <w:shd w:val="clear" w:color="auto" w:fill="D2DCE5"/>
          </w:tcPr>
          <w:p>
            <w:pPr>
              <w:spacing w:after="0"/>
              <w:rPr>
                <w:sz w:val="18"/>
                <w:szCs w:val="18"/>
                <w:color w:val="auto"/>
              </w:rPr>
            </w:pPr>
          </w:p>
        </w:tc>
        <w:tc>
          <w:tcPr>
            <w:tcW w:w="120" w:type="dxa"/>
            <w:vAlign w:val="bottom"/>
            <w:tcBorders>
              <w:right w:val="single" w:sz="8" w:color="D2DCE5"/>
            </w:tcBorders>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54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7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340" w:type="dxa"/>
            <w:vAlign w:val="bottom"/>
            <w:gridSpan w:val="2"/>
            <w:shd w:val="clear" w:color="auto" w:fill="D2DCE5"/>
          </w:tcPr>
          <w:p>
            <w:pPr>
              <w:jc w:val="center"/>
              <w:ind w:right="140"/>
              <w:spacing w:after="0"/>
              <w:rPr>
                <w:sz w:val="20"/>
                <w:szCs w:val="20"/>
                <w:color w:val="auto"/>
              </w:rPr>
            </w:pPr>
            <w:r>
              <w:rPr>
                <w:rFonts w:ascii="Arial" w:cs="Arial" w:eastAsia="Arial" w:hAnsi="Arial"/>
                <w:sz w:val="16"/>
                <w:szCs w:val="16"/>
                <w:color w:val="131E29"/>
              </w:rPr>
              <w:t>September 17,</w:t>
            </w: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3.1</w:t>
            </w:r>
          </w:p>
        </w:tc>
        <w:tc>
          <w:tcPr>
            <w:tcW w:w="120" w:type="dxa"/>
            <w:vAlign w:val="bottom"/>
            <w:tcBorders>
              <w:right w:val="single" w:sz="8" w:color="D2DCE5"/>
            </w:tcBorders>
            <w:shd w:val="clear" w:color="auto" w:fill="D2DCE5"/>
          </w:tcPr>
          <w:p>
            <w:pPr>
              <w:spacing w:after="0"/>
              <w:rPr>
                <w:sz w:val="18"/>
                <w:szCs w:val="18"/>
                <w:color w:val="auto"/>
              </w:rPr>
            </w:pPr>
          </w:p>
        </w:tc>
        <w:tc>
          <w:tcPr>
            <w:tcW w:w="4840" w:type="dxa"/>
            <w:vAlign w:val="bottom"/>
            <w:gridSpan w:val="20"/>
            <w:shd w:val="clear" w:color="auto" w:fill="D2DCE5"/>
          </w:tcPr>
          <w:p>
            <w:pPr>
              <w:spacing w:after="0" w:line="176" w:lineRule="exact"/>
              <w:rPr>
                <w:rFonts w:ascii="Arial" w:cs="Arial" w:eastAsia="Arial" w:hAnsi="Arial"/>
                <w:sz w:val="16"/>
                <w:szCs w:val="16"/>
                <w:color w:val="auto"/>
              </w:rPr>
            </w:pPr>
            <w:hyperlink r:id="rId156">
              <w:r>
                <w:rPr>
                  <w:rFonts w:ascii="Arial" w:cs="Arial" w:eastAsia="Arial" w:hAnsi="Arial"/>
                  <w:sz w:val="16"/>
                  <w:szCs w:val="16"/>
                  <w:color w:val="auto"/>
                </w:rPr>
                <w:t>Amended and Restated Certificate of Incorporation of Registrant</w:t>
              </w:r>
            </w:hyperlink>
          </w:p>
        </w:tc>
        <w:tc>
          <w:tcPr>
            <w:tcW w:w="76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6"/>
              </w:rPr>
              <w:t>8-K</w:t>
            </w:r>
          </w:p>
        </w:tc>
        <w:tc>
          <w:tcPr>
            <w:tcW w:w="124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9"/>
              </w:rPr>
              <w:t>001-40798</w:t>
            </w:r>
          </w:p>
        </w:tc>
        <w:tc>
          <w:tcPr>
            <w:tcW w:w="82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3.1</w:t>
            </w:r>
          </w:p>
        </w:tc>
        <w:tc>
          <w:tcPr>
            <w:tcW w:w="10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24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rPr>
              <w:t>2021</w:t>
            </w:r>
          </w:p>
        </w:tc>
        <w:tc>
          <w:tcPr>
            <w:tcW w:w="10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2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w w:val="98"/>
              </w:rPr>
              <w:t>3.2</w:t>
            </w:r>
          </w:p>
        </w:tc>
        <w:tc>
          <w:tcPr>
            <w:tcW w:w="120" w:type="dxa"/>
            <w:vAlign w:val="bottom"/>
            <w:tcBorders>
              <w:top w:val="single" w:sz="8" w:color="D2DCE5"/>
            </w:tcBorders>
          </w:tcPr>
          <w:p>
            <w:pPr>
              <w:spacing w:after="0"/>
              <w:rPr>
                <w:sz w:val="16"/>
                <w:szCs w:val="16"/>
                <w:color w:val="auto"/>
              </w:rPr>
            </w:pPr>
          </w:p>
        </w:tc>
        <w:tc>
          <w:tcPr>
            <w:tcW w:w="4600" w:type="dxa"/>
            <w:vAlign w:val="bottom"/>
            <w:tcBorders>
              <w:top w:val="single" w:sz="8" w:color="auto"/>
            </w:tcBorders>
            <w:gridSpan w:val="15"/>
          </w:tcPr>
          <w:p>
            <w:pPr>
              <w:spacing w:after="0"/>
              <w:rPr>
                <w:rFonts w:ascii="Arial" w:cs="Arial" w:eastAsia="Arial" w:hAnsi="Arial"/>
                <w:sz w:val="16"/>
                <w:szCs w:val="16"/>
                <w:color w:val="auto"/>
              </w:rPr>
            </w:pPr>
            <w:hyperlink r:id="rId157">
              <w:r>
                <w:rPr>
                  <w:rFonts w:ascii="Arial" w:cs="Arial" w:eastAsia="Arial" w:hAnsi="Arial"/>
                  <w:sz w:val="16"/>
                  <w:szCs w:val="16"/>
                  <w:color w:val="auto"/>
                </w:rPr>
                <w:t>Amended and Restated Bylaws of Registrant</w:t>
              </w:r>
            </w:hyperlink>
          </w:p>
        </w:tc>
        <w:tc>
          <w:tcPr>
            <w:tcW w:w="240" w:type="dxa"/>
            <w:vAlign w:val="bottom"/>
            <w:tcBorders>
              <w:top w:val="single" w:sz="8" w:color="D2DCE5"/>
            </w:tcBorders>
            <w:gridSpan w:val="5"/>
          </w:tcPr>
          <w:p>
            <w:pPr>
              <w:spacing w:after="0"/>
              <w:rPr>
                <w:sz w:val="16"/>
                <w:szCs w:val="16"/>
                <w:color w:val="auto"/>
              </w:rPr>
            </w:pPr>
          </w:p>
        </w:tc>
        <w:tc>
          <w:tcPr>
            <w:tcW w:w="76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w w:val="96"/>
              </w:rPr>
              <w:t>S-1</w:t>
            </w:r>
          </w:p>
        </w:tc>
        <w:tc>
          <w:tcPr>
            <w:tcW w:w="124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w w:val="98"/>
              </w:rPr>
              <w:t>3.4</w:t>
            </w:r>
          </w:p>
        </w:tc>
        <w:tc>
          <w:tcPr>
            <w:tcW w:w="100" w:type="dxa"/>
            <w:vAlign w:val="bottom"/>
            <w:tcBorders>
              <w:top w:val="single" w:sz="8" w:color="D2DCE5"/>
            </w:tcBorders>
          </w:tcPr>
          <w:p>
            <w:pPr>
              <w:spacing w:after="0"/>
              <w:rPr>
                <w:sz w:val="16"/>
                <w:szCs w:val="16"/>
                <w:color w:val="auto"/>
              </w:rPr>
            </w:pPr>
          </w:p>
        </w:tc>
        <w:tc>
          <w:tcPr>
            <w:tcW w:w="40" w:type="dxa"/>
            <w:vAlign w:val="bottom"/>
            <w:tcBorders>
              <w:top w:val="single" w:sz="8" w:color="D2DCE5"/>
            </w:tcBorders>
          </w:tcPr>
          <w:p>
            <w:pPr>
              <w:spacing w:after="0"/>
              <w:rPr>
                <w:sz w:val="16"/>
                <w:szCs w:val="16"/>
                <w:color w:val="auto"/>
              </w:rPr>
            </w:pPr>
          </w:p>
        </w:tc>
        <w:tc>
          <w:tcPr>
            <w:tcW w:w="1340" w:type="dxa"/>
            <w:vAlign w:val="bottom"/>
            <w:tcBorders>
              <w:top w:val="single" w:sz="8" w:color="D2DCE5"/>
            </w:tcBorders>
            <w:gridSpan w:val="2"/>
          </w:tcPr>
          <w:p>
            <w:pPr>
              <w:jc w:val="center"/>
              <w:ind w:right="160"/>
              <w:spacing w:after="0"/>
              <w:rPr>
                <w:sz w:val="20"/>
                <w:szCs w:val="20"/>
                <w:color w:val="auto"/>
              </w:rPr>
            </w:pPr>
            <w:r>
              <w:rPr>
                <w:rFonts w:ascii="Arial" w:cs="Arial" w:eastAsia="Arial" w:hAnsi="Arial"/>
                <w:sz w:val="16"/>
                <w:szCs w:val="16"/>
                <w:color w:val="131E29"/>
              </w:rPr>
              <w:t>August 20, 2021</w:t>
            </w:r>
          </w:p>
        </w:tc>
        <w:tc>
          <w:tcPr>
            <w:tcW w:w="960" w:type="dxa"/>
            <w:vAlign w:val="bottom"/>
            <w:tcBorders>
              <w:top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20" w:type="dxa"/>
            <w:vAlign w:val="bottom"/>
            <w:shd w:val="clear" w:color="auto" w:fill="D2DCE5"/>
          </w:tcPr>
          <w:p>
            <w:pPr>
              <w:spacing w:after="0"/>
              <w:rPr>
                <w:sz w:val="18"/>
                <w:szCs w:val="18"/>
                <w:color w:val="auto"/>
              </w:rPr>
            </w:pPr>
          </w:p>
        </w:tc>
        <w:tc>
          <w:tcPr>
            <w:tcW w:w="120" w:type="dxa"/>
            <w:vAlign w:val="bottom"/>
            <w:tcBorders>
              <w:right w:val="single" w:sz="8" w:color="D2DCE5"/>
            </w:tcBorders>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54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7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340" w:type="dxa"/>
            <w:vAlign w:val="bottom"/>
            <w:gridSpan w:val="2"/>
            <w:shd w:val="clear" w:color="auto" w:fill="D2DCE5"/>
          </w:tcPr>
          <w:p>
            <w:pPr>
              <w:jc w:val="center"/>
              <w:ind w:right="140"/>
              <w:spacing w:after="0"/>
              <w:rPr>
                <w:sz w:val="20"/>
                <w:szCs w:val="20"/>
                <w:color w:val="auto"/>
              </w:rPr>
            </w:pPr>
            <w:r>
              <w:rPr>
                <w:rFonts w:ascii="Arial" w:cs="Arial" w:eastAsia="Arial" w:hAnsi="Arial"/>
                <w:sz w:val="16"/>
                <w:szCs w:val="16"/>
                <w:color w:val="131E29"/>
              </w:rPr>
              <w:t>September 13,</w:t>
            </w: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4.1</w:t>
            </w:r>
          </w:p>
        </w:tc>
        <w:tc>
          <w:tcPr>
            <w:tcW w:w="120" w:type="dxa"/>
            <w:vAlign w:val="bottom"/>
            <w:tcBorders>
              <w:bottom w:val="single" w:sz="8" w:color="D2DCE5"/>
              <w:right w:val="single" w:sz="8" w:color="D2DCE5"/>
            </w:tcBorders>
            <w:shd w:val="clear" w:color="auto" w:fill="D2DCE5"/>
          </w:tcPr>
          <w:p>
            <w:pPr>
              <w:spacing w:after="0"/>
              <w:rPr>
                <w:sz w:val="18"/>
                <w:szCs w:val="18"/>
                <w:color w:val="auto"/>
              </w:rPr>
            </w:pPr>
          </w:p>
        </w:tc>
        <w:tc>
          <w:tcPr>
            <w:tcW w:w="2480" w:type="dxa"/>
            <w:vAlign w:val="bottom"/>
            <w:tcBorders>
              <w:bottom w:val="single" w:sz="8" w:color="auto"/>
            </w:tcBorders>
            <w:gridSpan w:val="3"/>
            <w:shd w:val="clear" w:color="auto" w:fill="D2DCE5"/>
          </w:tcPr>
          <w:p>
            <w:pPr>
              <w:spacing w:after="0" w:line="176" w:lineRule="exact"/>
              <w:rPr>
                <w:rFonts w:ascii="Arial" w:cs="Arial" w:eastAsia="Arial" w:hAnsi="Arial"/>
                <w:sz w:val="16"/>
                <w:szCs w:val="16"/>
                <w:color w:val="auto"/>
              </w:rPr>
            </w:pPr>
            <w:hyperlink r:id="rId158">
              <w:r>
                <w:rPr>
                  <w:rFonts w:ascii="Arial" w:cs="Arial" w:eastAsia="Arial" w:hAnsi="Arial"/>
                  <w:sz w:val="16"/>
                  <w:szCs w:val="16"/>
                  <w:color w:val="auto"/>
                </w:rPr>
                <w:t>Form of Common Stock Certificate</w:t>
              </w:r>
            </w:hyperlink>
          </w:p>
        </w:tc>
        <w:tc>
          <w:tcPr>
            <w:tcW w:w="2360" w:type="dxa"/>
            <w:vAlign w:val="bottom"/>
            <w:tcBorders>
              <w:bottom w:val="single" w:sz="8" w:color="D2DCE5"/>
            </w:tcBorders>
            <w:gridSpan w:val="17"/>
            <w:shd w:val="clear" w:color="auto" w:fill="D2DCE5"/>
          </w:tcPr>
          <w:p>
            <w:pPr>
              <w:spacing w:after="0"/>
              <w:rPr>
                <w:sz w:val="18"/>
                <w:szCs w:val="18"/>
                <w:color w:val="auto"/>
              </w:rPr>
            </w:pPr>
          </w:p>
        </w:tc>
        <w:tc>
          <w:tcPr>
            <w:tcW w:w="76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w w:val="99"/>
              </w:rPr>
              <w:t>S-1/A</w:t>
            </w:r>
          </w:p>
        </w:tc>
        <w:tc>
          <w:tcPr>
            <w:tcW w:w="124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rPr>
              <w:t>333-258988</w:t>
            </w:r>
          </w:p>
        </w:tc>
        <w:tc>
          <w:tcPr>
            <w:tcW w:w="82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4.1</w:t>
            </w:r>
          </w:p>
        </w:tc>
        <w:tc>
          <w:tcPr>
            <w:tcW w:w="100" w:type="dxa"/>
            <w:vAlign w:val="bottom"/>
            <w:tcBorders>
              <w:bottom w:val="single" w:sz="8" w:color="D2DCE5"/>
            </w:tcBorders>
            <w:shd w:val="clear" w:color="auto" w:fill="D2DCE5"/>
          </w:tcPr>
          <w:p>
            <w:pPr>
              <w:spacing w:after="0"/>
              <w:rPr>
                <w:sz w:val="18"/>
                <w:szCs w:val="18"/>
                <w:color w:val="auto"/>
              </w:rPr>
            </w:pPr>
          </w:p>
        </w:tc>
        <w:tc>
          <w:tcPr>
            <w:tcW w:w="40" w:type="dxa"/>
            <w:vAlign w:val="bottom"/>
            <w:tcBorders>
              <w:bottom w:val="single" w:sz="8" w:color="D2DCE5"/>
            </w:tcBorders>
            <w:shd w:val="clear" w:color="auto" w:fill="D2DCE5"/>
          </w:tcPr>
          <w:p>
            <w:pPr>
              <w:spacing w:after="0"/>
              <w:rPr>
                <w:sz w:val="18"/>
                <w:szCs w:val="18"/>
                <w:color w:val="auto"/>
              </w:rPr>
            </w:pPr>
          </w:p>
        </w:tc>
        <w:tc>
          <w:tcPr>
            <w:tcW w:w="124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rPr>
              <w:t>2021</w:t>
            </w:r>
          </w:p>
        </w:tc>
        <w:tc>
          <w:tcPr>
            <w:tcW w:w="100" w:type="dxa"/>
            <w:vAlign w:val="bottom"/>
            <w:tcBorders>
              <w:bottom w:val="single" w:sz="8" w:color="D2DCE5"/>
            </w:tcBorders>
            <w:shd w:val="clear" w:color="auto" w:fill="D2DCE5"/>
          </w:tcPr>
          <w:p>
            <w:pPr>
              <w:spacing w:after="0"/>
              <w:rPr>
                <w:sz w:val="18"/>
                <w:szCs w:val="18"/>
                <w:color w:val="auto"/>
              </w:rPr>
            </w:pPr>
          </w:p>
        </w:tc>
        <w:tc>
          <w:tcPr>
            <w:tcW w:w="96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40" w:type="dxa"/>
            <w:vAlign w:val="bottom"/>
            <w:gridSpan w:val="20"/>
          </w:tcPr>
          <w:p>
            <w:pPr>
              <w:spacing w:after="0"/>
              <w:rPr>
                <w:rFonts w:ascii="Arial" w:cs="Arial" w:eastAsia="Arial" w:hAnsi="Arial"/>
                <w:sz w:val="16"/>
                <w:szCs w:val="16"/>
                <w:color w:val="auto"/>
              </w:rPr>
            </w:pPr>
            <w:hyperlink r:id="rId159">
              <w:r>
                <w:rPr>
                  <w:rFonts w:ascii="Arial" w:cs="Arial" w:eastAsia="Arial" w:hAnsi="Arial"/>
                  <w:sz w:val="16"/>
                  <w:szCs w:val="16"/>
                  <w:color w:val="auto"/>
                </w:rPr>
                <w:t>Offer Letter, dated as of December 26, 2024, by and between the</w:t>
              </w:r>
            </w:hyperlink>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jc w:val="center"/>
              <w:ind w:right="100"/>
              <w:spacing w:after="0" w:line="183" w:lineRule="exact"/>
              <w:rPr>
                <w:sz w:val="20"/>
                <w:szCs w:val="20"/>
                <w:color w:val="auto"/>
              </w:rPr>
            </w:pPr>
            <w:r>
              <w:rPr>
                <w:rFonts w:ascii="Arial" w:cs="Arial" w:eastAsia="Arial" w:hAnsi="Arial"/>
                <w:sz w:val="16"/>
                <w:szCs w:val="16"/>
                <w:color w:val="131E29"/>
                <w:w w:val="99"/>
              </w:rPr>
              <w:t>10.1†</w:t>
            </w:r>
          </w:p>
        </w:tc>
        <w:tc>
          <w:tcPr>
            <w:tcW w:w="4660" w:type="dxa"/>
            <w:vAlign w:val="bottom"/>
            <w:tcBorders>
              <w:top w:val="single" w:sz="8" w:color="auto"/>
            </w:tcBorders>
            <w:gridSpan w:val="16"/>
          </w:tcPr>
          <w:p>
            <w:pPr>
              <w:spacing w:after="0" w:line="183" w:lineRule="exact"/>
              <w:rPr>
                <w:rFonts w:ascii="Arial" w:cs="Arial" w:eastAsia="Arial" w:hAnsi="Arial"/>
                <w:sz w:val="16"/>
                <w:szCs w:val="16"/>
                <w:color w:val="auto"/>
              </w:rPr>
            </w:pPr>
            <w:hyperlink r:id="rId159">
              <w:r>
                <w:rPr>
                  <w:rFonts w:ascii="Arial" w:cs="Arial" w:eastAsia="Arial" w:hAnsi="Arial"/>
                  <w:sz w:val="16"/>
                  <w:szCs w:val="16"/>
                  <w:color w:val="auto"/>
                </w:rPr>
                <w:t>Company and Nicholas Daddario</w:t>
              </w:r>
            </w:hyperlink>
          </w:p>
        </w:tc>
        <w:tc>
          <w:tcPr>
            <w:tcW w:w="180" w:type="dxa"/>
            <w:vAlign w:val="bottom"/>
            <w:gridSpan w:val="4"/>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Arial" w:cs="Arial" w:eastAsia="Arial" w:hAnsi="Arial"/>
                <w:sz w:val="16"/>
                <w:szCs w:val="16"/>
                <w:color w:val="131E29"/>
                <w:w w:val="96"/>
              </w:rPr>
              <w:t>8-K</w:t>
            </w:r>
          </w:p>
        </w:tc>
        <w:tc>
          <w:tcPr>
            <w:tcW w:w="1240" w:type="dxa"/>
            <w:vAlign w:val="bottom"/>
          </w:tcPr>
          <w:p>
            <w:pPr>
              <w:jc w:val="center"/>
              <w:spacing w:after="0" w:line="183" w:lineRule="exact"/>
              <w:rPr>
                <w:sz w:val="20"/>
                <w:szCs w:val="20"/>
                <w:color w:val="auto"/>
              </w:rPr>
            </w:pPr>
            <w:r>
              <w:rPr>
                <w:rFonts w:ascii="Arial" w:cs="Arial" w:eastAsia="Arial" w:hAnsi="Arial"/>
                <w:sz w:val="16"/>
                <w:szCs w:val="16"/>
                <w:color w:val="131E29"/>
                <w:w w:val="99"/>
              </w:rPr>
              <w:t>001-40798</w:t>
            </w:r>
          </w:p>
        </w:tc>
        <w:tc>
          <w:tcPr>
            <w:tcW w:w="820" w:type="dxa"/>
            <w:vAlign w:val="bottom"/>
          </w:tcPr>
          <w:p>
            <w:pPr>
              <w:jc w:val="center"/>
              <w:spacing w:after="0" w:line="183" w:lineRule="exact"/>
              <w:rPr>
                <w:sz w:val="20"/>
                <w:szCs w:val="20"/>
                <w:color w:val="auto"/>
              </w:rPr>
            </w:pPr>
            <w:r>
              <w:rPr>
                <w:rFonts w:ascii="Arial" w:cs="Arial" w:eastAsia="Arial" w:hAnsi="Arial"/>
                <w:sz w:val="16"/>
                <w:szCs w:val="16"/>
                <w:color w:val="131E29"/>
              </w:rPr>
              <w:t>10.1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2"/>
          </w:tcPr>
          <w:p>
            <w:pPr>
              <w:jc w:val="center"/>
              <w:ind w:right="160"/>
              <w:spacing w:after="0" w:line="183" w:lineRule="exact"/>
              <w:rPr>
                <w:sz w:val="20"/>
                <w:szCs w:val="20"/>
                <w:color w:val="auto"/>
              </w:rPr>
            </w:pPr>
            <w:r>
              <w:rPr>
                <w:rFonts w:ascii="Arial" w:cs="Arial" w:eastAsia="Arial" w:hAnsi="Arial"/>
                <w:sz w:val="16"/>
                <w:szCs w:val="16"/>
                <w:color w:val="131E29"/>
              </w:rPr>
              <w:t>May 16, 2025</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D2DCE5"/>
          </w:tcPr>
          <w:p>
            <w:pPr>
              <w:spacing w:after="0"/>
              <w:rPr>
                <w:sz w:val="16"/>
                <w:szCs w:val="16"/>
                <w:color w:val="auto"/>
              </w:rPr>
            </w:pPr>
          </w:p>
        </w:tc>
        <w:tc>
          <w:tcPr>
            <w:tcW w:w="120" w:type="dxa"/>
            <w:vAlign w:val="bottom"/>
            <w:tcBorders>
              <w:right w:val="single" w:sz="8" w:color="D2DCE5"/>
            </w:tcBorders>
            <w:shd w:val="clear" w:color="auto" w:fill="D2DCE5"/>
          </w:tcPr>
          <w:p>
            <w:pPr>
              <w:spacing w:after="0"/>
              <w:rPr>
                <w:sz w:val="16"/>
                <w:szCs w:val="16"/>
                <w:color w:val="auto"/>
              </w:rPr>
            </w:pPr>
          </w:p>
        </w:tc>
        <w:tc>
          <w:tcPr>
            <w:tcW w:w="4840" w:type="dxa"/>
            <w:vAlign w:val="bottom"/>
            <w:gridSpan w:val="20"/>
            <w:shd w:val="clear" w:color="auto" w:fill="D2DCE5"/>
          </w:tcPr>
          <w:p>
            <w:pPr>
              <w:spacing w:after="0"/>
              <w:rPr>
                <w:rFonts w:ascii="Arial" w:cs="Arial" w:eastAsia="Arial" w:hAnsi="Arial"/>
                <w:sz w:val="16"/>
                <w:szCs w:val="16"/>
                <w:color w:val="auto"/>
              </w:rPr>
            </w:pPr>
            <w:hyperlink r:id="rId160">
              <w:r>
                <w:rPr>
                  <w:rFonts w:ascii="Arial" w:cs="Arial" w:eastAsia="Arial" w:hAnsi="Arial"/>
                  <w:sz w:val="16"/>
                  <w:szCs w:val="16"/>
                  <w:color w:val="auto"/>
                </w:rPr>
                <w:t>Second Amended and Restated Credit Agreement, dated May 29,</w:t>
              </w:r>
            </w:hyperlink>
          </w:p>
        </w:tc>
        <w:tc>
          <w:tcPr>
            <w:tcW w:w="76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D2DCE5"/>
            </w:tcBorders>
            <w:shd w:val="clear" w:color="auto" w:fill="D2DCE5"/>
          </w:tcPr>
          <w:p>
            <w:pPr>
              <w:spacing w:after="0"/>
              <w:rPr>
                <w:sz w:val="15"/>
                <w:szCs w:val="15"/>
                <w:color w:val="auto"/>
              </w:rPr>
            </w:pPr>
          </w:p>
        </w:tc>
        <w:tc>
          <w:tcPr>
            <w:tcW w:w="120" w:type="dxa"/>
            <w:vAlign w:val="bottom"/>
            <w:tcBorders>
              <w:top w:val="single" w:sz="8" w:color="D2DCE5"/>
              <w:right w:val="single" w:sz="8" w:color="D2DCE5"/>
            </w:tcBorders>
            <w:shd w:val="clear" w:color="auto" w:fill="D2DCE5"/>
          </w:tcPr>
          <w:p>
            <w:pPr>
              <w:spacing w:after="0"/>
              <w:rPr>
                <w:sz w:val="15"/>
                <w:szCs w:val="15"/>
                <w:color w:val="auto"/>
              </w:rPr>
            </w:pPr>
          </w:p>
        </w:tc>
        <w:tc>
          <w:tcPr>
            <w:tcW w:w="4720" w:type="dxa"/>
            <w:vAlign w:val="bottom"/>
            <w:tcBorders>
              <w:top w:val="single" w:sz="8" w:color="auto"/>
            </w:tcBorders>
            <w:gridSpan w:val="18"/>
            <w:shd w:val="clear" w:color="auto" w:fill="D2DCE5"/>
          </w:tcPr>
          <w:p>
            <w:pPr>
              <w:spacing w:after="0" w:line="183" w:lineRule="exact"/>
              <w:rPr>
                <w:rFonts w:ascii="Arial" w:cs="Arial" w:eastAsia="Arial" w:hAnsi="Arial"/>
                <w:sz w:val="16"/>
                <w:szCs w:val="16"/>
                <w:color w:val="auto"/>
              </w:rPr>
            </w:pPr>
            <w:hyperlink r:id="rId160">
              <w:r>
                <w:rPr>
                  <w:rFonts w:ascii="Arial" w:cs="Arial" w:eastAsia="Arial" w:hAnsi="Arial"/>
                  <w:sz w:val="16"/>
                  <w:szCs w:val="16"/>
                  <w:color w:val="auto"/>
                </w:rPr>
                <w:t>2025, by and among Dutch Bros., LLC, DB Franchising USA,</w:t>
              </w:r>
            </w:hyperlink>
          </w:p>
        </w:tc>
        <w:tc>
          <w:tcPr>
            <w:tcW w:w="120" w:type="dxa"/>
            <w:vAlign w:val="bottom"/>
            <w:tcBorders>
              <w:top w:val="single" w:sz="8" w:color="D2DCE5"/>
            </w:tcBorders>
            <w:gridSpan w:val="2"/>
            <w:shd w:val="clear" w:color="auto" w:fill="D2DCE5"/>
          </w:tcPr>
          <w:p>
            <w:pPr>
              <w:spacing w:after="0"/>
              <w:rPr>
                <w:sz w:val="15"/>
                <w:szCs w:val="15"/>
                <w:color w:val="auto"/>
              </w:rPr>
            </w:pPr>
          </w:p>
        </w:tc>
        <w:tc>
          <w:tcPr>
            <w:tcW w:w="760" w:type="dxa"/>
            <w:vAlign w:val="bottom"/>
            <w:tcBorders>
              <w:top w:val="single" w:sz="8" w:color="D2DCE5"/>
            </w:tcBorders>
            <w:shd w:val="clear" w:color="auto" w:fill="D2DCE5"/>
          </w:tcPr>
          <w:p>
            <w:pPr>
              <w:spacing w:after="0"/>
              <w:rPr>
                <w:sz w:val="15"/>
                <w:szCs w:val="15"/>
                <w:color w:val="auto"/>
              </w:rPr>
            </w:pPr>
          </w:p>
        </w:tc>
        <w:tc>
          <w:tcPr>
            <w:tcW w:w="1240" w:type="dxa"/>
            <w:vAlign w:val="bottom"/>
            <w:tcBorders>
              <w:top w:val="single" w:sz="8" w:color="D2DCE5"/>
            </w:tcBorders>
            <w:shd w:val="clear" w:color="auto" w:fill="D2DCE5"/>
          </w:tcPr>
          <w:p>
            <w:pPr>
              <w:spacing w:after="0"/>
              <w:rPr>
                <w:sz w:val="15"/>
                <w:szCs w:val="15"/>
                <w:color w:val="auto"/>
              </w:rPr>
            </w:pPr>
          </w:p>
        </w:tc>
        <w:tc>
          <w:tcPr>
            <w:tcW w:w="820" w:type="dxa"/>
            <w:vAlign w:val="bottom"/>
            <w:tcBorders>
              <w:top w:val="single" w:sz="8" w:color="D2DCE5"/>
            </w:tcBorders>
            <w:shd w:val="clear" w:color="auto" w:fill="D2DCE5"/>
          </w:tcPr>
          <w:p>
            <w:pPr>
              <w:spacing w:after="0"/>
              <w:rPr>
                <w:sz w:val="15"/>
                <w:szCs w:val="15"/>
                <w:color w:val="auto"/>
              </w:rPr>
            </w:pPr>
          </w:p>
        </w:tc>
        <w:tc>
          <w:tcPr>
            <w:tcW w:w="100" w:type="dxa"/>
            <w:vAlign w:val="bottom"/>
            <w:tcBorders>
              <w:top w:val="single" w:sz="8" w:color="D2DCE5"/>
            </w:tcBorders>
            <w:shd w:val="clear" w:color="auto" w:fill="D2DCE5"/>
          </w:tcPr>
          <w:p>
            <w:pPr>
              <w:spacing w:after="0"/>
              <w:rPr>
                <w:sz w:val="15"/>
                <w:szCs w:val="15"/>
                <w:color w:val="auto"/>
              </w:rPr>
            </w:pPr>
          </w:p>
        </w:tc>
        <w:tc>
          <w:tcPr>
            <w:tcW w:w="40" w:type="dxa"/>
            <w:vAlign w:val="bottom"/>
            <w:tcBorders>
              <w:top w:val="single" w:sz="8" w:color="D2DCE5"/>
            </w:tcBorders>
            <w:shd w:val="clear" w:color="auto" w:fill="D2DCE5"/>
          </w:tcPr>
          <w:p>
            <w:pPr>
              <w:spacing w:after="0"/>
              <w:rPr>
                <w:sz w:val="15"/>
                <w:szCs w:val="15"/>
                <w:color w:val="auto"/>
              </w:rPr>
            </w:pPr>
          </w:p>
        </w:tc>
        <w:tc>
          <w:tcPr>
            <w:tcW w:w="1240" w:type="dxa"/>
            <w:vAlign w:val="bottom"/>
            <w:tcBorders>
              <w:top w:val="single" w:sz="8" w:color="D2DCE5"/>
            </w:tcBorders>
            <w:shd w:val="clear" w:color="auto" w:fill="D2DCE5"/>
          </w:tcPr>
          <w:p>
            <w:pPr>
              <w:spacing w:after="0"/>
              <w:rPr>
                <w:sz w:val="15"/>
                <w:szCs w:val="15"/>
                <w:color w:val="auto"/>
              </w:rPr>
            </w:pPr>
          </w:p>
        </w:tc>
        <w:tc>
          <w:tcPr>
            <w:tcW w:w="100" w:type="dxa"/>
            <w:vAlign w:val="bottom"/>
            <w:tcBorders>
              <w:top w:val="single" w:sz="8" w:color="D2DCE5"/>
            </w:tcBorders>
            <w:shd w:val="clear" w:color="auto" w:fill="D2DCE5"/>
          </w:tcPr>
          <w:p>
            <w:pPr>
              <w:spacing w:after="0"/>
              <w:rPr>
                <w:sz w:val="15"/>
                <w:szCs w:val="15"/>
                <w:color w:val="auto"/>
              </w:rPr>
            </w:pPr>
          </w:p>
        </w:tc>
        <w:tc>
          <w:tcPr>
            <w:tcW w:w="960" w:type="dxa"/>
            <w:vAlign w:val="bottom"/>
            <w:tcBorders>
              <w:top w:val="single" w:sz="8" w:color="D2DCE5"/>
            </w:tcBorders>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D2DCE5"/>
              <w:bottom w:val="single" w:sz="8" w:color="D2DCE5"/>
            </w:tcBorders>
            <w:shd w:val="clear" w:color="auto" w:fill="D2DCE5"/>
          </w:tcPr>
          <w:p>
            <w:pPr>
              <w:spacing w:after="0"/>
              <w:rPr>
                <w:sz w:val="14"/>
                <w:szCs w:val="14"/>
                <w:color w:val="auto"/>
              </w:rPr>
            </w:pPr>
          </w:p>
        </w:tc>
        <w:tc>
          <w:tcPr>
            <w:tcW w:w="120" w:type="dxa"/>
            <w:vAlign w:val="bottom"/>
            <w:tcBorders>
              <w:top w:val="single" w:sz="8" w:color="D2DCE5"/>
              <w:bottom w:val="single" w:sz="8" w:color="D2DCE5"/>
              <w:right w:val="single" w:sz="8" w:color="D2DCE5"/>
            </w:tcBorders>
            <w:shd w:val="clear" w:color="auto" w:fill="D2DCE5"/>
          </w:tcPr>
          <w:p>
            <w:pPr>
              <w:spacing w:after="0"/>
              <w:rPr>
                <w:sz w:val="14"/>
                <w:szCs w:val="14"/>
                <w:color w:val="auto"/>
              </w:rPr>
            </w:pPr>
          </w:p>
        </w:tc>
        <w:tc>
          <w:tcPr>
            <w:tcW w:w="4200" w:type="dxa"/>
            <w:vAlign w:val="bottom"/>
            <w:tcBorders>
              <w:top w:val="single" w:sz="8" w:color="auto"/>
              <w:bottom w:val="single" w:sz="8" w:color="auto"/>
            </w:tcBorders>
            <w:gridSpan w:val="7"/>
            <w:shd w:val="clear" w:color="auto" w:fill="D2DCE5"/>
          </w:tcPr>
          <w:p>
            <w:pPr>
              <w:spacing w:after="0" w:line="169" w:lineRule="exact"/>
              <w:rPr>
                <w:rFonts w:ascii="Arial" w:cs="Arial" w:eastAsia="Arial" w:hAnsi="Arial"/>
                <w:sz w:val="16"/>
                <w:szCs w:val="16"/>
                <w:color w:val="auto"/>
              </w:rPr>
            </w:pPr>
            <w:hyperlink r:id="rId160">
              <w:r>
                <w:rPr>
                  <w:rFonts w:ascii="Arial" w:cs="Arial" w:eastAsia="Arial" w:hAnsi="Arial"/>
                  <w:sz w:val="16"/>
                  <w:szCs w:val="16"/>
                  <w:color w:val="auto"/>
                </w:rPr>
                <w:t>LLC, Boersma Bros. LLC, and the other Loan Parties party</w:t>
              </w:r>
            </w:hyperlink>
          </w:p>
        </w:tc>
        <w:tc>
          <w:tcPr>
            <w:tcW w:w="180" w:type="dxa"/>
            <w:vAlign w:val="bottom"/>
            <w:tcBorders>
              <w:top w:val="single" w:sz="8" w:color="auto"/>
              <w:bottom w:val="single" w:sz="8" w:color="D2DCE5"/>
            </w:tcBorders>
            <w:gridSpan w:val="3"/>
            <w:shd w:val="clear" w:color="auto" w:fill="D2DCE5"/>
          </w:tcPr>
          <w:p>
            <w:pPr>
              <w:spacing w:after="0"/>
              <w:rPr>
                <w:sz w:val="14"/>
                <w:szCs w:val="14"/>
                <w:color w:val="auto"/>
              </w:rPr>
            </w:pPr>
          </w:p>
        </w:tc>
        <w:tc>
          <w:tcPr>
            <w:tcW w:w="40" w:type="dxa"/>
            <w:vAlign w:val="bottom"/>
            <w:tcBorders>
              <w:top w:val="single" w:sz="8" w:color="D2DCE5"/>
              <w:bottom w:val="single" w:sz="8" w:color="D2DCE5"/>
            </w:tcBorders>
            <w:shd w:val="clear" w:color="auto" w:fill="D2DCE5"/>
          </w:tcPr>
          <w:p>
            <w:pPr>
              <w:spacing w:after="0"/>
              <w:rPr>
                <w:sz w:val="14"/>
                <w:szCs w:val="14"/>
                <w:color w:val="auto"/>
              </w:rPr>
            </w:pPr>
          </w:p>
        </w:tc>
        <w:tc>
          <w:tcPr>
            <w:tcW w:w="60" w:type="dxa"/>
            <w:vAlign w:val="bottom"/>
            <w:tcBorders>
              <w:top w:val="single" w:sz="8" w:color="D2DCE5"/>
              <w:bottom w:val="single" w:sz="8" w:color="D2DCE5"/>
            </w:tcBorders>
            <w:shd w:val="clear" w:color="auto" w:fill="D2DCE5"/>
          </w:tcPr>
          <w:p>
            <w:pPr>
              <w:spacing w:after="0"/>
              <w:rPr>
                <w:sz w:val="14"/>
                <w:szCs w:val="14"/>
                <w:color w:val="auto"/>
              </w:rPr>
            </w:pPr>
          </w:p>
        </w:tc>
        <w:tc>
          <w:tcPr>
            <w:tcW w:w="20" w:type="dxa"/>
            <w:vAlign w:val="bottom"/>
            <w:tcBorders>
              <w:top w:val="single" w:sz="8" w:color="D2DCE5"/>
              <w:bottom w:val="single" w:sz="8" w:color="D2DCE5"/>
            </w:tcBorders>
            <w:shd w:val="clear" w:color="auto" w:fill="D2DCE5"/>
          </w:tcPr>
          <w:p>
            <w:pPr>
              <w:spacing w:after="0"/>
              <w:rPr>
                <w:sz w:val="14"/>
                <w:szCs w:val="14"/>
                <w:color w:val="auto"/>
              </w:rPr>
            </w:pPr>
          </w:p>
        </w:tc>
        <w:tc>
          <w:tcPr>
            <w:tcW w:w="40" w:type="dxa"/>
            <w:vAlign w:val="bottom"/>
            <w:tcBorders>
              <w:top w:val="single" w:sz="8" w:color="D2DCE5"/>
              <w:bottom w:val="single" w:sz="8" w:color="D2DCE5"/>
            </w:tcBorders>
            <w:shd w:val="clear" w:color="auto" w:fill="D2DCE5"/>
          </w:tcPr>
          <w:p>
            <w:pPr>
              <w:spacing w:after="0"/>
              <w:rPr>
                <w:sz w:val="14"/>
                <w:szCs w:val="14"/>
                <w:color w:val="auto"/>
              </w:rPr>
            </w:pPr>
          </w:p>
        </w:tc>
        <w:tc>
          <w:tcPr>
            <w:tcW w:w="140" w:type="dxa"/>
            <w:vAlign w:val="bottom"/>
            <w:tcBorders>
              <w:top w:val="single" w:sz="8" w:color="D2DCE5"/>
              <w:bottom w:val="single" w:sz="8" w:color="D2DCE5"/>
            </w:tcBorders>
            <w:gridSpan w:val="3"/>
            <w:shd w:val="clear" w:color="auto" w:fill="D2DCE5"/>
          </w:tcPr>
          <w:p>
            <w:pPr>
              <w:spacing w:after="0"/>
              <w:rPr>
                <w:sz w:val="14"/>
                <w:szCs w:val="14"/>
                <w:color w:val="auto"/>
              </w:rPr>
            </w:pPr>
          </w:p>
        </w:tc>
        <w:tc>
          <w:tcPr>
            <w:tcW w:w="160" w:type="dxa"/>
            <w:vAlign w:val="bottom"/>
            <w:tcBorders>
              <w:top w:val="single" w:sz="8" w:color="D2DCE5"/>
              <w:bottom w:val="single" w:sz="8" w:color="D2DCE5"/>
            </w:tcBorders>
            <w:gridSpan w:val="3"/>
            <w:shd w:val="clear" w:color="auto" w:fill="D2DCE5"/>
          </w:tcPr>
          <w:p>
            <w:pPr>
              <w:spacing w:after="0"/>
              <w:rPr>
                <w:sz w:val="14"/>
                <w:szCs w:val="14"/>
                <w:color w:val="auto"/>
              </w:rPr>
            </w:pPr>
          </w:p>
        </w:tc>
        <w:tc>
          <w:tcPr>
            <w:tcW w:w="760" w:type="dxa"/>
            <w:vAlign w:val="bottom"/>
            <w:tcBorders>
              <w:top w:val="single" w:sz="8" w:color="D2DCE5"/>
              <w:bottom w:val="single" w:sz="8" w:color="D2DCE5"/>
            </w:tcBorders>
            <w:shd w:val="clear" w:color="auto" w:fill="D2DCE5"/>
          </w:tcPr>
          <w:p>
            <w:pPr>
              <w:spacing w:after="0"/>
              <w:rPr>
                <w:sz w:val="14"/>
                <w:szCs w:val="14"/>
                <w:color w:val="auto"/>
              </w:rPr>
            </w:pPr>
          </w:p>
        </w:tc>
        <w:tc>
          <w:tcPr>
            <w:tcW w:w="1240" w:type="dxa"/>
            <w:vAlign w:val="bottom"/>
            <w:tcBorders>
              <w:top w:val="single" w:sz="8" w:color="D2DCE5"/>
              <w:bottom w:val="single" w:sz="8" w:color="D2DCE5"/>
            </w:tcBorders>
            <w:shd w:val="clear" w:color="auto" w:fill="D2DCE5"/>
          </w:tcPr>
          <w:p>
            <w:pPr>
              <w:spacing w:after="0"/>
              <w:rPr>
                <w:sz w:val="14"/>
                <w:szCs w:val="14"/>
                <w:color w:val="auto"/>
              </w:rPr>
            </w:pPr>
          </w:p>
        </w:tc>
        <w:tc>
          <w:tcPr>
            <w:tcW w:w="82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40" w:type="dxa"/>
            <w:vAlign w:val="bottom"/>
            <w:tcBorders>
              <w:top w:val="single" w:sz="8" w:color="D2DCE5"/>
              <w:bottom w:val="single" w:sz="8" w:color="D2DCE5"/>
            </w:tcBorders>
            <w:shd w:val="clear" w:color="auto" w:fill="D2DCE5"/>
          </w:tcPr>
          <w:p>
            <w:pPr>
              <w:spacing w:after="0"/>
              <w:rPr>
                <w:sz w:val="14"/>
                <w:szCs w:val="14"/>
                <w:color w:val="auto"/>
              </w:rPr>
            </w:pPr>
          </w:p>
        </w:tc>
        <w:tc>
          <w:tcPr>
            <w:tcW w:w="124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960" w:type="dxa"/>
            <w:vAlign w:val="bottom"/>
            <w:tcBorders>
              <w:top w:val="single" w:sz="8" w:color="D2DCE5"/>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10.2</w:t>
            </w:r>
          </w:p>
        </w:tc>
        <w:tc>
          <w:tcPr>
            <w:tcW w:w="120" w:type="dxa"/>
            <w:vAlign w:val="bottom"/>
            <w:tcBorders>
              <w:right w:val="single" w:sz="8" w:color="D2DCE5"/>
            </w:tcBorders>
            <w:shd w:val="clear" w:color="auto" w:fill="D2DCE5"/>
          </w:tcPr>
          <w:p>
            <w:pPr>
              <w:spacing w:after="0"/>
              <w:rPr>
                <w:sz w:val="15"/>
                <w:szCs w:val="15"/>
                <w:color w:val="auto"/>
              </w:rPr>
            </w:pPr>
          </w:p>
        </w:tc>
        <w:tc>
          <w:tcPr>
            <w:tcW w:w="4840" w:type="dxa"/>
            <w:vAlign w:val="bottom"/>
            <w:gridSpan w:val="20"/>
            <w:shd w:val="clear" w:color="auto" w:fill="D2DCE5"/>
          </w:tcPr>
          <w:p>
            <w:pPr>
              <w:spacing w:after="0" w:line="183" w:lineRule="exact"/>
              <w:rPr>
                <w:rFonts w:ascii="Arial" w:cs="Arial" w:eastAsia="Arial" w:hAnsi="Arial"/>
                <w:sz w:val="16"/>
                <w:szCs w:val="16"/>
                <w:color w:val="auto"/>
              </w:rPr>
            </w:pPr>
            <w:hyperlink r:id="rId160">
              <w:r>
                <w:rPr>
                  <w:rFonts w:ascii="Arial" w:cs="Arial" w:eastAsia="Arial" w:hAnsi="Arial"/>
                  <w:sz w:val="16"/>
                  <w:szCs w:val="16"/>
                  <w:color w:val="auto"/>
                </w:rPr>
                <w:t>thereto, the financial institutions party thereto, and J.P. Morgan</w:t>
              </w:r>
            </w:hyperlink>
          </w:p>
        </w:tc>
        <w:tc>
          <w:tcPr>
            <w:tcW w:w="7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6"/>
              </w:rPr>
              <w:t>8-K</w:t>
            </w:r>
          </w:p>
        </w:tc>
        <w:tc>
          <w:tcPr>
            <w:tcW w:w="124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9"/>
              </w:rPr>
              <w:t>001-40798</w:t>
            </w:r>
          </w:p>
        </w:tc>
        <w:tc>
          <w:tcPr>
            <w:tcW w:w="82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10.1</w:t>
            </w:r>
          </w:p>
        </w:tc>
        <w:tc>
          <w:tcPr>
            <w:tcW w:w="10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1340" w:type="dxa"/>
            <w:vAlign w:val="bottom"/>
            <w:gridSpan w:val="2"/>
            <w:vMerge w:val="restart"/>
            <w:shd w:val="clear" w:color="auto" w:fill="D2DCE5"/>
          </w:tcPr>
          <w:p>
            <w:pPr>
              <w:jc w:val="center"/>
              <w:ind w:right="160"/>
              <w:spacing w:after="0"/>
              <w:rPr>
                <w:sz w:val="20"/>
                <w:szCs w:val="20"/>
                <w:color w:val="auto"/>
              </w:rPr>
            </w:pPr>
            <w:r>
              <w:rPr>
                <w:rFonts w:ascii="Arial" w:cs="Arial" w:eastAsia="Arial" w:hAnsi="Arial"/>
                <w:sz w:val="16"/>
                <w:szCs w:val="16"/>
                <w:color w:val="131E29"/>
              </w:rPr>
              <w:t>May 30, 2025</w:t>
            </w: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D2DCE5"/>
            </w:tcBorders>
            <w:vMerge w:val="continue"/>
            <w:shd w:val="clear" w:color="auto" w:fill="D2DCE5"/>
          </w:tcPr>
          <w:p>
            <w:pPr>
              <w:spacing w:after="0"/>
              <w:rPr>
                <w:sz w:val="14"/>
                <w:szCs w:val="14"/>
                <w:color w:val="auto"/>
              </w:rPr>
            </w:pPr>
          </w:p>
        </w:tc>
        <w:tc>
          <w:tcPr>
            <w:tcW w:w="120" w:type="dxa"/>
            <w:vAlign w:val="bottom"/>
            <w:tcBorders>
              <w:top w:val="single" w:sz="8" w:color="D2DCE5"/>
              <w:right w:val="single" w:sz="8" w:color="D2DCE5"/>
            </w:tcBorders>
            <w:shd w:val="clear" w:color="auto" w:fill="D2DCE5"/>
          </w:tcPr>
          <w:p>
            <w:pPr>
              <w:spacing w:after="0"/>
              <w:rPr>
                <w:sz w:val="14"/>
                <w:szCs w:val="14"/>
                <w:color w:val="auto"/>
              </w:rPr>
            </w:pPr>
          </w:p>
        </w:tc>
        <w:tc>
          <w:tcPr>
            <w:tcW w:w="4480" w:type="dxa"/>
            <w:vAlign w:val="bottom"/>
            <w:tcBorders>
              <w:top w:val="single" w:sz="8" w:color="auto"/>
            </w:tcBorders>
            <w:gridSpan w:val="12"/>
            <w:shd w:val="clear" w:color="auto" w:fill="D2DCE5"/>
          </w:tcPr>
          <w:p>
            <w:pPr>
              <w:spacing w:after="0" w:line="169" w:lineRule="exact"/>
              <w:rPr>
                <w:rFonts w:ascii="Arial" w:cs="Arial" w:eastAsia="Arial" w:hAnsi="Arial"/>
                <w:sz w:val="16"/>
                <w:szCs w:val="16"/>
                <w:color w:val="auto"/>
              </w:rPr>
            </w:pPr>
            <w:hyperlink r:id="rId160">
              <w:r>
                <w:rPr>
                  <w:rFonts w:ascii="Arial" w:cs="Arial" w:eastAsia="Arial" w:hAnsi="Arial"/>
                  <w:sz w:val="16"/>
                  <w:szCs w:val="16"/>
                  <w:color w:val="auto"/>
                </w:rPr>
                <w:t>Chase Bank, N.A. as Administrative Agent</w:t>
              </w:r>
            </w:hyperlink>
          </w:p>
        </w:tc>
        <w:tc>
          <w:tcPr>
            <w:tcW w:w="20" w:type="dxa"/>
            <w:vAlign w:val="bottom"/>
            <w:tcBorders>
              <w:top w:val="single" w:sz="8" w:color="D2DCE5"/>
            </w:tcBorders>
            <w:shd w:val="clear" w:color="auto" w:fill="D2DCE5"/>
          </w:tcPr>
          <w:p>
            <w:pPr>
              <w:spacing w:after="0"/>
              <w:rPr>
                <w:sz w:val="14"/>
                <w:szCs w:val="14"/>
                <w:color w:val="auto"/>
              </w:rPr>
            </w:pPr>
          </w:p>
        </w:tc>
        <w:tc>
          <w:tcPr>
            <w:tcW w:w="40" w:type="dxa"/>
            <w:vAlign w:val="bottom"/>
            <w:tcBorders>
              <w:top w:val="single" w:sz="8" w:color="D2DCE5"/>
            </w:tcBorders>
            <w:shd w:val="clear" w:color="auto" w:fill="D2DCE5"/>
          </w:tcPr>
          <w:p>
            <w:pPr>
              <w:spacing w:after="0"/>
              <w:rPr>
                <w:sz w:val="14"/>
                <w:szCs w:val="14"/>
                <w:color w:val="auto"/>
              </w:rPr>
            </w:pPr>
          </w:p>
        </w:tc>
        <w:tc>
          <w:tcPr>
            <w:tcW w:w="140" w:type="dxa"/>
            <w:vAlign w:val="bottom"/>
            <w:tcBorders>
              <w:top w:val="single" w:sz="8" w:color="D2DCE5"/>
            </w:tcBorders>
            <w:gridSpan w:val="3"/>
            <w:shd w:val="clear" w:color="auto" w:fill="D2DCE5"/>
          </w:tcPr>
          <w:p>
            <w:pPr>
              <w:spacing w:after="0"/>
              <w:rPr>
                <w:sz w:val="14"/>
                <w:szCs w:val="14"/>
                <w:color w:val="auto"/>
              </w:rPr>
            </w:pPr>
          </w:p>
        </w:tc>
        <w:tc>
          <w:tcPr>
            <w:tcW w:w="160" w:type="dxa"/>
            <w:vAlign w:val="bottom"/>
            <w:tcBorders>
              <w:top w:val="single" w:sz="8" w:color="D2DCE5"/>
            </w:tcBorders>
            <w:gridSpan w:val="3"/>
            <w:shd w:val="clear" w:color="auto" w:fill="D2DCE5"/>
          </w:tcPr>
          <w:p>
            <w:pPr>
              <w:spacing w:after="0"/>
              <w:rPr>
                <w:sz w:val="14"/>
                <w:szCs w:val="14"/>
                <w:color w:val="auto"/>
              </w:rPr>
            </w:pPr>
          </w:p>
        </w:tc>
        <w:tc>
          <w:tcPr>
            <w:tcW w:w="760" w:type="dxa"/>
            <w:vAlign w:val="bottom"/>
            <w:tcBorders>
              <w:top w:val="single" w:sz="8" w:color="D2DCE5"/>
            </w:tcBorders>
            <w:vMerge w:val="continue"/>
            <w:shd w:val="clear" w:color="auto" w:fill="D2DCE5"/>
          </w:tcPr>
          <w:p>
            <w:pPr>
              <w:spacing w:after="0"/>
              <w:rPr>
                <w:sz w:val="14"/>
                <w:szCs w:val="14"/>
                <w:color w:val="auto"/>
              </w:rPr>
            </w:pPr>
          </w:p>
        </w:tc>
        <w:tc>
          <w:tcPr>
            <w:tcW w:w="1240" w:type="dxa"/>
            <w:vAlign w:val="bottom"/>
            <w:tcBorders>
              <w:top w:val="single" w:sz="8" w:color="D2DCE5"/>
            </w:tcBorders>
            <w:vMerge w:val="continue"/>
            <w:shd w:val="clear" w:color="auto" w:fill="D2DCE5"/>
          </w:tcPr>
          <w:p>
            <w:pPr>
              <w:spacing w:after="0"/>
              <w:rPr>
                <w:sz w:val="14"/>
                <w:szCs w:val="14"/>
                <w:color w:val="auto"/>
              </w:rPr>
            </w:pPr>
          </w:p>
        </w:tc>
        <w:tc>
          <w:tcPr>
            <w:tcW w:w="820" w:type="dxa"/>
            <w:vAlign w:val="bottom"/>
            <w:tcBorders>
              <w:top w:val="single" w:sz="8" w:color="D2DCE5"/>
            </w:tcBorders>
            <w:vMerge w:val="continue"/>
            <w:shd w:val="clear" w:color="auto" w:fill="D2DCE5"/>
          </w:tcPr>
          <w:p>
            <w:pPr>
              <w:spacing w:after="0"/>
              <w:rPr>
                <w:sz w:val="14"/>
                <w:szCs w:val="14"/>
                <w:color w:val="auto"/>
              </w:rPr>
            </w:pPr>
          </w:p>
        </w:tc>
        <w:tc>
          <w:tcPr>
            <w:tcW w:w="100" w:type="dxa"/>
            <w:vAlign w:val="bottom"/>
            <w:tcBorders>
              <w:top w:val="single" w:sz="8" w:color="D2DCE5"/>
            </w:tcBorders>
            <w:shd w:val="clear" w:color="auto" w:fill="D2DCE5"/>
          </w:tcPr>
          <w:p>
            <w:pPr>
              <w:spacing w:after="0"/>
              <w:rPr>
                <w:sz w:val="14"/>
                <w:szCs w:val="14"/>
                <w:color w:val="auto"/>
              </w:rPr>
            </w:pPr>
          </w:p>
        </w:tc>
        <w:tc>
          <w:tcPr>
            <w:tcW w:w="40" w:type="dxa"/>
            <w:vAlign w:val="bottom"/>
            <w:tcBorders>
              <w:top w:val="single" w:sz="8" w:color="D2DCE5"/>
            </w:tcBorders>
            <w:shd w:val="clear" w:color="auto" w:fill="D2DCE5"/>
          </w:tcPr>
          <w:p>
            <w:pPr>
              <w:spacing w:after="0"/>
              <w:rPr>
                <w:sz w:val="14"/>
                <w:szCs w:val="14"/>
                <w:color w:val="auto"/>
              </w:rPr>
            </w:pPr>
          </w:p>
        </w:tc>
        <w:tc>
          <w:tcPr>
            <w:tcW w:w="1340" w:type="dxa"/>
            <w:vAlign w:val="bottom"/>
            <w:tcBorders>
              <w:top w:val="single" w:sz="8" w:color="D2DCE5"/>
            </w:tcBorders>
            <w:gridSpan w:val="2"/>
            <w:vMerge w:val="continue"/>
            <w:shd w:val="clear" w:color="auto" w:fill="D2DCE5"/>
          </w:tcPr>
          <w:p>
            <w:pPr>
              <w:spacing w:after="0"/>
              <w:rPr>
                <w:sz w:val="14"/>
                <w:szCs w:val="14"/>
                <w:color w:val="auto"/>
              </w:rPr>
            </w:pPr>
          </w:p>
        </w:tc>
        <w:tc>
          <w:tcPr>
            <w:tcW w:w="960" w:type="dxa"/>
            <w:vAlign w:val="bottom"/>
            <w:tcBorders>
              <w:top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right w:val="single" w:sz="8" w:color="D2DCE5"/>
            </w:tcBorders>
            <w:shd w:val="clear" w:color="auto" w:fill="D2DCE5"/>
          </w:tcPr>
          <w:p>
            <w:pPr>
              <w:spacing w:after="0"/>
              <w:rPr>
                <w:sz w:val="2"/>
                <w:szCs w:val="2"/>
                <w:color w:val="auto"/>
              </w:rPr>
            </w:pPr>
          </w:p>
        </w:tc>
        <w:tc>
          <w:tcPr>
            <w:tcW w:w="360" w:type="dxa"/>
            <w:vAlign w:val="bottom"/>
            <w:tcBorders>
              <w:top w:val="single" w:sz="8" w:color="auto"/>
            </w:tcBorders>
            <w:shd w:val="clear" w:color="auto" w:fill="D2DCE5"/>
          </w:tcPr>
          <w:p>
            <w:pPr>
              <w:spacing w:after="0"/>
              <w:rPr>
                <w:sz w:val="2"/>
                <w:szCs w:val="2"/>
                <w:color w:val="auto"/>
              </w:rPr>
            </w:pPr>
          </w:p>
        </w:tc>
        <w:tc>
          <w:tcPr>
            <w:tcW w:w="2020" w:type="dxa"/>
            <w:vAlign w:val="bottom"/>
            <w:tcBorders>
              <w:top w:val="single" w:sz="8" w:color="auto"/>
            </w:tcBorders>
            <w:shd w:val="clear" w:color="auto" w:fill="D2DCE5"/>
          </w:tcPr>
          <w:p>
            <w:pPr>
              <w:spacing w:after="0"/>
              <w:rPr>
                <w:sz w:val="2"/>
                <w:szCs w:val="2"/>
                <w:color w:val="auto"/>
              </w:rPr>
            </w:pPr>
          </w:p>
        </w:tc>
        <w:tc>
          <w:tcPr>
            <w:tcW w:w="100" w:type="dxa"/>
            <w:vAlign w:val="bottom"/>
            <w:tcBorders>
              <w:top w:val="single" w:sz="8" w:color="auto"/>
            </w:tcBorders>
            <w:shd w:val="clear" w:color="auto" w:fill="D2DCE5"/>
          </w:tcPr>
          <w:p>
            <w:pPr>
              <w:spacing w:after="0"/>
              <w:rPr>
                <w:sz w:val="2"/>
                <w:szCs w:val="2"/>
                <w:color w:val="auto"/>
              </w:rPr>
            </w:pPr>
          </w:p>
        </w:tc>
        <w:tc>
          <w:tcPr>
            <w:tcW w:w="540" w:type="dxa"/>
            <w:vAlign w:val="bottom"/>
            <w:tcBorders>
              <w:top w:val="single" w:sz="8" w:color="auto"/>
            </w:tcBorders>
            <w:shd w:val="clear" w:color="auto" w:fill="D2DCE5"/>
          </w:tcPr>
          <w:p>
            <w:pPr>
              <w:spacing w:after="0"/>
              <w:rPr>
                <w:sz w:val="2"/>
                <w:szCs w:val="2"/>
                <w:color w:val="auto"/>
              </w:rPr>
            </w:pPr>
          </w:p>
        </w:tc>
        <w:tc>
          <w:tcPr>
            <w:tcW w:w="200" w:type="dxa"/>
            <w:vAlign w:val="bottom"/>
            <w:tcBorders>
              <w:top w:val="single" w:sz="8" w:color="D2DCE5"/>
            </w:tcBorders>
            <w:shd w:val="clear" w:color="auto" w:fill="D2DCE5"/>
          </w:tcPr>
          <w:p>
            <w:pPr>
              <w:spacing w:after="0"/>
              <w:rPr>
                <w:sz w:val="2"/>
                <w:szCs w:val="2"/>
                <w:color w:val="auto"/>
              </w:rPr>
            </w:pPr>
          </w:p>
        </w:tc>
        <w:tc>
          <w:tcPr>
            <w:tcW w:w="320" w:type="dxa"/>
            <w:vAlign w:val="bottom"/>
            <w:tcBorders>
              <w:top w:val="single" w:sz="8" w:color="D2DCE5"/>
            </w:tcBorders>
            <w:shd w:val="clear" w:color="auto" w:fill="D2DCE5"/>
          </w:tcPr>
          <w:p>
            <w:pPr>
              <w:spacing w:after="0"/>
              <w:rPr>
                <w:sz w:val="2"/>
                <w:szCs w:val="2"/>
                <w:color w:val="auto"/>
              </w:rPr>
            </w:pPr>
          </w:p>
        </w:tc>
        <w:tc>
          <w:tcPr>
            <w:tcW w:w="66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76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8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960" w:type="dxa"/>
            <w:vAlign w:val="bottom"/>
            <w:tcBorders>
              <w:top w:val="single" w:sz="8" w:color="D2DCE5"/>
            </w:tcBorders>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20" w:type="dxa"/>
            <w:vAlign w:val="bottom"/>
            <w:tcBorders>
              <w:bottom w:val="single" w:sz="8" w:color="auto"/>
            </w:tcBorders>
            <w:gridSpan w:val="11"/>
          </w:tcPr>
          <w:p>
            <w:pPr>
              <w:spacing w:after="0"/>
              <w:rPr>
                <w:sz w:val="20"/>
                <w:szCs w:val="20"/>
                <w:color w:val="auto"/>
              </w:rPr>
            </w:pPr>
            <w:r>
              <w:rPr>
                <w:rFonts w:ascii="Arial" w:cs="Arial" w:eastAsia="Arial" w:hAnsi="Arial"/>
                <w:sz w:val="16"/>
                <w:szCs w:val="16"/>
                <w:color w:val="auto"/>
              </w:rPr>
              <w:t>Certification of Chief Executive Officer Pursuant to Rules 13a-</w:t>
            </w:r>
          </w:p>
        </w:tc>
        <w:tc>
          <w:tcPr>
            <w:tcW w:w="420" w:type="dxa"/>
            <w:vAlign w:val="bottom"/>
            <w:gridSpan w:val="9"/>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40" w:type="dxa"/>
            <w:vAlign w:val="bottom"/>
            <w:gridSpan w:val="20"/>
          </w:tcPr>
          <w:p>
            <w:pPr>
              <w:spacing w:after="0" w:line="183" w:lineRule="exact"/>
              <w:rPr>
                <w:sz w:val="20"/>
                <w:szCs w:val="20"/>
                <w:color w:val="auto"/>
              </w:rPr>
            </w:pPr>
            <w:r>
              <w:rPr>
                <w:rFonts w:ascii="Arial" w:cs="Arial" w:eastAsia="Arial" w:hAnsi="Arial"/>
                <w:sz w:val="16"/>
                <w:szCs w:val="16"/>
                <w:color w:val="auto"/>
              </w:rPr>
              <w:t>14(a) and 15d-14(a) of the Securities Exchange Act of 1934, as</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auto"/>
              <w:bottom w:val="single" w:sz="8" w:color="auto"/>
            </w:tcBorders>
            <w:gridSpan w:val="13"/>
          </w:tcPr>
          <w:p>
            <w:pPr>
              <w:spacing w:after="0" w:line="169" w:lineRule="exact"/>
              <w:rPr>
                <w:sz w:val="20"/>
                <w:szCs w:val="20"/>
                <w:color w:val="auto"/>
              </w:rPr>
            </w:pPr>
            <w:r>
              <w:rPr>
                <w:rFonts w:ascii="Arial" w:cs="Arial" w:eastAsia="Arial" w:hAnsi="Arial"/>
                <w:sz w:val="16"/>
                <w:szCs w:val="16"/>
                <w:color w:val="auto"/>
              </w:rPr>
              <w:t>Adopted Pursuant to Section 302 of the Sarbanes-Oxley Act of</w:t>
            </w:r>
          </w:p>
        </w:tc>
        <w:tc>
          <w:tcPr>
            <w:tcW w:w="40" w:type="dxa"/>
            <w:vAlign w:val="bottom"/>
            <w:tcBorders>
              <w:top w:val="single" w:sz="8" w:color="auto"/>
            </w:tcBorders>
          </w:tcPr>
          <w:p>
            <w:pPr>
              <w:spacing w:after="0"/>
              <w:rPr>
                <w:sz w:val="14"/>
                <w:szCs w:val="14"/>
                <w:color w:val="auto"/>
              </w:rPr>
            </w:pPr>
          </w:p>
        </w:tc>
        <w:tc>
          <w:tcPr>
            <w:tcW w:w="14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jc w:val="center"/>
              <w:spacing w:after="0" w:line="183" w:lineRule="exact"/>
              <w:rPr>
                <w:sz w:val="20"/>
                <w:szCs w:val="20"/>
                <w:color w:val="auto"/>
              </w:rPr>
            </w:pPr>
            <w:r>
              <w:rPr>
                <w:rFonts w:ascii="Arial" w:cs="Arial" w:eastAsia="Arial" w:hAnsi="Arial"/>
                <w:sz w:val="16"/>
                <w:szCs w:val="16"/>
                <w:color w:val="131E29"/>
              </w:rPr>
              <w:t>31.1</w:t>
            </w:r>
          </w:p>
        </w:tc>
        <w:tc>
          <w:tcPr>
            <w:tcW w:w="120" w:type="dxa"/>
            <w:vAlign w:val="bottom"/>
          </w:tcPr>
          <w:p>
            <w:pPr>
              <w:spacing w:after="0"/>
              <w:rPr>
                <w:sz w:val="15"/>
                <w:szCs w:val="15"/>
                <w:color w:val="auto"/>
              </w:rPr>
            </w:pPr>
          </w:p>
        </w:tc>
        <w:tc>
          <w:tcPr>
            <w:tcW w:w="360" w:type="dxa"/>
            <w:vAlign w:val="bottom"/>
          </w:tcPr>
          <w:p>
            <w:pPr>
              <w:spacing w:after="0" w:line="183" w:lineRule="exact"/>
              <w:rPr>
                <w:sz w:val="20"/>
                <w:szCs w:val="20"/>
                <w:color w:val="auto"/>
              </w:rPr>
            </w:pPr>
            <w:r>
              <w:rPr>
                <w:rFonts w:ascii="Arial" w:cs="Arial" w:eastAsia="Arial" w:hAnsi="Arial"/>
                <w:sz w:val="16"/>
                <w:szCs w:val="16"/>
                <w:color w:val="auto"/>
                <w:w w:val="95"/>
              </w:rPr>
              <w:t>2002</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D2DCE5"/>
          </w:tcPr>
          <w:p>
            <w:pPr>
              <w:spacing w:after="0"/>
              <w:rPr>
                <w:sz w:val="16"/>
                <w:szCs w:val="16"/>
                <w:color w:val="auto"/>
              </w:rPr>
            </w:pPr>
          </w:p>
        </w:tc>
        <w:tc>
          <w:tcPr>
            <w:tcW w:w="120" w:type="dxa"/>
            <w:vAlign w:val="bottom"/>
            <w:tcBorders>
              <w:right w:val="single" w:sz="8" w:color="D2DCE5"/>
            </w:tcBorders>
            <w:shd w:val="clear" w:color="auto" w:fill="D2DCE5"/>
          </w:tcPr>
          <w:p>
            <w:pPr>
              <w:spacing w:after="0"/>
              <w:rPr>
                <w:sz w:val="16"/>
                <w:szCs w:val="16"/>
                <w:color w:val="auto"/>
              </w:rPr>
            </w:pPr>
          </w:p>
        </w:tc>
        <w:tc>
          <w:tcPr>
            <w:tcW w:w="4840" w:type="dxa"/>
            <w:vAlign w:val="bottom"/>
            <w:gridSpan w:val="20"/>
            <w:shd w:val="clear" w:color="auto" w:fill="D2DCE5"/>
          </w:tcPr>
          <w:p>
            <w:pPr>
              <w:spacing w:after="0"/>
              <w:rPr>
                <w:sz w:val="20"/>
                <w:szCs w:val="20"/>
                <w:color w:val="auto"/>
              </w:rPr>
            </w:pPr>
            <w:r>
              <w:rPr>
                <w:rFonts w:ascii="Arial" w:cs="Arial" w:eastAsia="Arial" w:hAnsi="Arial"/>
                <w:sz w:val="16"/>
                <w:szCs w:val="16"/>
                <w:color w:val="auto"/>
              </w:rPr>
              <w:t>Certification of Chief Financial Officer Pursuant to Rules 13a-</w:t>
            </w:r>
          </w:p>
        </w:tc>
        <w:tc>
          <w:tcPr>
            <w:tcW w:w="76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D2DCE5"/>
          </w:tcPr>
          <w:p>
            <w:pPr>
              <w:spacing w:after="0" w:line="20" w:lineRule="exact"/>
              <w:rPr>
                <w:sz w:val="1"/>
                <w:szCs w:val="1"/>
                <w:color w:val="auto"/>
              </w:rPr>
            </w:pPr>
          </w:p>
        </w:tc>
        <w:tc>
          <w:tcPr>
            <w:tcW w:w="120" w:type="dxa"/>
            <w:vAlign w:val="bottom"/>
            <w:tcBorders>
              <w:right w:val="single" w:sz="8" w:color="D2DCE5"/>
            </w:tcBorders>
            <w:shd w:val="clear" w:color="auto" w:fill="D2DCE5"/>
          </w:tcPr>
          <w:p>
            <w:pPr>
              <w:spacing w:after="0" w:line="20" w:lineRule="exact"/>
              <w:rPr>
                <w:sz w:val="1"/>
                <w:szCs w:val="1"/>
                <w:color w:val="auto"/>
              </w:rPr>
            </w:pPr>
          </w:p>
        </w:tc>
        <w:tc>
          <w:tcPr>
            <w:tcW w:w="3540" w:type="dxa"/>
            <w:vAlign w:val="bottom"/>
            <w:gridSpan w:val="6"/>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8"/>
            <w:shd w:val="clear" w:color="auto" w:fill="D2DCE5"/>
          </w:tcPr>
          <w:p>
            <w:pPr>
              <w:spacing w:after="0" w:line="20" w:lineRule="exact"/>
              <w:rPr>
                <w:sz w:val="1"/>
                <w:szCs w:val="1"/>
                <w:color w:val="auto"/>
              </w:rPr>
            </w:pPr>
          </w:p>
        </w:tc>
        <w:tc>
          <w:tcPr>
            <w:tcW w:w="160" w:type="dxa"/>
            <w:vAlign w:val="bottom"/>
            <w:gridSpan w:val="3"/>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4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shd w:val="clear" w:color="auto" w:fill="D2DCE5"/>
          </w:tcPr>
          <w:p>
            <w:pPr>
              <w:spacing w:after="0"/>
              <w:rPr>
                <w:sz w:val="15"/>
                <w:szCs w:val="15"/>
                <w:color w:val="auto"/>
              </w:rPr>
            </w:pPr>
          </w:p>
        </w:tc>
        <w:tc>
          <w:tcPr>
            <w:tcW w:w="120" w:type="dxa"/>
            <w:vAlign w:val="bottom"/>
            <w:tcBorders>
              <w:right w:val="single" w:sz="8" w:color="D2DCE5"/>
            </w:tcBorders>
            <w:shd w:val="clear" w:color="auto" w:fill="D2DCE5"/>
          </w:tcPr>
          <w:p>
            <w:pPr>
              <w:spacing w:after="0"/>
              <w:rPr>
                <w:sz w:val="15"/>
                <w:szCs w:val="15"/>
                <w:color w:val="auto"/>
              </w:rPr>
            </w:pPr>
          </w:p>
        </w:tc>
        <w:tc>
          <w:tcPr>
            <w:tcW w:w="4840" w:type="dxa"/>
            <w:vAlign w:val="bottom"/>
            <w:gridSpan w:val="20"/>
            <w:shd w:val="clear" w:color="auto" w:fill="D2DCE5"/>
          </w:tcPr>
          <w:p>
            <w:pPr>
              <w:spacing w:after="0" w:line="183" w:lineRule="exact"/>
              <w:rPr>
                <w:sz w:val="20"/>
                <w:szCs w:val="20"/>
                <w:color w:val="auto"/>
              </w:rPr>
            </w:pPr>
            <w:r>
              <w:rPr>
                <w:rFonts w:ascii="Arial" w:cs="Arial" w:eastAsia="Arial" w:hAnsi="Arial"/>
                <w:sz w:val="16"/>
                <w:szCs w:val="16"/>
                <w:color w:val="auto"/>
              </w:rPr>
              <w:t>14(a) and 15d-14(a) of the Securities Exchange Act of 1934, as</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D2DCE5"/>
              <w:bottom w:val="single" w:sz="8" w:color="D2DCE5"/>
            </w:tcBorders>
            <w:shd w:val="clear" w:color="auto" w:fill="D2DCE5"/>
          </w:tcPr>
          <w:p>
            <w:pPr>
              <w:spacing w:after="0"/>
              <w:rPr>
                <w:sz w:val="14"/>
                <w:szCs w:val="14"/>
                <w:color w:val="auto"/>
              </w:rPr>
            </w:pPr>
          </w:p>
        </w:tc>
        <w:tc>
          <w:tcPr>
            <w:tcW w:w="120" w:type="dxa"/>
            <w:vAlign w:val="bottom"/>
            <w:tcBorders>
              <w:top w:val="single" w:sz="8" w:color="D2DCE5"/>
              <w:bottom w:val="single" w:sz="8" w:color="D2DCE5"/>
              <w:right w:val="single" w:sz="8" w:color="D2DCE5"/>
            </w:tcBorders>
            <w:shd w:val="clear" w:color="auto" w:fill="D2DCE5"/>
          </w:tcPr>
          <w:p>
            <w:pPr>
              <w:spacing w:after="0"/>
              <w:rPr>
                <w:sz w:val="14"/>
                <w:szCs w:val="14"/>
                <w:color w:val="auto"/>
              </w:rPr>
            </w:pPr>
          </w:p>
        </w:tc>
        <w:tc>
          <w:tcPr>
            <w:tcW w:w="4500" w:type="dxa"/>
            <w:vAlign w:val="bottom"/>
            <w:tcBorders>
              <w:top w:val="single" w:sz="8" w:color="auto"/>
              <w:bottom w:val="single" w:sz="8" w:color="auto"/>
            </w:tcBorders>
            <w:gridSpan w:val="13"/>
            <w:shd w:val="clear" w:color="auto" w:fill="D2DCE5"/>
          </w:tcPr>
          <w:p>
            <w:pPr>
              <w:spacing w:after="0" w:line="169" w:lineRule="exact"/>
              <w:rPr>
                <w:sz w:val="20"/>
                <w:szCs w:val="20"/>
                <w:color w:val="auto"/>
              </w:rPr>
            </w:pPr>
            <w:r>
              <w:rPr>
                <w:rFonts w:ascii="Arial" w:cs="Arial" w:eastAsia="Arial" w:hAnsi="Arial"/>
                <w:sz w:val="16"/>
                <w:szCs w:val="16"/>
                <w:color w:val="auto"/>
              </w:rPr>
              <w:t>Adopted Pursuant to Section 302 of the Sarbanes-Oxley Act of</w:t>
            </w:r>
          </w:p>
        </w:tc>
        <w:tc>
          <w:tcPr>
            <w:tcW w:w="40" w:type="dxa"/>
            <w:vAlign w:val="bottom"/>
            <w:tcBorders>
              <w:top w:val="single" w:sz="8" w:color="auto"/>
              <w:bottom w:val="single" w:sz="8" w:color="D2DCE5"/>
            </w:tcBorders>
            <w:shd w:val="clear" w:color="auto" w:fill="D2DCE5"/>
          </w:tcPr>
          <w:p>
            <w:pPr>
              <w:spacing w:after="0"/>
              <w:rPr>
                <w:sz w:val="14"/>
                <w:szCs w:val="14"/>
                <w:color w:val="auto"/>
              </w:rPr>
            </w:pPr>
          </w:p>
        </w:tc>
        <w:tc>
          <w:tcPr>
            <w:tcW w:w="140" w:type="dxa"/>
            <w:vAlign w:val="bottom"/>
            <w:tcBorders>
              <w:top w:val="single" w:sz="8" w:color="D2DCE5"/>
              <w:bottom w:val="single" w:sz="8" w:color="D2DCE5"/>
            </w:tcBorders>
            <w:gridSpan w:val="3"/>
            <w:shd w:val="clear" w:color="auto" w:fill="D2DCE5"/>
          </w:tcPr>
          <w:p>
            <w:pPr>
              <w:spacing w:after="0"/>
              <w:rPr>
                <w:sz w:val="14"/>
                <w:szCs w:val="14"/>
                <w:color w:val="auto"/>
              </w:rPr>
            </w:pPr>
          </w:p>
        </w:tc>
        <w:tc>
          <w:tcPr>
            <w:tcW w:w="160" w:type="dxa"/>
            <w:vAlign w:val="bottom"/>
            <w:tcBorders>
              <w:top w:val="single" w:sz="8" w:color="D2DCE5"/>
              <w:bottom w:val="single" w:sz="8" w:color="D2DCE5"/>
            </w:tcBorders>
            <w:gridSpan w:val="3"/>
            <w:shd w:val="clear" w:color="auto" w:fill="D2DCE5"/>
          </w:tcPr>
          <w:p>
            <w:pPr>
              <w:spacing w:after="0"/>
              <w:rPr>
                <w:sz w:val="14"/>
                <w:szCs w:val="14"/>
                <w:color w:val="auto"/>
              </w:rPr>
            </w:pPr>
          </w:p>
        </w:tc>
        <w:tc>
          <w:tcPr>
            <w:tcW w:w="760" w:type="dxa"/>
            <w:vAlign w:val="bottom"/>
            <w:tcBorders>
              <w:top w:val="single" w:sz="8" w:color="D2DCE5"/>
              <w:bottom w:val="single" w:sz="8" w:color="D2DCE5"/>
            </w:tcBorders>
            <w:shd w:val="clear" w:color="auto" w:fill="D2DCE5"/>
          </w:tcPr>
          <w:p>
            <w:pPr>
              <w:spacing w:after="0"/>
              <w:rPr>
                <w:sz w:val="14"/>
                <w:szCs w:val="14"/>
                <w:color w:val="auto"/>
              </w:rPr>
            </w:pPr>
          </w:p>
        </w:tc>
        <w:tc>
          <w:tcPr>
            <w:tcW w:w="1240" w:type="dxa"/>
            <w:vAlign w:val="bottom"/>
            <w:tcBorders>
              <w:top w:val="single" w:sz="8" w:color="D2DCE5"/>
              <w:bottom w:val="single" w:sz="8" w:color="D2DCE5"/>
            </w:tcBorders>
            <w:shd w:val="clear" w:color="auto" w:fill="D2DCE5"/>
          </w:tcPr>
          <w:p>
            <w:pPr>
              <w:spacing w:after="0"/>
              <w:rPr>
                <w:sz w:val="14"/>
                <w:szCs w:val="14"/>
                <w:color w:val="auto"/>
              </w:rPr>
            </w:pPr>
          </w:p>
        </w:tc>
        <w:tc>
          <w:tcPr>
            <w:tcW w:w="82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40" w:type="dxa"/>
            <w:vAlign w:val="bottom"/>
            <w:tcBorders>
              <w:top w:val="single" w:sz="8" w:color="D2DCE5"/>
              <w:bottom w:val="single" w:sz="8" w:color="D2DCE5"/>
            </w:tcBorders>
            <w:shd w:val="clear" w:color="auto" w:fill="D2DCE5"/>
          </w:tcPr>
          <w:p>
            <w:pPr>
              <w:spacing w:after="0"/>
              <w:rPr>
                <w:sz w:val="14"/>
                <w:szCs w:val="14"/>
                <w:color w:val="auto"/>
              </w:rPr>
            </w:pPr>
          </w:p>
        </w:tc>
        <w:tc>
          <w:tcPr>
            <w:tcW w:w="124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960" w:type="dxa"/>
            <w:vAlign w:val="bottom"/>
            <w:tcBorders>
              <w:top w:val="single" w:sz="8" w:color="D2DCE5"/>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31.2</w:t>
            </w:r>
          </w:p>
        </w:tc>
        <w:tc>
          <w:tcPr>
            <w:tcW w:w="120" w:type="dxa"/>
            <w:vAlign w:val="bottom"/>
            <w:tcBorders>
              <w:right w:val="single" w:sz="8" w:color="D2DCE5"/>
            </w:tcBorders>
            <w:shd w:val="clear" w:color="auto" w:fill="D2DCE5"/>
          </w:tcPr>
          <w:p>
            <w:pPr>
              <w:spacing w:after="0"/>
              <w:rPr>
                <w:sz w:val="15"/>
                <w:szCs w:val="15"/>
                <w:color w:val="auto"/>
              </w:rPr>
            </w:pPr>
          </w:p>
        </w:tc>
        <w:tc>
          <w:tcPr>
            <w:tcW w:w="360" w:type="dxa"/>
            <w:vAlign w:val="bottom"/>
            <w:shd w:val="clear" w:color="auto" w:fill="D2DCE5"/>
          </w:tcPr>
          <w:p>
            <w:pPr>
              <w:spacing w:after="0" w:line="183" w:lineRule="exact"/>
              <w:rPr>
                <w:sz w:val="20"/>
                <w:szCs w:val="20"/>
                <w:color w:val="auto"/>
              </w:rPr>
            </w:pPr>
            <w:r>
              <w:rPr>
                <w:rFonts w:ascii="Arial" w:cs="Arial" w:eastAsia="Arial" w:hAnsi="Arial"/>
                <w:sz w:val="16"/>
                <w:szCs w:val="16"/>
                <w:color w:val="auto"/>
                <w:w w:val="95"/>
              </w:rPr>
              <w:t>2002</w:t>
            </w:r>
          </w:p>
        </w:tc>
        <w:tc>
          <w:tcPr>
            <w:tcW w:w="20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540" w:type="dxa"/>
            <w:vAlign w:val="bottom"/>
            <w:shd w:val="clear" w:color="auto" w:fill="D2DCE5"/>
          </w:tcPr>
          <w:p>
            <w:pPr>
              <w:spacing w:after="0"/>
              <w:rPr>
                <w:sz w:val="15"/>
                <w:szCs w:val="15"/>
                <w:color w:val="auto"/>
              </w:rPr>
            </w:pPr>
          </w:p>
        </w:tc>
        <w:tc>
          <w:tcPr>
            <w:tcW w:w="20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66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6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60" w:type="dxa"/>
            <w:vAlign w:val="bottom"/>
            <w:shd w:val="clear" w:color="auto" w:fill="D2DCE5"/>
          </w:tcPr>
          <w:p>
            <w:pPr>
              <w:spacing w:after="0"/>
              <w:rPr>
                <w:sz w:val="15"/>
                <w:szCs w:val="15"/>
                <w:color w:val="auto"/>
              </w:rPr>
            </w:pPr>
          </w:p>
        </w:tc>
        <w:tc>
          <w:tcPr>
            <w:tcW w:w="6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4"/>
        </w:trPr>
        <w:tc>
          <w:tcPr>
            <w:tcW w:w="102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right w:val="single" w:sz="8" w:color="D2DCE5"/>
            </w:tcBorders>
            <w:shd w:val="clear" w:color="auto" w:fill="D2DCE5"/>
          </w:tcPr>
          <w:p>
            <w:pPr>
              <w:spacing w:after="0"/>
              <w:rPr>
                <w:sz w:val="2"/>
                <w:szCs w:val="2"/>
                <w:color w:val="auto"/>
              </w:rPr>
            </w:pPr>
          </w:p>
        </w:tc>
        <w:tc>
          <w:tcPr>
            <w:tcW w:w="360" w:type="dxa"/>
            <w:vAlign w:val="bottom"/>
            <w:tcBorders>
              <w:top w:val="single" w:sz="8" w:color="auto"/>
            </w:tcBorders>
            <w:shd w:val="clear" w:color="auto" w:fill="D2DCE5"/>
          </w:tcPr>
          <w:p>
            <w:pPr>
              <w:spacing w:after="0"/>
              <w:rPr>
                <w:sz w:val="2"/>
                <w:szCs w:val="2"/>
                <w:color w:val="auto"/>
              </w:rPr>
            </w:pPr>
          </w:p>
        </w:tc>
        <w:tc>
          <w:tcPr>
            <w:tcW w:w="20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540" w:type="dxa"/>
            <w:vAlign w:val="bottom"/>
            <w:tcBorders>
              <w:top w:val="single" w:sz="8" w:color="D2DCE5"/>
            </w:tcBorders>
            <w:shd w:val="clear" w:color="auto" w:fill="D2DCE5"/>
          </w:tcPr>
          <w:p>
            <w:pPr>
              <w:spacing w:after="0"/>
              <w:rPr>
                <w:sz w:val="2"/>
                <w:szCs w:val="2"/>
                <w:color w:val="auto"/>
              </w:rPr>
            </w:pPr>
          </w:p>
        </w:tc>
        <w:tc>
          <w:tcPr>
            <w:tcW w:w="200" w:type="dxa"/>
            <w:vAlign w:val="bottom"/>
            <w:tcBorders>
              <w:top w:val="single" w:sz="8" w:color="D2DCE5"/>
            </w:tcBorders>
            <w:shd w:val="clear" w:color="auto" w:fill="D2DCE5"/>
          </w:tcPr>
          <w:p>
            <w:pPr>
              <w:spacing w:after="0"/>
              <w:rPr>
                <w:sz w:val="2"/>
                <w:szCs w:val="2"/>
                <w:color w:val="auto"/>
              </w:rPr>
            </w:pPr>
          </w:p>
        </w:tc>
        <w:tc>
          <w:tcPr>
            <w:tcW w:w="320" w:type="dxa"/>
            <w:vAlign w:val="bottom"/>
            <w:tcBorders>
              <w:top w:val="single" w:sz="8" w:color="D2DCE5"/>
            </w:tcBorders>
            <w:shd w:val="clear" w:color="auto" w:fill="D2DCE5"/>
          </w:tcPr>
          <w:p>
            <w:pPr>
              <w:spacing w:after="0"/>
              <w:rPr>
                <w:sz w:val="2"/>
                <w:szCs w:val="2"/>
                <w:color w:val="auto"/>
              </w:rPr>
            </w:pPr>
          </w:p>
        </w:tc>
        <w:tc>
          <w:tcPr>
            <w:tcW w:w="66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76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8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960" w:type="dxa"/>
            <w:vAlign w:val="bottom"/>
            <w:tcBorders>
              <w:top w:val="single" w:sz="8" w:color="D2DCE5"/>
            </w:tcBorders>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Certifications of Chief Executive Officer and Chief Financial</w:t>
            </w:r>
          </w:p>
        </w:tc>
        <w:tc>
          <w:tcPr>
            <w:tcW w:w="600" w:type="dxa"/>
            <w:vAlign w:val="bottom"/>
            <w:gridSpan w:val="12"/>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6"/>
                <w:szCs w:val="16"/>
                <w:color w:val="131E29"/>
              </w:rPr>
              <w:t>32.1*</w:t>
            </w:r>
          </w:p>
        </w:tc>
        <w:tc>
          <w:tcPr>
            <w:tcW w:w="120" w:type="dxa"/>
            <w:vAlign w:val="bottom"/>
          </w:tcPr>
          <w:p>
            <w:pPr>
              <w:spacing w:after="0"/>
              <w:rPr>
                <w:sz w:val="15"/>
                <w:szCs w:val="15"/>
                <w:color w:val="auto"/>
              </w:rPr>
            </w:pPr>
          </w:p>
        </w:tc>
        <w:tc>
          <w:tcPr>
            <w:tcW w:w="4840" w:type="dxa"/>
            <w:vAlign w:val="bottom"/>
            <w:gridSpan w:val="20"/>
          </w:tcPr>
          <w:p>
            <w:pPr>
              <w:spacing w:after="0" w:line="183" w:lineRule="exact"/>
              <w:rPr>
                <w:sz w:val="20"/>
                <w:szCs w:val="20"/>
                <w:color w:val="auto"/>
              </w:rPr>
            </w:pPr>
            <w:r>
              <w:rPr>
                <w:rFonts w:ascii="Arial" w:cs="Arial" w:eastAsia="Arial" w:hAnsi="Arial"/>
                <w:sz w:val="16"/>
                <w:szCs w:val="16"/>
                <w:color w:val="auto"/>
              </w:rPr>
              <w:t>Officer Pursuant to 18 U.S.C. Section 1350, as Adopted Pursuant</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tcBorders>
              <w:top w:val="single" w:sz="8" w:color="auto"/>
            </w:tcBorders>
            <w:gridSpan w:val="17"/>
          </w:tcPr>
          <w:p>
            <w:pPr>
              <w:spacing w:after="0" w:line="169" w:lineRule="exact"/>
              <w:rPr>
                <w:sz w:val="20"/>
                <w:szCs w:val="20"/>
                <w:color w:val="auto"/>
              </w:rPr>
            </w:pPr>
            <w:r>
              <w:rPr>
                <w:rFonts w:ascii="Arial" w:cs="Arial" w:eastAsia="Arial" w:hAnsi="Arial"/>
                <w:sz w:val="16"/>
                <w:szCs w:val="16"/>
                <w:color w:val="auto"/>
              </w:rPr>
              <w:t>to Section 906 of the Sarbanes-Oxley Act of 2002</w:t>
            </w:r>
          </w:p>
        </w:tc>
        <w:tc>
          <w:tcPr>
            <w:tcW w:w="16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tcBorders>
              <w:right w:val="single" w:sz="8" w:color="D2DCE5"/>
            </w:tcBorders>
            <w:gridSpan w:val="2"/>
            <w:shd w:val="clear" w:color="auto" w:fill="D2DCE5"/>
          </w:tcPr>
          <w:p>
            <w:pPr>
              <w:jc w:val="center"/>
              <w:ind w:right="120"/>
              <w:spacing w:after="0"/>
              <w:rPr>
                <w:sz w:val="20"/>
                <w:szCs w:val="20"/>
                <w:color w:val="auto"/>
              </w:rPr>
            </w:pPr>
            <w:r>
              <w:rPr>
                <w:rFonts w:ascii="Arial" w:cs="Arial" w:eastAsia="Arial" w:hAnsi="Arial"/>
                <w:sz w:val="16"/>
                <w:szCs w:val="16"/>
                <w:color w:val="131E29"/>
              </w:rPr>
              <w:t>101.INS</w:t>
            </w:r>
          </w:p>
        </w:tc>
        <w:tc>
          <w:tcPr>
            <w:tcW w:w="4840" w:type="dxa"/>
            <w:vAlign w:val="bottom"/>
            <w:gridSpan w:val="20"/>
            <w:shd w:val="clear" w:color="auto" w:fill="D2DCE5"/>
          </w:tcPr>
          <w:p>
            <w:pPr>
              <w:spacing w:after="0"/>
              <w:rPr>
                <w:sz w:val="20"/>
                <w:szCs w:val="20"/>
                <w:color w:val="auto"/>
              </w:rPr>
            </w:pPr>
            <w:r>
              <w:rPr>
                <w:rFonts w:ascii="Arial" w:cs="Arial" w:eastAsia="Arial" w:hAnsi="Arial"/>
                <w:sz w:val="16"/>
                <w:szCs w:val="16"/>
                <w:color w:val="131E29"/>
              </w:rPr>
              <w:t>XBRL Instance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131E29"/>
              </w:rPr>
              <w:t>101.SCH</w:t>
            </w:r>
          </w:p>
        </w:tc>
        <w:tc>
          <w:tcPr>
            <w:tcW w:w="4840" w:type="dxa"/>
            <w:vAlign w:val="bottom"/>
            <w:gridSpan w:val="20"/>
          </w:tcPr>
          <w:p>
            <w:pPr>
              <w:spacing w:after="0"/>
              <w:rPr>
                <w:sz w:val="20"/>
                <w:szCs w:val="20"/>
                <w:color w:val="auto"/>
              </w:rPr>
            </w:pPr>
            <w:r>
              <w:rPr>
                <w:rFonts w:ascii="Arial" w:cs="Arial" w:eastAsia="Arial" w:hAnsi="Arial"/>
                <w:sz w:val="16"/>
                <w:szCs w:val="16"/>
                <w:color w:val="131E29"/>
              </w:rPr>
              <w:t>XBRL Taxonomy Extension Schema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1"/>
        </w:trPr>
        <w:tc>
          <w:tcPr>
            <w:tcW w:w="1140" w:type="dxa"/>
            <w:vAlign w:val="bottom"/>
            <w:tcBorders>
              <w:right w:val="single" w:sz="8" w:color="D2DCE5"/>
            </w:tcBorders>
            <w:gridSpan w:val="2"/>
            <w:shd w:val="clear" w:color="auto" w:fill="D2DCE5"/>
          </w:tcPr>
          <w:p>
            <w:pPr>
              <w:jc w:val="center"/>
              <w:ind w:right="120"/>
              <w:spacing w:after="0"/>
              <w:rPr>
                <w:sz w:val="20"/>
                <w:szCs w:val="20"/>
                <w:color w:val="auto"/>
              </w:rPr>
            </w:pPr>
            <w:r>
              <w:rPr>
                <w:rFonts w:ascii="Arial" w:cs="Arial" w:eastAsia="Arial" w:hAnsi="Arial"/>
                <w:sz w:val="16"/>
                <w:szCs w:val="16"/>
                <w:color w:val="131E29"/>
                <w:w w:val="99"/>
              </w:rPr>
              <w:t>101.CAL</w:t>
            </w:r>
          </w:p>
        </w:tc>
        <w:tc>
          <w:tcPr>
            <w:tcW w:w="4840" w:type="dxa"/>
            <w:vAlign w:val="bottom"/>
            <w:gridSpan w:val="20"/>
            <w:shd w:val="clear" w:color="auto" w:fill="D2DCE5"/>
          </w:tcPr>
          <w:p>
            <w:pPr>
              <w:spacing w:after="0"/>
              <w:rPr>
                <w:sz w:val="20"/>
                <w:szCs w:val="20"/>
                <w:color w:val="auto"/>
              </w:rPr>
            </w:pPr>
            <w:r>
              <w:rPr>
                <w:rFonts w:ascii="Arial" w:cs="Arial" w:eastAsia="Arial" w:hAnsi="Arial"/>
                <w:sz w:val="16"/>
                <w:szCs w:val="16"/>
                <w:color w:val="131E29"/>
              </w:rPr>
              <w:t>XBRL Taxonomy Extension Calculation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131E29"/>
              </w:rPr>
              <w:t>101.DEF</w:t>
            </w:r>
          </w:p>
        </w:tc>
        <w:tc>
          <w:tcPr>
            <w:tcW w:w="4840" w:type="dxa"/>
            <w:vAlign w:val="bottom"/>
            <w:gridSpan w:val="20"/>
          </w:tcPr>
          <w:p>
            <w:pPr>
              <w:spacing w:after="0"/>
              <w:rPr>
                <w:sz w:val="20"/>
                <w:szCs w:val="20"/>
                <w:color w:val="auto"/>
              </w:rPr>
            </w:pPr>
            <w:r>
              <w:rPr>
                <w:rFonts w:ascii="Arial" w:cs="Arial" w:eastAsia="Arial" w:hAnsi="Arial"/>
                <w:sz w:val="16"/>
                <w:szCs w:val="16"/>
                <w:color w:val="131E29"/>
              </w:rPr>
              <w:t>XBRL Taxonomy Extension Definition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1"/>
        </w:trPr>
        <w:tc>
          <w:tcPr>
            <w:tcW w:w="1140" w:type="dxa"/>
            <w:vAlign w:val="bottom"/>
            <w:tcBorders>
              <w:right w:val="single" w:sz="8" w:color="D2DCE5"/>
            </w:tcBorders>
            <w:gridSpan w:val="2"/>
            <w:shd w:val="clear" w:color="auto" w:fill="D2DCE5"/>
          </w:tcPr>
          <w:p>
            <w:pPr>
              <w:jc w:val="center"/>
              <w:ind w:right="120"/>
              <w:spacing w:after="0"/>
              <w:rPr>
                <w:sz w:val="20"/>
                <w:szCs w:val="20"/>
                <w:color w:val="auto"/>
              </w:rPr>
            </w:pPr>
            <w:r>
              <w:rPr>
                <w:rFonts w:ascii="Arial" w:cs="Arial" w:eastAsia="Arial" w:hAnsi="Arial"/>
                <w:sz w:val="16"/>
                <w:szCs w:val="16"/>
                <w:color w:val="131E29"/>
              </w:rPr>
              <w:t>101.LAB</w:t>
            </w:r>
          </w:p>
        </w:tc>
        <w:tc>
          <w:tcPr>
            <w:tcW w:w="4840" w:type="dxa"/>
            <w:vAlign w:val="bottom"/>
            <w:gridSpan w:val="20"/>
            <w:shd w:val="clear" w:color="auto" w:fill="D2DCE5"/>
          </w:tcPr>
          <w:p>
            <w:pPr>
              <w:spacing w:after="0"/>
              <w:rPr>
                <w:sz w:val="20"/>
                <w:szCs w:val="20"/>
                <w:color w:val="auto"/>
              </w:rPr>
            </w:pPr>
            <w:r>
              <w:rPr>
                <w:rFonts w:ascii="Arial" w:cs="Arial" w:eastAsia="Arial" w:hAnsi="Arial"/>
                <w:sz w:val="16"/>
                <w:szCs w:val="16"/>
                <w:color w:val="131E29"/>
              </w:rPr>
              <w:t>XBRL Taxonomy Extension Label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131E29"/>
                <w:w w:val="99"/>
              </w:rPr>
              <w:t>101.PRE</w:t>
            </w:r>
          </w:p>
        </w:tc>
        <w:tc>
          <w:tcPr>
            <w:tcW w:w="4840" w:type="dxa"/>
            <w:vAlign w:val="bottom"/>
            <w:gridSpan w:val="20"/>
          </w:tcPr>
          <w:p>
            <w:pPr>
              <w:spacing w:after="0"/>
              <w:rPr>
                <w:sz w:val="20"/>
                <w:szCs w:val="20"/>
                <w:color w:val="auto"/>
              </w:rPr>
            </w:pPr>
            <w:r>
              <w:rPr>
                <w:rFonts w:ascii="Arial" w:cs="Arial" w:eastAsia="Arial" w:hAnsi="Arial"/>
                <w:sz w:val="16"/>
                <w:szCs w:val="16"/>
                <w:color w:val="131E29"/>
              </w:rPr>
              <w:t>XBRL Taxonomy Extension Presentation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96"/>
        </w:trPr>
        <w:tc>
          <w:tcPr>
            <w:tcW w:w="1020" w:type="dxa"/>
            <w:vAlign w:val="bottom"/>
            <w:shd w:val="clear" w:color="auto" w:fill="D2DCE5"/>
          </w:tcPr>
          <w:p>
            <w:pPr>
              <w:spacing w:after="0"/>
              <w:rPr>
                <w:sz w:val="17"/>
                <w:szCs w:val="17"/>
                <w:color w:val="auto"/>
              </w:rPr>
            </w:pPr>
          </w:p>
        </w:tc>
        <w:tc>
          <w:tcPr>
            <w:tcW w:w="120" w:type="dxa"/>
            <w:vAlign w:val="bottom"/>
            <w:tcBorders>
              <w:right w:val="single" w:sz="8" w:color="D2DCE5"/>
            </w:tcBorders>
            <w:shd w:val="clear" w:color="auto" w:fill="D2DCE5"/>
          </w:tcPr>
          <w:p>
            <w:pPr>
              <w:spacing w:after="0"/>
              <w:rPr>
                <w:sz w:val="17"/>
                <w:szCs w:val="17"/>
                <w:color w:val="auto"/>
              </w:rPr>
            </w:pPr>
          </w:p>
        </w:tc>
        <w:tc>
          <w:tcPr>
            <w:tcW w:w="4840" w:type="dxa"/>
            <w:vAlign w:val="bottom"/>
            <w:gridSpan w:val="20"/>
            <w:shd w:val="clear" w:color="auto" w:fill="D2DCE5"/>
          </w:tcPr>
          <w:p>
            <w:pPr>
              <w:spacing w:after="0"/>
              <w:rPr>
                <w:sz w:val="20"/>
                <w:szCs w:val="20"/>
                <w:color w:val="auto"/>
              </w:rPr>
            </w:pPr>
            <w:r>
              <w:rPr>
                <w:rFonts w:ascii="Arial" w:cs="Arial" w:eastAsia="Arial" w:hAnsi="Arial"/>
                <w:sz w:val="16"/>
                <w:szCs w:val="16"/>
                <w:color w:val="131E29"/>
              </w:rPr>
              <w:t>Cover Page with Interactive Data File (formatted as Inline XBRL</w:t>
            </w:r>
          </w:p>
        </w:tc>
        <w:tc>
          <w:tcPr>
            <w:tcW w:w="760" w:type="dxa"/>
            <w:vAlign w:val="bottom"/>
            <w:shd w:val="clear" w:color="auto" w:fill="D2DCE5"/>
          </w:tcPr>
          <w:p>
            <w:pPr>
              <w:spacing w:after="0"/>
              <w:rPr>
                <w:sz w:val="17"/>
                <w:szCs w:val="17"/>
                <w:color w:val="auto"/>
              </w:rPr>
            </w:pPr>
          </w:p>
        </w:tc>
        <w:tc>
          <w:tcPr>
            <w:tcW w:w="124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12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D2DCE5"/>
          </w:tcPr>
          <w:p>
            <w:pPr>
              <w:spacing w:after="0"/>
              <w:rPr>
                <w:sz w:val="15"/>
                <w:szCs w:val="15"/>
                <w:color w:val="auto"/>
              </w:rPr>
            </w:pPr>
          </w:p>
        </w:tc>
        <w:tc>
          <w:tcPr>
            <w:tcW w:w="120" w:type="dxa"/>
            <w:vAlign w:val="bottom"/>
            <w:tcBorders>
              <w:right w:val="single" w:sz="8" w:color="D2DCE5"/>
            </w:tcBorders>
            <w:shd w:val="clear" w:color="auto" w:fill="D2DCE5"/>
          </w:tcPr>
          <w:p>
            <w:pPr>
              <w:spacing w:after="0"/>
              <w:rPr>
                <w:sz w:val="15"/>
                <w:szCs w:val="15"/>
                <w:color w:val="auto"/>
              </w:rPr>
            </w:pPr>
          </w:p>
        </w:tc>
        <w:tc>
          <w:tcPr>
            <w:tcW w:w="4840" w:type="dxa"/>
            <w:vAlign w:val="bottom"/>
            <w:gridSpan w:val="20"/>
            <w:shd w:val="clear" w:color="auto" w:fill="D2DCE5"/>
          </w:tcPr>
          <w:p>
            <w:pPr>
              <w:spacing w:after="0" w:line="175" w:lineRule="exact"/>
              <w:rPr>
                <w:sz w:val="20"/>
                <w:szCs w:val="20"/>
                <w:color w:val="auto"/>
              </w:rPr>
            </w:pPr>
            <w:r>
              <w:rPr>
                <w:rFonts w:ascii="Arial" w:cs="Arial" w:eastAsia="Arial" w:hAnsi="Arial"/>
                <w:sz w:val="16"/>
                <w:szCs w:val="16"/>
                <w:color w:val="131E29"/>
              </w:rPr>
              <w:t>with applicable taxonomy extension information contained in</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7"/>
              </w:rPr>
              <w:t>104</w:t>
            </w:r>
          </w:p>
        </w:tc>
        <w:tc>
          <w:tcPr>
            <w:tcW w:w="120" w:type="dxa"/>
            <w:vAlign w:val="bottom"/>
            <w:tcBorders>
              <w:right w:val="single" w:sz="8" w:color="D2DCE5"/>
            </w:tcBorders>
            <w:shd w:val="clear" w:color="auto" w:fill="D2DCE5"/>
          </w:tcPr>
          <w:p>
            <w:pPr>
              <w:spacing w:after="0"/>
              <w:rPr>
                <w:sz w:val="20"/>
                <w:szCs w:val="20"/>
                <w:color w:val="auto"/>
              </w:rPr>
            </w:pPr>
          </w:p>
        </w:tc>
        <w:tc>
          <w:tcPr>
            <w:tcW w:w="4840" w:type="dxa"/>
            <w:vAlign w:val="bottom"/>
            <w:gridSpan w:val="20"/>
            <w:shd w:val="clear" w:color="auto" w:fill="D2DCE5"/>
          </w:tcPr>
          <w:p>
            <w:pPr>
              <w:spacing w:after="0"/>
              <w:rPr>
                <w:sz w:val="20"/>
                <w:szCs w:val="20"/>
                <w:color w:val="auto"/>
              </w:rPr>
            </w:pPr>
            <w:r>
              <w:rPr>
                <w:rFonts w:ascii="Arial" w:cs="Arial" w:eastAsia="Arial" w:hAnsi="Arial"/>
                <w:sz w:val="16"/>
                <w:szCs w:val="16"/>
                <w:color w:val="131E29"/>
              </w:rPr>
              <w:t>Exhibits 101)</w:t>
            </w:r>
          </w:p>
        </w:tc>
        <w:tc>
          <w:tcPr>
            <w:tcW w:w="760" w:type="dxa"/>
            <w:vAlign w:val="bottom"/>
            <w:shd w:val="clear" w:color="auto" w:fill="D2DCE5"/>
          </w:tcPr>
          <w:p>
            <w:pPr>
              <w:spacing w:after="0"/>
              <w:rPr>
                <w:sz w:val="20"/>
                <w:szCs w:val="20"/>
                <w:color w:val="auto"/>
              </w:rPr>
            </w:pPr>
          </w:p>
        </w:tc>
        <w:tc>
          <w:tcPr>
            <w:tcW w:w="1240" w:type="dxa"/>
            <w:vAlign w:val="bottom"/>
            <w:shd w:val="clear" w:color="auto" w:fill="D2DCE5"/>
          </w:tcPr>
          <w:p>
            <w:pPr>
              <w:spacing w:after="0"/>
              <w:rPr>
                <w:sz w:val="20"/>
                <w:szCs w:val="20"/>
                <w:color w:val="auto"/>
              </w:rPr>
            </w:pPr>
          </w:p>
        </w:tc>
        <w:tc>
          <w:tcPr>
            <w:tcW w:w="8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0" w:type="dxa"/>
            <w:vAlign w:val="bottom"/>
            <w:shd w:val="clear" w:color="auto" w:fill="D2DCE5"/>
          </w:tcPr>
          <w:p>
            <w:pPr>
              <w:spacing w:after="0"/>
              <w:rPr>
                <w:sz w:val="20"/>
                <w:szCs w:val="20"/>
                <w:color w:val="auto"/>
              </w:rPr>
            </w:pPr>
          </w:p>
        </w:tc>
        <w:tc>
          <w:tcPr>
            <w:tcW w:w="12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69" w:lineRule="exact"/>
        <w:rPr>
          <w:sz w:val="20"/>
          <w:szCs w:val="20"/>
          <w:color w:val="auto"/>
        </w:rPr>
      </w:pPr>
    </w:p>
    <w:p>
      <w:pPr>
        <w:ind w:left="180" w:hanging="172"/>
        <w:spacing w:after="0" w:line="285" w:lineRule="auto"/>
        <w:tabs>
          <w:tab w:leader="none" w:pos="238"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60" w:type="dxa"/>
            <w:vAlign w:val="bottom"/>
          </w:tcPr>
          <w:p>
            <w:pPr>
              <w:spacing w:after="0"/>
              <w:rPr>
                <w:sz w:val="21"/>
                <w:szCs w:val="21"/>
                <w:color w:val="auto"/>
              </w:rPr>
            </w:pPr>
          </w:p>
        </w:tc>
        <w:tc>
          <w:tcPr>
            <w:tcW w:w="8580" w:type="dxa"/>
            <w:vAlign w:val="bottom"/>
            <w:gridSpan w:val="3"/>
          </w:tcPr>
          <w:p>
            <w:pPr>
              <w:ind w:left="3260"/>
              <w:spacing w:after="0"/>
              <w:rPr>
                <w:sz w:val="20"/>
                <w:szCs w:val="20"/>
                <w:color w:val="auto"/>
              </w:rPr>
            </w:pPr>
            <w:r>
              <w:rPr>
                <w:rFonts w:ascii="Arial" w:cs="Arial" w:eastAsia="Arial" w:hAnsi="Arial"/>
                <w:sz w:val="18"/>
                <w:szCs w:val="18"/>
                <w:b w:val="1"/>
                <w:bCs w:val="1"/>
                <w:color w:val="131E29"/>
              </w:rPr>
              <w:t>DUTCH BROS INC.</w:t>
            </w:r>
          </w:p>
        </w:tc>
      </w:tr>
      <w:tr>
        <w:trPr>
          <w:trHeight w:val="262"/>
        </w:trPr>
        <w:tc>
          <w:tcPr>
            <w:tcW w:w="2660" w:type="dxa"/>
            <w:vAlign w:val="bottom"/>
          </w:tcPr>
          <w:p>
            <w:pPr>
              <w:spacing w:after="0"/>
              <w:rPr>
                <w:sz w:val="22"/>
                <w:szCs w:val="22"/>
                <w:color w:val="auto"/>
              </w:rPr>
            </w:pP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(Registrant)</w:t>
            </w:r>
          </w:p>
        </w:tc>
        <w:tc>
          <w:tcPr>
            <w:tcW w:w="4140" w:type="dxa"/>
            <w:vAlign w:val="bottom"/>
          </w:tcPr>
          <w:p>
            <w:pPr>
              <w:spacing w:after="0"/>
              <w:rPr>
                <w:sz w:val="22"/>
                <w:szCs w:val="22"/>
                <w:color w:val="auto"/>
              </w:rPr>
            </w:pPr>
          </w:p>
        </w:tc>
      </w:tr>
      <w:tr>
        <w:trPr>
          <w:trHeight w:val="597"/>
        </w:trPr>
        <w:tc>
          <w:tcPr>
            <w:tcW w:w="2660" w:type="dxa"/>
            <w:vAlign w:val="bottom"/>
          </w:tcPr>
          <w:p>
            <w:pPr>
              <w:ind w:left="20"/>
              <w:spacing w:after="0"/>
              <w:rPr>
                <w:sz w:val="20"/>
                <w:szCs w:val="20"/>
                <w:color w:val="auto"/>
              </w:rPr>
            </w:pPr>
            <w:r>
              <w:rPr>
                <w:rFonts w:ascii="Arial" w:cs="Arial" w:eastAsia="Arial" w:hAnsi="Arial"/>
                <w:sz w:val="18"/>
                <w:szCs w:val="18"/>
                <w:color w:val="131E29"/>
              </w:rPr>
              <w:t>August 6, 2025</w:t>
            </w: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4140" w:type="dxa"/>
            <w:vAlign w:val="bottom"/>
          </w:tcPr>
          <w:p>
            <w:pPr>
              <w:jc w:val="center"/>
              <w:ind w:right="550"/>
              <w:spacing w:after="0"/>
              <w:rPr>
                <w:sz w:val="20"/>
                <w:szCs w:val="20"/>
                <w:color w:val="auto"/>
              </w:rPr>
            </w:pPr>
            <w:r>
              <w:rPr>
                <w:rFonts w:ascii="Arial" w:cs="Arial" w:eastAsia="Arial" w:hAnsi="Arial"/>
                <w:sz w:val="18"/>
                <w:szCs w:val="18"/>
                <w:b w:val="1"/>
                <w:bCs w:val="1"/>
                <w:color w:val="131E29"/>
                <w:w w:val="99"/>
              </w:rPr>
              <w:t>/s/ Christine Barone</w:t>
            </w:r>
          </w:p>
        </w:tc>
      </w:tr>
      <w:tr>
        <w:trPr>
          <w:trHeight w:val="247"/>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131E29"/>
                <w:w w:val="99"/>
              </w:rPr>
              <w:t>Christine Barone</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w w:val="99"/>
              </w:rPr>
              <w:t>Chief Executive Officer and President</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i w:val="1"/>
                <w:iCs w:val="1"/>
                <w:color w:val="131E29"/>
                <w:w w:val="99"/>
              </w:rPr>
              <w:t>(Principal Executive Officer)</w:t>
            </w:r>
          </w:p>
        </w:tc>
      </w:tr>
      <w:tr>
        <w:trPr>
          <w:trHeight w:val="799"/>
        </w:trPr>
        <w:tc>
          <w:tcPr>
            <w:tcW w:w="2660" w:type="dxa"/>
            <w:vAlign w:val="bottom"/>
          </w:tcPr>
          <w:p>
            <w:pPr>
              <w:ind w:left="20"/>
              <w:spacing w:after="0"/>
              <w:rPr>
                <w:sz w:val="20"/>
                <w:szCs w:val="20"/>
                <w:color w:val="auto"/>
              </w:rPr>
            </w:pPr>
            <w:r>
              <w:rPr>
                <w:rFonts w:ascii="Arial" w:cs="Arial" w:eastAsia="Arial" w:hAnsi="Arial"/>
                <w:sz w:val="18"/>
                <w:szCs w:val="18"/>
                <w:color w:val="131E29"/>
              </w:rPr>
              <w:t>August 6, 2025</w:t>
            </w: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4140" w:type="dxa"/>
            <w:vAlign w:val="bottom"/>
          </w:tcPr>
          <w:p>
            <w:pPr>
              <w:jc w:val="center"/>
              <w:ind w:right="550"/>
              <w:spacing w:after="0"/>
              <w:rPr>
                <w:sz w:val="20"/>
                <w:szCs w:val="20"/>
                <w:color w:val="auto"/>
              </w:rPr>
            </w:pPr>
            <w:r>
              <w:rPr>
                <w:rFonts w:ascii="Arial" w:cs="Arial" w:eastAsia="Arial" w:hAnsi="Arial"/>
                <w:sz w:val="18"/>
                <w:szCs w:val="18"/>
                <w:b w:val="1"/>
                <w:bCs w:val="1"/>
                <w:color w:val="131E29"/>
                <w:w w:val="99"/>
              </w:rPr>
              <w:t>/s/ Joshua Guenser</w:t>
            </w:r>
          </w:p>
        </w:tc>
      </w:tr>
      <w:tr>
        <w:trPr>
          <w:trHeight w:val="247"/>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131E29"/>
                <w:w w:val="99"/>
              </w:rPr>
              <w:t>Joshua Guenser</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rPr>
              <w:t>Chief Financial Officer</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30"/>
              <w:spacing w:after="0"/>
              <w:rPr>
                <w:sz w:val="20"/>
                <w:szCs w:val="20"/>
                <w:color w:val="auto"/>
              </w:rPr>
            </w:pPr>
            <w:r>
              <w:rPr>
                <w:rFonts w:ascii="Arial" w:cs="Arial" w:eastAsia="Arial" w:hAnsi="Arial"/>
                <w:sz w:val="18"/>
                <w:szCs w:val="18"/>
                <w:i w:val="1"/>
                <w:iCs w:val="1"/>
                <w:color w:val="131E29"/>
                <w:w w:val="99"/>
              </w:rPr>
              <w:t>(Principal Financial Officer)</w:t>
            </w:r>
          </w:p>
        </w:tc>
      </w:tr>
      <w:tr>
        <w:trPr>
          <w:trHeight w:val="826"/>
        </w:trPr>
        <w:tc>
          <w:tcPr>
            <w:tcW w:w="2660" w:type="dxa"/>
            <w:vAlign w:val="bottom"/>
          </w:tcPr>
          <w:p>
            <w:pPr>
              <w:ind w:left="20"/>
              <w:spacing w:after="0"/>
              <w:rPr>
                <w:sz w:val="20"/>
                <w:szCs w:val="20"/>
                <w:color w:val="auto"/>
              </w:rPr>
            </w:pPr>
            <w:r>
              <w:rPr>
                <w:rFonts w:ascii="Arial" w:cs="Arial" w:eastAsia="Arial" w:hAnsi="Arial"/>
                <w:sz w:val="18"/>
                <w:szCs w:val="18"/>
                <w:color w:val="131E29"/>
              </w:rPr>
              <w:t>August 6, 2025</w:t>
            </w: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4140" w:type="dxa"/>
            <w:vAlign w:val="bottom"/>
          </w:tcPr>
          <w:p>
            <w:pPr>
              <w:jc w:val="center"/>
              <w:ind w:right="550"/>
              <w:spacing w:after="0"/>
              <w:rPr>
                <w:sz w:val="20"/>
                <w:szCs w:val="20"/>
                <w:color w:val="auto"/>
              </w:rPr>
            </w:pPr>
            <w:r>
              <w:rPr>
                <w:rFonts w:ascii="Arial" w:cs="Arial" w:eastAsia="Arial" w:hAnsi="Arial"/>
                <w:sz w:val="18"/>
                <w:szCs w:val="18"/>
                <w:b w:val="1"/>
                <w:bCs w:val="1"/>
                <w:color w:val="131E29"/>
                <w:w w:val="99"/>
              </w:rPr>
              <w:t>/s/ Nicholas Daddario</w:t>
            </w:r>
          </w:p>
        </w:tc>
      </w:tr>
      <w:tr>
        <w:trPr>
          <w:trHeight w:val="247"/>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131E29"/>
                <w:w w:val="99"/>
              </w:rPr>
              <w:t>Nicholas Daddario</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w w:val="99"/>
              </w:rPr>
              <w:t>Chief Accounting Officer</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i w:val="1"/>
                <w:iCs w:val="1"/>
                <w:color w:val="131E2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54</w:t>
      </w:r>
    </w:p>
    <w:p>
      <w:pPr>
        <w:sectPr>
          <w:pgSz w:w="11900" w:h="16838" w:orient="portrait"/>
          <w:cols w:equalWidth="0" w:num="1">
            <w:col w:w="11240"/>
          </w:cols>
          <w:pgMar w:left="320" w:top="13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131E29"/>
        </w:rPr>
        <w:t>Exhibit 31.1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Christine Barone, certify that:</w:t>
      </w:r>
    </w:p>
    <w:p>
      <w:pPr>
        <w:spacing w:after="0" w:line="17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June 30, 2025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5"/>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5"/>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25"/>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5"/>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5"/>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5"/>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25"/>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August 6, 2025</w:t>
            </w:r>
          </w:p>
        </w:tc>
        <w:tc>
          <w:tcPr>
            <w:tcW w:w="4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3460" w:type="dxa"/>
            <w:vAlign w:val="bottom"/>
          </w:tcPr>
          <w:p>
            <w:pPr>
              <w:spacing w:after="0"/>
              <w:rPr>
                <w:sz w:val="18"/>
                <w:szCs w:val="18"/>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c>
          <w:tcPr>
            <w:tcW w:w="20" w:type="dxa"/>
            <w:vAlign w:val="bottom"/>
          </w:tcPr>
          <w:p>
            <w:pPr>
              <w:spacing w:after="0"/>
              <w:rPr>
                <w:sz w:val="18"/>
                <w:szCs w:val="18"/>
                <w:color w:val="auto"/>
              </w:rPr>
            </w:pPr>
          </w:p>
        </w:tc>
      </w:tr>
      <w:tr>
        <w:trPr>
          <w:trHeight w:val="231"/>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1074"/>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20" w:type="dxa"/>
            <w:vAlign w:val="bottom"/>
            <w:gridSpan w:val="2"/>
          </w:tcPr>
          <w:p>
            <w:pPr>
              <w:ind w:left="308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-306705</wp:posOffset>
            </wp:positionV>
            <wp:extent cx="17145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131E29"/>
        </w:rPr>
        <w:t>Exhibit 31.2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Joshua Guenser, certify that:</w:t>
      </w:r>
    </w:p>
    <w:p>
      <w:pPr>
        <w:spacing w:after="0" w:line="252"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June 30, 2025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92"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August 6, 2025</w:t>
            </w:r>
          </w:p>
        </w:tc>
        <w:tc>
          <w:tcPr>
            <w:tcW w:w="5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/s/ Joshua Guenser</w:t>
            </w:r>
          </w:p>
        </w:tc>
      </w:tr>
      <w:tr>
        <w:trPr>
          <w:trHeight w:val="218"/>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18"/>
                <w:szCs w:val="18"/>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Joshua Guenser</w:t>
            </w:r>
          </w:p>
        </w:tc>
        <w:tc>
          <w:tcPr>
            <w:tcW w:w="60" w:type="dxa"/>
            <w:vAlign w:val="bottom"/>
          </w:tcPr>
          <w:p>
            <w:pPr>
              <w:spacing w:after="0"/>
              <w:rPr>
                <w:sz w:val="18"/>
                <w:szCs w:val="18"/>
                <w:color w:val="auto"/>
              </w:rPr>
            </w:pPr>
          </w:p>
        </w:tc>
      </w:tr>
      <w:tr>
        <w:trPr>
          <w:trHeight w:val="231"/>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1060"/>
        </w:trPr>
        <w:tc>
          <w:tcPr>
            <w:tcW w:w="2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20" w:type="dxa"/>
            <w:vAlign w:val="bottom"/>
            <w:gridSpan w:val="2"/>
          </w:tcPr>
          <w:p>
            <w:pPr>
              <w:ind w:left="390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-298450</wp:posOffset>
            </wp:positionV>
            <wp:extent cx="17145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connection with the Quarterly Report of Dutch Bros Inc. (the Company) on Form 10-Q for the period ended June 30, 2025,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spacing w:after="0" w:line="20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the Report fully complies with the requirements of Section 13(a) or Section 15(d) of the Securities Exchange Act of 1934; and</w:t>
      </w:r>
    </w:p>
    <w:p>
      <w:pPr>
        <w:spacing w:after="0" w:line="27" w:lineRule="exact"/>
        <w:rPr>
          <w:rFonts w:ascii="Arial" w:cs="Arial" w:eastAsia="Arial" w:hAnsi="Arial"/>
          <w:sz w:val="18"/>
          <w:szCs w:val="18"/>
          <w:color w:val="131E29"/>
        </w:rPr>
      </w:pPr>
    </w:p>
    <w:p>
      <w:pPr>
        <w:ind w:left="660" w:hanging="328"/>
        <w:spacing w:after="0" w:line="266"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August 6, 2025</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r>
      <w:tr>
        <w:trPr>
          <w:trHeight w:val="232"/>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August 6, 2025</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Joshua Guenser</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Joshua Guenser</w:t>
            </w:r>
          </w:p>
        </w:tc>
      </w:tr>
      <w:tr>
        <w:trPr>
          <w:trHeight w:val="232"/>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Officer)</w:t>
            </w:r>
          </w:p>
        </w:tc>
      </w:tr>
    </w:tbl>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160"/>
        <w:spacing w:after="0"/>
        <w:rPr>
          <w:sz w:val="20"/>
          <w:szCs w:val="20"/>
          <w:color w:val="auto"/>
        </w:rPr>
      </w:pPr>
      <w:r>
        <w:rPr>
          <w:sz w:val="1"/>
          <w:szCs w:val="1"/>
          <w:color w:val="auto"/>
        </w:rPr>
        <w:drawing>
          <wp:inline distT="0" distB="0" distL="0" distR="0">
            <wp:extent cx="171450" cy="24003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1"/>
      <w:numFmt w:val="bullet"/>
      <w:start w:val="1"/>
    </w:lvl>
  </w:abstractNum>
  <w:abstractNum w:abstractNumId="5">
    <w:nsid w:val="4E6AFB66"/>
    <w:multiLevelType w:val="hybridMultilevel"/>
    <w:lvl w:ilvl="0">
      <w:lvlJc w:val="left"/>
      <w:lvlText w:val="1"/>
      <w:numFmt w:val="bullet"/>
      <w:start w:val="1"/>
    </w:lvl>
  </w:abstractNum>
  <w:abstractNum w:abstractNumId="6">
    <w:nsid w:val="25E45D32"/>
    <w:multiLevelType w:val="hybridMultilevel"/>
    <w:lvl w:ilvl="0">
      <w:lvlJc w:val="left"/>
      <w:lvlText w:val="%1"/>
      <w:numFmt w:val="decimal"/>
      <w:start w:val="239"/>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1"/>
      <w:numFmt w:val="bullet"/>
      <w:start w:val="1"/>
    </w:lvl>
  </w:abstractNum>
  <w:abstractNum w:abstractNumId="10">
    <w:nsid w:val="7C83E458"/>
    <w:multiLevelType w:val="hybridMultilevel"/>
    <w:lvl w:ilvl="0">
      <w:lvlJc w:val="left"/>
      <w:lvlText w:val="1"/>
      <w:numFmt w:val="bullet"/>
      <w:start w:val="1"/>
    </w:lvl>
  </w:abstractNum>
  <w:abstractNum w:abstractNumId="11">
    <w:nsid w:val="257130A3"/>
    <w:multiLevelType w:val="hybridMultilevel"/>
    <w:lvl w:ilvl="0">
      <w:lvlJc w:val="left"/>
      <w:lvlText w:val="1"/>
      <w:numFmt w:val="bullet"/>
      <w:start w:val="1"/>
    </w:lvl>
  </w:abstractNum>
  <w:abstractNum w:abstractNumId="12">
    <w:nsid w:val="62BBD95A"/>
    <w:multiLevelType w:val="hybridMultilevel"/>
    <w:lvl w:ilvl="0">
      <w:lvlJc w:val="left"/>
      <w:lvlText w:val="1"/>
      <w:numFmt w:val="bullet"/>
      <w:start w:val="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2"/>
      <w:numFmt w:val="bullet"/>
      <w:start w:val="1"/>
    </w:lvl>
  </w:abstractNum>
  <w:abstractNum w:abstractNumId="16">
    <w:nsid w:val="721DA317"/>
    <w:multiLevelType w:val="hybridMultilevel"/>
    <w:lvl w:ilvl="0">
      <w:lvlJc w:val="left"/>
      <w:lvlText w:val="3"/>
      <w:numFmt w:val="bullet"/>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5"/>
      <w:numFmt w:val="bullet"/>
      <w:start w:val="1"/>
    </w:lvl>
  </w:abstractNum>
  <w:abstractNum w:abstractNumId="19">
    <w:nsid w:val="6763845E"/>
    <w:multiLevelType w:val="hybridMultilevel"/>
    <w:lvl w:ilvl="0">
      <w:lvlJc w:val="left"/>
      <w:lvlText w:val="6"/>
      <w:numFmt w:val="bullet"/>
      <w:start w:val="1"/>
    </w:lvl>
  </w:abstractNum>
  <w:abstractNum w:abstractNumId="20">
    <w:nsid w:val="75A2A8D4"/>
    <w:multiLevelType w:val="hybridMultilevel"/>
    <w:lvl w:ilvl="0">
      <w:lvlJc w:val="left"/>
      <w:lvlText w:val="1"/>
      <w:numFmt w:val="bullet"/>
      <w:start w:val="1"/>
    </w:lvl>
  </w:abstractNum>
  <w:abstractNum w:abstractNumId="21">
    <w:nsid w:val="8EDBDAB"/>
    <w:multiLevelType w:val="hybridMultilevel"/>
    <w:lvl w:ilvl="0">
      <w:lvlJc w:val="left"/>
      <w:lvlText w:val="1"/>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61" Type="http://schemas.openxmlformats.org/officeDocument/2006/relationships/image" Target="media/image149.jpe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jpeg"/><Relationship Id="rId165" Type="http://schemas.openxmlformats.org/officeDocument/2006/relationships/image" Target="media/image153.jpeg"/><Relationship Id="rId166" Type="http://schemas.openxmlformats.org/officeDocument/2006/relationships/image" Target="media/image154.jpeg"/><Relationship Id="rId167" Type="http://schemas.openxmlformats.org/officeDocument/2006/relationships/image" Target="media/image155.jpeg"/><Relationship Id="rId156" Type="http://schemas.openxmlformats.org/officeDocument/2006/relationships/hyperlink" Target="https://www.sec.gov/Archives/edgar/data/0001866581/000162828021018861/exhibit31-8xk.htm" TargetMode="External"/><Relationship Id="rId157" Type="http://schemas.openxmlformats.org/officeDocument/2006/relationships/hyperlink" Target="https://www.sec.gov/Archives/edgar/data/1866581/000162828021017441/exhibit34-sx1.htm" TargetMode="External"/><Relationship Id="rId158" Type="http://schemas.openxmlformats.org/officeDocument/2006/relationships/hyperlink" Target="https://www.sec.gov/Archives/edgar/data/0001866581/000162828021018116/exhibit41.htm" TargetMode="External"/><Relationship Id="rId159" Type="http://schemas.openxmlformats.org/officeDocument/2006/relationships/hyperlink" Target="https://www.sec.gov/Archives/edgar/data/1866581/000186658125000154/filingversionnickdaddari.htm" TargetMode="External"/><Relationship Id="rId160" Type="http://schemas.openxmlformats.org/officeDocument/2006/relationships/hyperlink" Target="https://www.sec.gov/Archives/edgar/data/1866581/000186658125000174/jpm_dutchbrosx2ndarcax2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2025-08-07T05:25:23Z</dcterms:created>
  <dcterms:modified xsi:type="dcterms:W3CDTF">2025-08-07T05:25:23Z</dcterms:modified>
</cp:coreProperties>
</file>