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04.jpeg" ContentType="image/jpeg"/>
  <Override PartName="/word/media/image103.jpeg" ContentType="image/jpeg"/>
  <Override PartName="/word/media/image102.jpeg" ContentType="image/jpeg"/>
  <Override PartName="/word/media/image101.jpeg" ContentType="image/jpeg"/>
  <Override PartName="/word/media/image100.jpeg" ContentType="image/jpeg"/>
  <Override PartName="/word/media/image97.jpeg" ContentType="image/jpeg"/>
  <Override PartName="/word/media/image52.jpeg" ContentType="image/jpeg"/>
  <Override PartName="/word/media/image51.jpeg" ContentType="image/jpeg"/>
  <Override PartName="/word/media/image34.jpeg" ContentType="image/jpeg"/>
  <Override PartName="/word/media/image77.jpeg" ContentType="image/jpeg"/>
  <Override PartName="/word/media/image33.jpeg" ContentType="image/jpeg"/>
  <Override PartName="/word/media/image76.jpeg" ContentType="image/jpeg"/>
  <Override PartName="/word/media/image32.jpeg" ContentType="image/jpeg"/>
  <Override PartName="/word/media/image2.jpeg" ContentType="image/jpeg"/>
  <Override PartName="/word/media/image19.jpeg" ContentType="image/jpeg"/>
  <Override PartName="/word/media/image75.jpeg" ContentType="image/jpeg"/>
  <Override PartName="/word/media/image31.jpeg" ContentType="image/jpeg"/>
  <Override PartName="/word/media/image1.jpeg" ContentType="image/jpeg"/>
  <Override PartName="/word/media/image18.jpeg" ContentType="image/jpeg"/>
  <Override PartName="/word/media/image74.jpeg" ContentType="image/jpeg"/>
  <Override PartName="/word/media/image30.jpeg" ContentType="image/jpeg"/>
  <Override PartName="/word/media/image17.jpeg" ContentType="image/jpeg"/>
  <Override PartName="/word/media/image73.jpeg" ContentType="image/jpeg"/>
  <Override PartName="/word/media/image29.jpeg" ContentType="image/jpeg"/>
  <Override PartName="/word/media/image28.jpeg" ContentType="image/jpeg"/>
  <Override PartName="/word/media/image88.jpeg" ContentType="image/jpeg"/>
  <Override PartName="/word/media/image27.jpeg" ContentType="image/jpeg"/>
  <Override PartName="/word/media/image87.jpeg" ContentType="image/jpeg"/>
  <Override PartName="/word/media/image26.jpeg" ContentType="image/jpeg"/>
  <Override PartName="/word/media/image9.jpeg" ContentType="image/jpeg"/>
  <Override PartName="/word/media/image8.jpeg" ContentType="image/jpeg"/>
  <Override PartName="/word/media/image7.jpeg" ContentType="image/jpeg"/>
  <Override PartName="/word/media/image3.jpeg" ContentType="image/jpeg"/>
  <Override PartName="/word/media/image35.jpeg" ContentType="image/jpeg"/>
  <Override PartName="/word/media/image78.jpeg" ContentType="image/jpeg"/>
  <Override PartName="/word/media/image5.jpeg" ContentType="image/jpeg"/>
  <Override PartName="/word/media/image37.jpeg" ContentType="image/jpeg"/>
  <Override PartName="/word/media/image10.jpeg" ContentType="image/jpeg"/>
  <Override PartName="/word/media/image53.jpeg" ContentType="image/jpeg"/>
  <Override PartName="/word/media/image4.jpeg" ContentType="image/jpeg"/>
  <Override PartName="/word/media/image36.jpeg" ContentType="image/jpeg"/>
  <Override PartName="/word/media/image79.jpeg" ContentType="image/jpeg"/>
  <Override PartName="/word/media/image6.jpeg" ContentType="image/jpeg"/>
  <Override PartName="/word/media/image11.jpeg" ContentType="image/jpeg"/>
  <Override PartName="/word/media/image54.jpeg" ContentType="image/jpeg"/>
  <Override PartName="/word/media/image42.jpeg" ContentType="image/jpeg"/>
  <Override PartName="/word/media/image12.jpeg" ContentType="image/jpeg"/>
  <Override PartName="/word/media/image55.jpeg" ContentType="image/jpeg"/>
  <Override PartName="/word/media/image43.jpeg" ContentType="image/jpeg"/>
  <Override PartName="/word/media/image13.jpeg" ContentType="image/jpeg"/>
  <Override PartName="/word/media/image56.jpeg" ContentType="image/jpeg"/>
  <Override PartName="/word/media/image44.jpeg" ContentType="image/jpeg"/>
  <Override PartName="/word/media/image14.jpeg" ContentType="image/jpeg"/>
  <Override PartName="/word/media/image90.jpeg" ContentType="image/jpeg"/>
  <Override PartName="/word/media/image57.jpeg" ContentType="image/jpeg"/>
  <Override PartName="/word/media/image98.jpeg" ContentType="image/jpeg"/>
  <Override PartName="/word/media/image70.jpeg" ContentType="image/jpeg"/>
  <Override PartName="/word/media/image45.jpeg" ContentType="image/jpeg"/>
  <Override PartName="/word/media/image15.jpeg" ContentType="image/jpeg"/>
  <Override PartName="/word/media/image91.jpeg" ContentType="image/jpeg"/>
  <Override PartName="/word/media/image58.jpeg" ContentType="image/jpeg"/>
  <Override PartName="/word/media/image99.jpeg" ContentType="image/jpeg"/>
  <Override PartName="/word/media/image38.jpeg" ContentType="image/jpeg"/>
  <Override PartName="/word/media/image71.jpeg" ContentType="image/jpeg"/>
  <Override PartName="/word/media/image46.jpeg" ContentType="image/jpeg"/>
  <Override PartName="/word/media/image89.jpeg" ContentType="image/jpeg"/>
  <Override PartName="/word/media/image16.jpeg" ContentType="image/jpeg"/>
  <Override PartName="/word/media/image92.jpeg" ContentType="image/jpeg"/>
  <Override PartName="/word/media/image59.jpeg" ContentType="image/jpeg"/>
  <Override PartName="/word/media/image39.jpeg" ContentType="image/jpeg"/>
  <Override PartName="/word/media/image72.jpeg" ContentType="image/jpeg"/>
  <Override PartName="/word/media/image60.jpeg" ContentType="image/jpeg"/>
  <Override PartName="/word/media/image61.jpeg" ContentType="image/jpeg"/>
  <Override PartName="/word/media/image62.jpeg" ContentType="image/jpeg"/>
  <Override PartName="/word/media/image50.jpeg" ContentType="image/jpeg"/>
  <Override PartName="/word/media/image25.jpeg" ContentType="image/jpeg"/>
  <Override PartName="/word/media/image86.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47.jpeg" ContentType="image/jpeg"/>
  <Override PartName="/word/media/image80.jpeg" ContentType="image/jpeg"/>
  <Override PartName="/word/media/image40.jpeg" ContentType="image/jpeg"/>
  <Override PartName="/word/media/image68.jpeg" ContentType="image/jpeg"/>
  <Override PartName="/word/media/image20.jpeg" ContentType="image/jpeg"/>
  <Override PartName="/word/media/image48.jpeg" ContentType="image/jpeg"/>
  <Override PartName="/word/media/image81.jpeg" ContentType="image/jpeg"/>
  <Override PartName="/word/media/image41.jpeg" ContentType="image/jpeg"/>
  <Override PartName="/word/media/image69.jpeg" ContentType="image/jpeg"/>
  <Override PartName="/word/media/image21.jpeg" ContentType="image/jpeg"/>
  <Override PartName="/word/media/image49.jpeg" ContentType="image/jpeg"/>
  <Override PartName="/word/media/image82.jpeg" ContentType="image/jpeg"/>
  <Override PartName="/word/media/image22.jpeg" ContentType="image/jpeg"/>
  <Override PartName="/word/media/image83.jpeg" ContentType="image/jpeg"/>
  <Override PartName="/word/media/image23.jpeg" ContentType="image/jpeg"/>
  <Override PartName="/word/media/image84.jpeg" ContentType="image/jpeg"/>
  <Override PartName="/word/media/image24.jpeg" ContentType="image/jpeg"/>
  <Override PartName="/word/media/image85.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180"/>
        <w:jc w:val="both"/>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4"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lineRule="auto" w:line="288" w:before="0" w:after="0"/>
        <w:rPr>
          <w:rFonts w:ascii="Arial;sans-serif" w:hAnsi="Arial;sans-serif"/>
          <w:b/>
          <w:color w:val="131E29"/>
          <w:sz w:val="20"/>
        </w:rPr>
      </w:pPr>
      <w:r>
        <w:rPr>
          <w:rFonts w:ascii="Arial;sans-serif" w:hAnsi="Arial;sans-serif"/>
          <w:b/>
          <w:color w:val="131E29"/>
          <w:sz w:val="20"/>
        </w:rPr>
        <w:t>(Mark One)</w:t>
      </w:r>
    </w:p>
    <w:tbl>
      <w:tblPr>
        <w:tblW w:w="10511" w:type="dxa"/>
        <w:jc w:val="left"/>
        <w:tblInd w:w="0" w:type="dxa"/>
        <w:tblCellMar>
          <w:top w:w="28" w:type="dxa"/>
          <w:left w:w="28" w:type="dxa"/>
          <w:bottom w:w="28" w:type="dxa"/>
          <w:right w:w="28" w:type="dxa"/>
        </w:tblCellMar>
      </w:tblPr>
      <w:tblGrid>
        <w:gridCol w:w="124"/>
        <w:gridCol w:w="109"/>
        <w:gridCol w:w="109"/>
        <w:gridCol w:w="2973"/>
        <w:gridCol w:w="2973"/>
        <w:gridCol w:w="422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422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131E29"/>
              </w:rPr>
            </w:pPr>
            <w:r>
              <w:rPr>
                <w:color w:val="131E29"/>
              </w:rPr>
              <w:t>☒</w:t>
            </w:r>
          </w:p>
        </w:tc>
        <w:tc>
          <w:tcPr>
            <w:tcW w:w="1016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color w:val="131E29"/>
                <w:sz w:val="20"/>
              </w:rPr>
            </w:pPr>
            <w:r>
              <w:rPr>
                <w:rFonts w:ascii="Arial;sans-serif" w:hAnsi="Arial;sans-serif"/>
                <w:b/>
                <w:color w:val="131E29"/>
                <w:sz w:val="20"/>
              </w:rPr>
              <w:t>QUARTERLY REPORT PURSUANT TO SECTION 13 OR 15(d) OF THE SECURITIES EXCHANGE ACT OF 1934</w:t>
            </w:r>
          </w:p>
        </w:tc>
      </w:tr>
    </w:tbl>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For the Quarterly Period ended March 31, 2023</w:t>
      </w:r>
    </w:p>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OR</w:t>
      </w:r>
    </w:p>
    <w:tbl>
      <w:tblPr>
        <w:tblW w:w="10497" w:type="dxa"/>
        <w:jc w:val="left"/>
        <w:tblInd w:w="0" w:type="dxa"/>
        <w:tblCellMar>
          <w:top w:w="28" w:type="dxa"/>
          <w:left w:w="28" w:type="dxa"/>
          <w:bottom w:w="28" w:type="dxa"/>
          <w:right w:w="28" w:type="dxa"/>
        </w:tblCellMar>
      </w:tblPr>
      <w:tblGrid>
        <w:gridCol w:w="124"/>
        <w:gridCol w:w="109"/>
        <w:gridCol w:w="109"/>
        <w:gridCol w:w="2972"/>
        <w:gridCol w:w="2972"/>
        <w:gridCol w:w="421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c>
          <w:tcPr>
            <w:tcW w:w="421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color w:val="131E29"/>
              </w:rPr>
            </w:pPr>
            <w:r>
              <w:rPr>
                <w:color w:val="131E29"/>
              </w:rPr>
              <w:t>☐</w:t>
            </w:r>
          </w:p>
        </w:tc>
        <w:tc>
          <w:tcPr>
            <w:tcW w:w="1015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before="0" w:after="0"/>
        <w:jc w:val="center"/>
        <w:rPr/>
      </w:pPr>
      <w:r>
        <w:rPr/>
        <w:drawing>
          <wp:inline distT="0" distB="6350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p>
    <w:p>
      <w:pPr>
        <w:pStyle w:val="TextBody"/>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6007" w:type="dxa"/>
        <w:jc w:val="center"/>
        <w:tblInd w:w="0" w:type="dxa"/>
        <w:tblCellMar>
          <w:top w:w="28" w:type="dxa"/>
          <w:left w:w="28" w:type="dxa"/>
          <w:bottom w:w="28" w:type="dxa"/>
          <w:right w:w="28" w:type="dxa"/>
        </w:tblCellMar>
      </w:tblPr>
      <w:tblGrid>
        <w:gridCol w:w="289"/>
        <w:gridCol w:w="253"/>
        <w:gridCol w:w="253"/>
        <w:gridCol w:w="468"/>
        <w:gridCol w:w="468"/>
        <w:gridCol w:w="468"/>
        <w:gridCol w:w="270"/>
        <w:gridCol w:w="270"/>
        <w:gridCol w:w="287"/>
        <w:gridCol w:w="109"/>
        <w:gridCol w:w="109"/>
        <w:gridCol w:w="109"/>
        <w:gridCol w:w="775"/>
        <w:gridCol w:w="775"/>
        <w:gridCol w:w="1104"/>
      </w:tblGrid>
      <w:tr>
        <w:trPr/>
        <w:tc>
          <w:tcPr>
            <w:tcW w:w="28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8"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20"/>
              </w:rPr>
            </w:pPr>
            <w:r>
              <w:rPr>
                <w:rFonts w:ascii="Arial;sans-serif" w:hAnsi="Arial;sans-serif"/>
                <w:b/>
                <w:color w:val="131E29"/>
                <w:sz w:val="20"/>
              </w:rPr>
              <w:t>110 SW 4th 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4"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Arial;sans-serif" w:hAnsi="Arial;sans-serif"/>
                <w:b/>
                <w:color w:val="131E29"/>
                <w:sz w:val="20"/>
              </w:rPr>
            </w:pPr>
            <w:r>
              <w:rPr>
                <w:rFonts w:ascii="Arial;sans-serif" w:hAnsi="Arial;sans-serif"/>
                <w:b/>
                <w:color w:val="131E29"/>
                <w:sz w:val="20"/>
              </w:rPr>
              <w:t xml:space="preserve">Grants Pass, </w:t>
            </w:r>
          </w:p>
        </w:tc>
        <w:tc>
          <w:tcPr>
            <w:tcW w:w="8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Oregon</w:t>
            </w:r>
          </w:p>
        </w:tc>
        <w:tc>
          <w:tcPr>
            <w:tcW w:w="327" w:type="dxa"/>
            <w:gridSpan w:val="3"/>
            <w:tcBorders/>
            <w:shd w:fill="auto" w:val="clear"/>
            <w:tcMar>
              <w:top w:w="0" w:type="dxa"/>
              <w:left w:w="0" w:type="dxa"/>
              <w:bottom w:w="0" w:type="dxa"/>
              <w:right w:w="0" w:type="dxa"/>
            </w:tcMar>
            <w:vAlign w:val="center"/>
          </w:tcPr>
          <w:p>
            <w:pPr>
              <w:pStyle w:val="TableContents"/>
              <w:spacing w:before="0" w:after="180"/>
              <w:jc w:val="center"/>
              <w:rPr/>
            </w:pPr>
            <w:r>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97526</w:t>
            </w:r>
          </w:p>
        </w:tc>
      </w:tr>
      <w:tr>
        <w:trPr/>
        <w:tc>
          <w:tcPr>
            <w:tcW w:w="3026" w:type="dxa"/>
            <w:gridSpan w:val="9"/>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4"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spacing w:lineRule="auto" w:line="288" w:before="0" w:after="0"/>
        <w:jc w:val="center"/>
        <w:rPr>
          <w:rFonts w:ascii="Arial;sans-serif" w:hAnsi="Arial;sans-serif"/>
          <w:b/>
          <w:color w:val="131E29"/>
          <w:sz w:val="20"/>
        </w:rPr>
      </w:pPr>
      <w:r>
        <w:rPr>
          <w:rFonts w:ascii="Arial;sans-serif" w:hAnsi="Arial;sans-serif"/>
          <w:b/>
          <w:color w:val="131E29"/>
          <w:sz w:val="20"/>
        </w:rPr>
        <w:t>(541) 955-4700</w:t>
      </w:r>
    </w:p>
    <w:p>
      <w:pPr>
        <w:pStyle w:val="TextBody"/>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spacing w:before="0" w:after="0"/>
        <w:rPr/>
      </w:pPr>
      <w:r>
        <w:rPr/>
      </w:r>
    </w:p>
    <w:p>
      <w:pPr>
        <w:pStyle w:val="TextBody"/>
        <w:spacing w:lineRule="auto" w:line="288" w:before="0" w:after="180"/>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r>
      <w:tr>
        <w:trPr/>
        <w:tc>
          <w:tcPr>
            <w:tcW w:w="264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w:t>
              <w:br/>
              <w:t>par value $0.00001 per share</w:t>
            </w:r>
          </w:p>
        </w:tc>
        <w:tc>
          <w:tcPr>
            <w:tcW w:w="160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spacing w:before="0" w:after="0"/>
        <w:jc w:val="center"/>
        <w:rPr/>
      </w:pPr>
      <w:r>
        <w:rPr/>
      </w:r>
    </w:p>
    <w:p>
      <w:pPr>
        <w:pStyle w:val="TextBody"/>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131E29"/>
          <w:sz w:val="20"/>
        </w:rPr>
        <w:t>x</w:t>
      </w:r>
      <w:r>
        <w:rPr>
          <w:color w:val="131E29"/>
        </w:rPr>
        <w:t>   </w:t>
      </w:r>
      <w:r>
        <w:rPr>
          <w:rFonts w:ascii="Arial;sans-serif" w:hAnsi="Arial;sans-serif"/>
          <w:b w:val="false"/>
          <w:color w:val="131E29"/>
          <w:sz w:val="20"/>
        </w:rPr>
        <w:t>No </w:t>
      </w:r>
      <w:r>
        <w:rPr>
          <w:rFonts w:ascii="Wingdings;sans-serif" w:hAnsi="Wingdings;sans-serif"/>
          <w:b w:val="false"/>
          <w:color w:val="131E29"/>
          <w:sz w:val="20"/>
        </w:rPr>
        <w:t>o</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r>
        <w:trPr/>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Wingdings;sans-serif" w:hAnsi="Wingdings;sans-serif"/>
                <w:b w:val="false"/>
                <w:color w:val="131E29"/>
                <w:sz w:val="20"/>
              </w:rPr>
            </w:pPr>
            <w:r>
              <w:rPr>
                <w:rFonts w:ascii="Wingdings;sans-serif" w:hAnsi="Wingdings;sans-serif"/>
                <w:b w:val="false"/>
                <w:color w:val="131E29"/>
                <w:sz w:val="20"/>
              </w:rPr>
              <w:t>o</w:t>
            </w:r>
          </w:p>
        </w:tc>
      </w:tr>
    </w:tbl>
    <w:p>
      <w:pPr>
        <w:pStyle w:val="TextBody"/>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131E29"/>
          <w:sz w:val="20"/>
        </w:rPr>
        <w:t>o</w:t>
      </w:r>
    </w:p>
    <w:p>
      <w:pPr>
        <w:pStyle w:val="TextBody"/>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rFonts w:ascii="Wingdings;sans-serif" w:hAnsi="Wingdings;sans-serif"/>
          <w:b w:val="false"/>
          <w:color w:val="131E29"/>
          <w:sz w:val="20"/>
        </w:rPr>
        <w:t>o</w:t>
      </w:r>
      <w:r>
        <w:rPr>
          <w:color w:val="131E29"/>
        </w:rPr>
        <w:t>  </w:t>
      </w:r>
      <w:r>
        <w:rPr>
          <w:rFonts w:ascii="Arial;sans-serif" w:hAnsi="Arial;sans-serif"/>
          <w:b w:val="false"/>
          <w:color w:val="131E29"/>
          <w:sz w:val="20"/>
        </w:rPr>
        <w:t>No  </w:t>
      </w:r>
      <w:r>
        <w:rPr>
          <w:rFonts w:ascii="Wingdings;sans-serif" w:hAnsi="Wingdings;sans-serif"/>
          <w:b w:val="false"/>
          <w:color w:val="131E29"/>
          <w:sz w:val="20"/>
        </w:rPr>
        <w:t>x</w:t>
      </w:r>
    </w:p>
    <w:p>
      <w:pPr>
        <w:pStyle w:val="TextBody"/>
        <w:spacing w:lineRule="auto" w:line="288" w:before="0" w:after="0"/>
        <w:rPr>
          <w:rFonts w:ascii="Arial;sans-serif" w:hAnsi="Arial;sans-serif"/>
          <w:b w:val="false"/>
          <w:color w:val="131E29"/>
          <w:sz w:val="20"/>
        </w:rPr>
      </w:pPr>
      <w:r>
        <w:rPr>
          <w:rFonts w:ascii="Arial;sans-serif" w:hAnsi="Arial;sans-serif"/>
          <w:b w:val="false"/>
          <w:color w:val="131E29"/>
          <w:sz w:val="20"/>
        </w:rPr>
        <w:t>As of May 1, 2023, the registrant’s outstanding shares of common stock were as follows:</w:t>
      </w:r>
    </w:p>
    <w:p>
      <w:pPr>
        <w:pStyle w:val="TextBody"/>
        <w:spacing w:before="0" w:after="0"/>
        <w:jc w:val="center"/>
        <w:rPr/>
      </w:pPr>
      <w:r>
        <w:rPr/>
      </w:r>
    </w:p>
    <w:tbl>
      <w:tblPr>
        <w:tblW w:w="3271" w:type="dxa"/>
        <w:jc w:val="center"/>
        <w:tblInd w:w="0" w:type="dxa"/>
        <w:tblCellMar>
          <w:top w:w="28" w:type="dxa"/>
          <w:left w:w="28" w:type="dxa"/>
          <w:bottom w:w="28" w:type="dxa"/>
          <w:right w:w="28" w:type="dxa"/>
        </w:tblCellMar>
      </w:tblPr>
      <w:tblGrid>
        <w:gridCol w:w="781"/>
        <w:gridCol w:w="687"/>
        <w:gridCol w:w="692"/>
        <w:gridCol w:w="325"/>
        <w:gridCol w:w="325"/>
        <w:gridCol w:w="461"/>
      </w:tblGrid>
      <w:tr>
        <w:trPr/>
        <w:tc>
          <w:tcPr>
            <w:tcW w:w="7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11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45,666,036</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64,699,136</w:t>
            </w:r>
          </w:p>
        </w:tc>
      </w:tr>
      <w:tr>
        <w:trPr/>
        <w:tc>
          <w:tcPr>
            <w:tcW w:w="216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11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41,056,429</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D common stock</w:t>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12,411,419</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 w:space="0" w:color="000000"/>
              <w:bottom w:val="single" w:sz="4"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2"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before="0" w:after="180"/>
        <w:rPr/>
      </w:pPr>
      <w:r>
        <w:rPr/>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QUARTERLY REPORT ON FORM 10-Q</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TABLE OF CONTENTS</w:t>
      </w:r>
    </w:p>
    <w:tbl>
      <w:tblPr>
        <w:tblW w:w="7957" w:type="dxa"/>
        <w:jc w:val="left"/>
        <w:tblInd w:w="0" w:type="dxa"/>
        <w:tblCellMar>
          <w:top w:w="28" w:type="dxa"/>
          <w:left w:w="28" w:type="dxa"/>
          <w:bottom w:w="28" w:type="dxa"/>
          <w:right w:w="28" w:type="dxa"/>
        </w:tblCellMar>
      </w:tblPr>
      <w:tblGrid>
        <w:gridCol w:w="483"/>
        <w:gridCol w:w="422"/>
        <w:gridCol w:w="422"/>
        <w:gridCol w:w="1976"/>
        <w:gridCol w:w="1976"/>
        <w:gridCol w:w="2062"/>
        <w:gridCol w:w="180"/>
        <w:gridCol w:w="180"/>
        <w:gridCol w:w="256"/>
      </w:tblGrid>
      <w:tr>
        <w:trPr/>
        <w:tc>
          <w:tcPr>
            <w:tcW w:w="483"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41" w:type="dxa"/>
            <w:gridSpan w:val="6"/>
            <w:tcBorders>
              <w:bottom w:val="single" w:sz="8" w:space="0" w:color="D2DCE5"/>
            </w:tcBorders>
            <w:shd w:fill="auto" w:val="clear"/>
            <w:tcMar>
              <w:top w:w="0" w:type="dxa"/>
              <w:left w:w="0" w:type="dxa"/>
              <w:bottom w:w="30" w:type="dxa"/>
              <w:right w:w="0" w:type="dxa"/>
            </w:tcMar>
            <w:vAlign w:val="center"/>
          </w:tcPr>
          <w:p>
            <w:pPr>
              <w:pStyle w:val="TableContents"/>
              <w:spacing w:lineRule="auto" w:line="288" w:before="0" w:after="180"/>
              <w:jc w:val="left"/>
              <w:rPr/>
            </w:pPr>
            <w:hyperlink w:anchor="i9d17d679e8a944b29dbd8577bcf2de08_22">
              <w:r>
                <w:rPr>
                  <w:rStyle w:val="InternetLink"/>
                  <w:rFonts w:ascii="Arial;sans-serif" w:hAnsi="Arial;sans-serif"/>
                  <w:b w:val="false"/>
                  <w:strike w:val="false"/>
                  <w:dstrike w:val="false"/>
                  <w:color w:val="131E29"/>
                  <w:sz w:val="20"/>
                  <w:u w:val="none"/>
                  <w:effect w:val="none"/>
                </w:rPr>
                <w:t>Glossary</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9d17d679e8a944b29dbd8577bcf2de08_22">
              <w:r>
                <w:rPr>
                  <w:rStyle w:val="InternetLink"/>
                  <w:rFonts w:ascii="Arial;sans-serif" w:hAnsi="Arial;sans-serif"/>
                  <w:b w:val="false"/>
                  <w:strike w:val="false"/>
                  <w:dstrike w:val="false"/>
                  <w:color w:val="131E29"/>
                  <w:sz w:val="20"/>
                  <w:u w:val="none"/>
                  <w:effect w:val="none"/>
                </w:rPr>
                <w:t>1</w:t>
              </w:r>
            </w:hyperlink>
          </w:p>
        </w:tc>
      </w:tr>
      <w:tr>
        <w:trPr/>
        <w:tc>
          <w:tcPr>
            <w:tcW w:w="7341" w:type="dxa"/>
            <w:gridSpan w:val="6"/>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31">
              <w:r>
                <w:rPr>
                  <w:rStyle w:val="InternetLink"/>
                  <w:rFonts w:ascii="Arial;sans-serif" w:hAnsi="Arial;sans-serif"/>
                  <w:b w:val="false"/>
                  <w:strike w:val="false"/>
                  <w:dstrike w:val="false"/>
                  <w:color w:val="131E29"/>
                  <w:sz w:val="20"/>
                  <w:u w:val="none"/>
                  <w:effect w:val="none"/>
                </w:rPr>
                <w:t>Forward-Looking Statements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31">
              <w:r>
                <w:rPr>
                  <w:rStyle w:val="InternetLink"/>
                  <w:rFonts w:ascii="Arial;sans-serif" w:hAnsi="Arial;sans-serif"/>
                  <w:b w:val="false"/>
                  <w:strike w:val="false"/>
                  <w:dstrike w:val="false"/>
                  <w:color w:val="131E29"/>
                  <w:sz w:val="20"/>
                  <w:u w:val="none"/>
                  <w:effect w:val="none"/>
                </w:rPr>
                <w:t>2</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6098"/>
                <w:sz w:val="20"/>
              </w:rPr>
            </w:pPr>
            <w:r>
              <w:rPr>
                <w:rFonts w:ascii="Arial;sans-serif" w:hAnsi="Arial;sans-serif"/>
                <w:b/>
                <w:color w:val="006098"/>
                <w:sz w:val="20"/>
              </w:rPr>
              <w:t>PART I</w:t>
            </w:r>
          </w:p>
        </w:tc>
        <w:tc>
          <w:tcPr>
            <w:tcW w:w="601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9d17d679e8a944b29dbd8577bcf2de08_445">
              <w:r>
                <w:rPr>
                  <w:rStyle w:val="InternetLink"/>
                  <w:rFonts w:ascii="Arial;sans-serif" w:hAnsi="Arial;sans-serif"/>
                  <w:b/>
                  <w:strike w:val="false"/>
                  <w:dstrike w:val="false"/>
                  <w:color w:val="006098"/>
                  <w:sz w:val="20"/>
                  <w:u w:val="none"/>
                  <w:effect w:val="none"/>
                </w:rPr>
                <w:t>FINANCIAL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9d17d679e8a944b29dbd8577bcf2de08_445">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01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9d17d679e8a944b29dbd8577bcf2de08_457">
              <w:r>
                <w:rPr>
                  <w:rStyle w:val="InternetLink"/>
                  <w:rFonts w:ascii="Arial;sans-serif" w:hAnsi="Arial;sans-serif"/>
                  <w:b w:val="false"/>
                  <w:strike w:val="false"/>
                  <w:dstrike w:val="false"/>
                  <w:color w:val="131E29"/>
                  <w:sz w:val="20"/>
                  <w:u w:val="none"/>
                  <w:effect w:val="none"/>
                </w:rPr>
                <w:t>Financial Statements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9d17d679e8a944b29dbd8577bcf2de08_457">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466">
              <w:r>
                <w:rPr>
                  <w:rStyle w:val="InternetLink"/>
                  <w:rFonts w:ascii="Arial;sans-serif" w:hAnsi="Arial;sans-serif"/>
                  <w:b w:val="false"/>
                  <w:strike w:val="false"/>
                  <w:dstrike w:val="false"/>
                  <w:color w:val="131E29"/>
                  <w:sz w:val="20"/>
                  <w:u w:val="none"/>
                  <w:effect w:val="none"/>
                </w:rPr>
                <w:t>Condensed Consolidated Balance Sheets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466">
              <w:r>
                <w:rPr>
                  <w:rStyle w:val="InternetLink"/>
                  <w:rFonts w:ascii="Arial;sans-serif" w:hAnsi="Arial;sans-serif"/>
                  <w:b w:val="false"/>
                  <w:strike w:val="false"/>
                  <w:dstrike w:val="false"/>
                  <w:color w:val="131E29"/>
                  <w:sz w:val="20"/>
                  <w:u w:val="none"/>
                  <w:effect w:val="none"/>
                </w:rPr>
                <w:t>3</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472">
              <w:r>
                <w:rPr>
                  <w:rStyle w:val="InternetLink"/>
                  <w:rFonts w:ascii="Arial;sans-serif" w:hAnsi="Arial;sans-serif"/>
                  <w:b w:val="false"/>
                  <w:strike w:val="false"/>
                  <w:dstrike w:val="false"/>
                  <w:color w:val="131E29"/>
                  <w:sz w:val="20"/>
                  <w:u w:val="none"/>
                  <w:effect w:val="none"/>
                </w:rPr>
                <w:t>Condensed Consolidated Statements of Operations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472">
              <w:r>
                <w:rPr>
                  <w:rStyle w:val="InternetLink"/>
                  <w:rFonts w:ascii="Arial;sans-serif" w:hAnsi="Arial;sans-serif"/>
                  <w:b w:val="false"/>
                  <w:strike w:val="false"/>
                  <w:dstrike w:val="false"/>
                  <w:color w:val="131E29"/>
                  <w:sz w:val="20"/>
                  <w:u w:val="none"/>
                  <w:effect w:val="none"/>
                </w:rPr>
                <w:t>5</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475">
              <w:r>
                <w:rPr>
                  <w:rStyle w:val="InternetLink"/>
                </w:rPr>
                <w:t xml:space="preserve">Condensed Consolidated Statements of Comprehensive </w:t>
              </w:r>
            </w:hyperlink>
            <w:hyperlink w:anchor="i9d17d679e8a944b29dbd8577bcf2de08_475">
              <w:r>
                <w:rPr>
                  <w:rStyle w:val="InternetLink"/>
                </w:rPr>
                <w:t>Loss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475">
              <w:r>
                <w:rPr>
                  <w:rStyle w:val="InternetLink"/>
                  <w:rFonts w:ascii="Arial;sans-serif" w:hAnsi="Arial;sans-serif"/>
                  <w:b w:val="false"/>
                  <w:strike w:val="false"/>
                  <w:dstrike w:val="false"/>
                  <w:color w:val="131E29"/>
                  <w:sz w:val="20"/>
                  <w:u w:val="none"/>
                  <w:effect w:val="none"/>
                </w:rPr>
                <w:t>6</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478">
              <w:r>
                <w:rPr>
                  <w:rStyle w:val="InternetLink"/>
                </w:rPr>
                <w:t>Condensed Consolidated Statements of Stockholders’</w:t>
              </w:r>
            </w:hyperlink>
            <w:hyperlink w:anchor="i9d17d679e8a944b29dbd8577bcf2de08_478">
              <w:r>
                <w:rPr>
                  <w:rStyle w:val="InternetLink"/>
                </w:rPr>
                <w:t xml:space="preserve"> Equity</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478">
              <w:r>
                <w:rPr>
                  <w:rStyle w:val="InternetLink"/>
                  <w:rFonts w:ascii="Arial;sans-serif" w:hAnsi="Arial;sans-serif"/>
                  <w:b w:val="false"/>
                  <w:strike w:val="false"/>
                  <w:dstrike w:val="false"/>
                  <w:color w:val="131E29"/>
                  <w:sz w:val="20"/>
                  <w:u w:val="none"/>
                  <w:effect w:val="none"/>
                </w:rPr>
                <w:t>7</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505">
              <w:r>
                <w:rPr>
                  <w:rStyle w:val="InternetLink"/>
                  <w:rFonts w:ascii="Arial;sans-serif" w:hAnsi="Arial;sans-serif"/>
                  <w:b w:val="false"/>
                  <w:strike w:val="false"/>
                  <w:dstrike w:val="false"/>
                  <w:color w:val="131E29"/>
                  <w:sz w:val="20"/>
                  <w:u w:val="none"/>
                  <w:effect w:val="none"/>
                </w:rPr>
                <w:t>Condensed Consolidated Statements of Cash Flows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505">
              <w:r>
                <w:rPr>
                  <w:rStyle w:val="InternetLink"/>
                  <w:rFonts w:ascii="Arial;sans-serif" w:hAnsi="Arial;sans-serif"/>
                  <w:b w:val="false"/>
                  <w:strike w:val="false"/>
                  <w:dstrike w:val="false"/>
                  <w:color w:val="131E29"/>
                  <w:sz w:val="20"/>
                  <w:u w:val="none"/>
                  <w:effect w:val="none"/>
                </w:rPr>
                <w:t>9</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511">
              <w:r>
                <w:rPr>
                  <w:rStyle w:val="InternetLink"/>
                  <w:rFonts w:ascii="Arial;sans-serif" w:hAnsi="Arial;sans-serif"/>
                  <w:b w:val="false"/>
                  <w:strike w:val="false"/>
                  <w:dstrike w:val="false"/>
                  <w:color w:val="131E29"/>
                  <w:sz w:val="20"/>
                  <w:u w:val="none"/>
                  <w:effect w:val="none"/>
                </w:rPr>
                <w:t>Notes to Condensed Consolidated Financial Statements</w:t>
              </w:r>
            </w:hyperlink>
            <w:r>
              <w:rPr>
                <w:rFonts w:ascii="Arial;sans-serif" w:hAnsi="Arial;sans-serif"/>
                <w:b w:val="false"/>
                <w:color w:val="131E29"/>
                <w:sz w:val="20"/>
              </w:rPr>
              <w:t xml:space="preserve"> (Unaudited)</w:t>
            </w:r>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511">
              <w:r>
                <w:rPr>
                  <w:rStyle w:val="InternetLink"/>
                  <w:rFonts w:ascii="Arial;sans-serif" w:hAnsi="Arial;sans-serif"/>
                  <w:b w:val="false"/>
                  <w:strike w:val="false"/>
                  <w:dstrike w:val="false"/>
                  <w:color w:val="131E29"/>
                  <w:sz w:val="20"/>
                  <w:u w:val="none"/>
                  <w:effect w:val="none"/>
                </w:rPr>
                <w:t>11</w:t>
              </w:r>
            </w:hyperlink>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pPr>
            <w:hyperlink w:anchor="i9d17d679e8a944b29dbd8577bcf2de08_172">
              <w:r>
                <w:rPr>
                  <w:rStyle w:val="InternetLink"/>
                  <w:rFonts w:ascii="Arial;sans-serif" w:hAnsi="Arial;sans-serif"/>
                  <w:b w:val="false"/>
                  <w:strike w:val="false"/>
                  <w:dstrike w:val="false"/>
                  <w:color w:val="131E29"/>
                  <w:sz w:val="20"/>
                  <w:u w:val="none"/>
                  <w:effect w:val="none"/>
                </w:rPr>
                <w:t xml:space="preserve">Management’s Discussion and Analysis of Financial Condition and </w:t>
              </w:r>
            </w:hyperlink>
          </w:p>
          <w:p>
            <w:pPr>
              <w:pStyle w:val="TableContents"/>
              <w:spacing w:lineRule="auto" w:line="288" w:before="0" w:after="0"/>
              <w:jc w:val="left"/>
              <w:rPr/>
            </w:pPr>
            <w:hyperlink w:anchor="i9d17d679e8a944b29dbd8577bcf2de08_172">
              <w:r>
                <w:rPr>
                  <w:rStyle w:val="InternetLink"/>
                  <w:rFonts w:ascii="Arial;sans-serif" w:hAnsi="Arial;sans-serif"/>
                  <w:b w:val="false"/>
                  <w:strike w:val="false"/>
                  <w:dstrike w:val="false"/>
                  <w:color w:val="131E29"/>
                  <w:sz w:val="20"/>
                  <w:u w:val="none"/>
                  <w:effect w:val="none"/>
                </w:rPr>
                <w:t>Results of Operations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172">
              <w:r>
                <w:rPr>
                  <w:rStyle w:val="InternetLink"/>
                  <w:rFonts w:ascii="Arial;sans-serif" w:hAnsi="Arial;sans-serif"/>
                  <w:b w:val="false"/>
                  <w:strike w:val="false"/>
                  <w:dstrike w:val="false"/>
                  <w:color w:val="131E29"/>
                  <w:sz w:val="20"/>
                  <w:u w:val="none"/>
                  <w:effect w:val="none"/>
                </w:rPr>
                <w:t>29</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448">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448">
              <w:r>
                <w:rPr>
                  <w:rStyle w:val="InternetLink"/>
                  <w:rFonts w:ascii="Arial;sans-serif" w:hAnsi="Arial;sans-serif"/>
                  <w:b w:val="false"/>
                  <w:strike w:val="false"/>
                  <w:dstrike w:val="false"/>
                  <w:color w:val="131E29"/>
                  <w:sz w:val="20"/>
                  <w:u w:val="none"/>
                  <w:effect w:val="none"/>
                </w:rPr>
                <w:t>44</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826">
              <w:r>
                <w:rPr>
                  <w:rStyle w:val="InternetLink"/>
                  <w:rFonts w:ascii="Arial;sans-serif" w:hAnsi="Arial;sans-serif"/>
                  <w:b w:val="false"/>
                  <w:strike w:val="false"/>
                  <w:dstrike w:val="false"/>
                  <w:color w:val="131E29"/>
                  <w:sz w:val="20"/>
                  <w:u w:val="none"/>
                  <w:effect w:val="none"/>
                </w:rPr>
                <w:t>Controls and Procedures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826">
              <w:r>
                <w:rPr>
                  <w:rStyle w:val="InternetLink"/>
                  <w:rFonts w:ascii="Arial;sans-serif" w:hAnsi="Arial;sans-serif"/>
                  <w:b w:val="false"/>
                  <w:strike w:val="false"/>
                  <w:dstrike w:val="false"/>
                  <w:color w:val="131E29"/>
                  <w:sz w:val="20"/>
                  <w:u w:val="none"/>
                  <w:effect w:val="none"/>
                </w:rPr>
                <w:t>46</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006098"/>
                <w:sz w:val="20"/>
              </w:rPr>
            </w:pPr>
            <w:r>
              <w:rPr>
                <w:rFonts w:ascii="Arial;sans-serif" w:hAnsi="Arial;sans-serif"/>
                <w:b/>
                <w:color w:val="006098"/>
                <w:sz w:val="20"/>
              </w:rPr>
              <w:t>PART II</w:t>
            </w:r>
          </w:p>
        </w:tc>
        <w:tc>
          <w:tcPr>
            <w:tcW w:w="601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9d17d679e8a944b29dbd8577bcf2de08_88">
              <w:r>
                <w:rPr>
                  <w:rStyle w:val="InternetLink"/>
                  <w:rFonts w:ascii="Arial;sans-serif" w:hAnsi="Arial;sans-serif"/>
                  <w:b/>
                  <w:strike w:val="false"/>
                  <w:dstrike w:val="false"/>
                  <w:color w:val="006098"/>
                  <w:sz w:val="20"/>
                  <w:u w:val="none"/>
                  <w:effect w:val="none"/>
                </w:rPr>
                <w:t>OTHER INFORMATION</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88">
              <w:r>
                <w:rPr>
                  <w:rStyle w:val="InternetLink"/>
                  <w:rFonts w:ascii="Arial;sans-serif" w:hAnsi="Arial;sans-serif"/>
                  <w:b w:val="false"/>
                  <w:strike w:val="false"/>
                  <w:dstrike w:val="false"/>
                  <w:color w:val="000000"/>
                  <w:sz w:val="20"/>
                  <w:u w:val="none"/>
                  <w:effect w:val="none"/>
                </w:rPr>
                <w:t>48</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w:t>
            </w:r>
          </w:p>
        </w:tc>
        <w:tc>
          <w:tcPr>
            <w:tcW w:w="601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9d17d679e8a944b29dbd8577bcf2de08_130">
              <w:r>
                <w:rPr>
                  <w:rStyle w:val="InternetLink"/>
                  <w:rFonts w:ascii="Arial;sans-serif" w:hAnsi="Arial;sans-serif"/>
                  <w:b w:val="false"/>
                  <w:strike w:val="false"/>
                  <w:dstrike w:val="false"/>
                  <w:color w:val="131E29"/>
                  <w:sz w:val="20"/>
                  <w:u w:val="none"/>
                  <w:effect w:val="none"/>
                </w:rPr>
                <w:t>Legal Proceedings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9d17d679e8a944b29dbd8577bcf2de08_130">
              <w:r>
                <w:rPr>
                  <w:rStyle w:val="InternetLink"/>
                  <w:rFonts w:ascii="Arial;sans-serif" w:hAnsi="Arial;sans-serif"/>
                  <w:b w:val="false"/>
                  <w:strike w:val="false"/>
                  <w:dstrike w:val="false"/>
                  <w:color w:val="131E29"/>
                  <w:sz w:val="20"/>
                  <w:u w:val="none"/>
                  <w:effect w:val="none"/>
                </w:rPr>
                <w:t>48</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1A.</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91">
              <w:r>
                <w:rPr>
                  <w:rStyle w:val="InternetLink"/>
                  <w:rFonts w:ascii="Arial;sans-serif" w:hAnsi="Arial;sans-serif"/>
                  <w:b w:val="false"/>
                  <w:strike w:val="false"/>
                  <w:dstrike w:val="false"/>
                  <w:color w:val="131E29"/>
                  <w:sz w:val="20"/>
                  <w:u w:val="none"/>
                  <w:effect w:val="none"/>
                </w:rPr>
                <w:t>Risk Factors</w:t>
              </w:r>
            </w:hyperlink>
            <w:r>
              <w:rPr>
                <w:rFonts w:ascii="Arial;sans-serif" w:hAnsi="Arial;sans-serif"/>
                <w:b w:val="false"/>
                <w:color w:val="131E29"/>
                <w:sz w:val="20"/>
              </w:rPr>
              <w:t xml:space="preserve"> </w:t>
            </w:r>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91">
              <w:r>
                <w:rPr>
                  <w:rStyle w:val="InternetLink"/>
                  <w:rFonts w:ascii="Arial;sans-serif" w:hAnsi="Arial;sans-serif"/>
                  <w:b w:val="false"/>
                  <w:strike w:val="false"/>
                  <w:dstrike w:val="false"/>
                  <w:color w:val="131E29"/>
                  <w:sz w:val="20"/>
                  <w:u w:val="none"/>
                  <w:effect w:val="none"/>
                </w:rPr>
                <w:t>48</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2.</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148">
              <w:r>
                <w:rPr>
                  <w:rStyle w:val="InternetLink"/>
                  <w:rFonts w:ascii="Arial;sans-serif" w:hAnsi="Arial;sans-serif"/>
                  <w:b w:val="false"/>
                  <w:strike w:val="false"/>
                  <w:dstrike w:val="false"/>
                  <w:color w:val="131E29"/>
                  <w:sz w:val="20"/>
                  <w:u w:val="none"/>
                  <w:effect w:val="none"/>
                </w:rPr>
                <w:t>Unregistered Sales of Equity Securities and Use of Proceeds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148">
              <w:r>
                <w:rPr>
                  <w:rStyle w:val="InternetLink"/>
                  <w:rFonts w:ascii="Arial;sans-serif" w:hAnsi="Arial;sans-serif"/>
                  <w:b w:val="false"/>
                  <w:strike w:val="false"/>
                  <w:dstrike w:val="false"/>
                  <w:color w:val="131E29"/>
                  <w:sz w:val="20"/>
                  <w:u w:val="none"/>
                  <w:effect w:val="none"/>
                </w:rPr>
                <w:t>92</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3.</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133">
              <w:r>
                <w:rPr>
                  <w:rStyle w:val="InternetLink"/>
                  <w:rFonts w:ascii="Arial;sans-serif" w:hAnsi="Arial;sans-serif"/>
                  <w:b w:val="false"/>
                  <w:strike w:val="false"/>
                  <w:dstrike w:val="false"/>
                  <w:color w:val="131E29"/>
                  <w:sz w:val="20"/>
                  <w:u w:val="none"/>
                  <w:effect w:val="none"/>
                </w:rPr>
                <w:t>Defaults Upon Senior Securities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133">
              <w:r>
                <w:rPr>
                  <w:rStyle w:val="InternetLink"/>
                  <w:rFonts w:ascii="Arial;sans-serif" w:hAnsi="Arial;sans-serif"/>
                  <w:b w:val="false"/>
                  <w:strike w:val="false"/>
                  <w:dstrike w:val="false"/>
                  <w:color w:val="131E29"/>
                  <w:sz w:val="20"/>
                  <w:u w:val="none"/>
                  <w:effect w:val="none"/>
                </w:rPr>
                <w:t>93</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4.</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136">
              <w:r>
                <w:rPr>
                  <w:rStyle w:val="InternetLink"/>
                  <w:rFonts w:ascii="Arial;sans-serif" w:hAnsi="Arial;sans-serif"/>
                  <w:b w:val="false"/>
                  <w:strike w:val="false"/>
                  <w:dstrike w:val="false"/>
                  <w:color w:val="131E29"/>
                  <w:sz w:val="20"/>
                  <w:u w:val="none"/>
                  <w:effect w:val="none"/>
                </w:rPr>
                <w:t>Mine Safety Disclosure</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136">
              <w:r>
                <w:rPr>
                  <w:rStyle w:val="InternetLink"/>
                  <w:rFonts w:ascii="Arial;sans-serif" w:hAnsi="Arial;sans-serif"/>
                  <w:b w:val="false"/>
                  <w:strike w:val="false"/>
                  <w:dstrike w:val="false"/>
                  <w:color w:val="131E29"/>
                  <w:sz w:val="20"/>
                  <w:u w:val="none"/>
                  <w:effect w:val="none"/>
                </w:rPr>
                <w:t>93</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5.</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844">
              <w:r>
                <w:rPr>
                  <w:rStyle w:val="InternetLink"/>
                  <w:rFonts w:ascii="Arial;sans-serif" w:hAnsi="Arial;sans-serif"/>
                  <w:b w:val="false"/>
                  <w:strike w:val="false"/>
                  <w:dstrike w:val="false"/>
                  <w:color w:val="131E29"/>
                  <w:sz w:val="20"/>
                  <w:u w:val="none"/>
                  <w:effect w:val="none"/>
                </w:rPr>
                <w:t>Other Information</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844">
              <w:r>
                <w:rPr>
                  <w:rStyle w:val="InternetLink"/>
                  <w:rFonts w:ascii="Arial;sans-serif" w:hAnsi="Arial;sans-serif"/>
                  <w:b w:val="false"/>
                  <w:strike w:val="false"/>
                  <w:dstrike w:val="false"/>
                  <w:color w:val="131E29"/>
                  <w:sz w:val="20"/>
                  <w:u w:val="none"/>
                  <w:effect w:val="none"/>
                </w:rPr>
                <w:t>93</w:t>
              </w:r>
            </w:hyperlink>
          </w:p>
        </w:tc>
      </w:tr>
      <w:tr>
        <w:trPr/>
        <w:tc>
          <w:tcPr>
            <w:tcW w:w="1327"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ITEM 6.</w:t>
            </w:r>
          </w:p>
        </w:tc>
        <w:tc>
          <w:tcPr>
            <w:tcW w:w="6014"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left"/>
              <w:rPr/>
            </w:pPr>
            <w:hyperlink w:anchor="i9d17d679e8a944b29dbd8577bcf2de08_871">
              <w:r>
                <w:rPr>
                  <w:rStyle w:val="InternetLink"/>
                  <w:rFonts w:ascii="Arial;sans-serif" w:hAnsi="Arial;sans-serif"/>
                  <w:b w:val="false"/>
                  <w:strike w:val="false"/>
                  <w:dstrike w:val="false"/>
                  <w:color w:val="131E29"/>
                  <w:sz w:val="20"/>
                  <w:u w:val="none"/>
                  <w:effect w:val="none"/>
                </w:rPr>
                <w:t>Exhibits</w:t>
              </w:r>
            </w:hyperlink>
          </w:p>
        </w:tc>
        <w:tc>
          <w:tcPr>
            <w:tcW w:w="616" w:type="dxa"/>
            <w:gridSpan w:val="3"/>
            <w:tcBorders>
              <w:top w:val="single" w:sz="8" w:space="0" w:color="D2DCE5"/>
            </w:tcBorders>
            <w:shd w:fill="auto" w:val="clear"/>
            <w:tcMar>
              <w:top w:w="30" w:type="dxa"/>
              <w:left w:w="0" w:type="dxa"/>
              <w:bottom w:w="0" w:type="dxa"/>
              <w:right w:w="0" w:type="dxa"/>
            </w:tcMar>
            <w:vAlign w:val="center"/>
          </w:tcPr>
          <w:p>
            <w:pPr>
              <w:pStyle w:val="TableContents"/>
              <w:spacing w:lineRule="auto" w:line="288" w:before="0" w:after="180"/>
              <w:jc w:val="center"/>
              <w:rPr/>
            </w:pPr>
            <w:hyperlink w:anchor="i9d17d679e8a944b29dbd8577bcf2de08_874">
              <w:r>
                <w:rPr>
                  <w:rStyle w:val="InternetLink"/>
                  <w:rFonts w:ascii="Arial;sans-serif" w:hAnsi="Arial;sans-serif"/>
                  <w:b w:val="false"/>
                  <w:strike w:val="false"/>
                  <w:dstrike w:val="false"/>
                  <w:color w:val="131E29"/>
                  <w:sz w:val="20"/>
                  <w:u w:val="none"/>
                  <w:effect w:val="none"/>
                </w:rPr>
                <w:t>94</w:t>
              </w:r>
            </w:hyperlink>
          </w:p>
        </w:tc>
      </w:tr>
      <w:tr>
        <w:trPr/>
        <w:tc>
          <w:tcPr>
            <w:tcW w:w="1327"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D2DCE5"/>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41" w:type="dxa"/>
            <w:gridSpan w:val="6"/>
            <w:tcBorders/>
            <w:shd w:fill="auto" w:val="clear"/>
            <w:tcMar>
              <w:top w:w="0" w:type="dxa"/>
              <w:left w:w="0" w:type="dxa"/>
              <w:bottom w:w="0" w:type="dxa"/>
              <w:right w:w="0" w:type="dxa"/>
            </w:tcMar>
            <w:vAlign w:val="center"/>
          </w:tcPr>
          <w:p>
            <w:pPr>
              <w:pStyle w:val="TableContents"/>
              <w:spacing w:lineRule="auto" w:line="288" w:before="0" w:after="180"/>
              <w:jc w:val="left"/>
              <w:rPr/>
            </w:pPr>
            <w:hyperlink w:anchor="i9d17d679e8a944b29dbd8577bcf2de08_883">
              <w:r>
                <w:rPr>
                  <w:rStyle w:val="InternetLink"/>
                  <w:rFonts w:ascii="Arial;sans-serif" w:hAnsi="Arial;sans-serif"/>
                  <w:b/>
                  <w:strike w:val="false"/>
                  <w:dstrike w:val="false"/>
                  <w:color w:val="006098"/>
                  <w:sz w:val="20"/>
                  <w:u w:val="none"/>
                  <w:effect w:val="none"/>
                </w:rPr>
                <w:t>SIGNATURES</w:t>
              </w:r>
            </w:hyperlink>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9d17d679e8a944b29dbd8577bcf2de08_883">
              <w:r>
                <w:rPr>
                  <w:rStyle w:val="InternetLink"/>
                  <w:rFonts w:ascii="Arial;sans-serif" w:hAnsi="Arial;sans-serif"/>
                  <w:b w:val="false"/>
                  <w:strike w:val="false"/>
                  <w:dstrike w:val="false"/>
                  <w:color w:val="131E29"/>
                  <w:sz w:val="20"/>
                  <w:u w:val="none"/>
                  <w:effect w:val="none"/>
                </w:rPr>
                <w:t>95</w:t>
              </w:r>
            </w:hyperlink>
          </w:p>
        </w:tc>
      </w:tr>
      <w:tr>
        <w:trPr/>
        <w:tc>
          <w:tcPr>
            <w:tcW w:w="132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2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75260"/>
                <wp:effectExtent l="0" t="0" r="0" b="0"/>
                <wp:wrapNone/>
                <wp:docPr id="3"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both"/>
                        <w:rPr/>
                      </w:pPr>
                      <w:r>
                        <w:rPr/>
                      </w:r>
                    </w:p>
                  </w:txbxContent>
                </v:textbox>
              </v:rect>
            </w:pict>
          </mc:Fallback>
        </mc:AlternateContent>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GLOSSARY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used in this Quarterly Report on Form 10-Q (this Form 10-Q), the terms identified below have the meanings specified below unless otherwise noted or the context requires otherwise. References in this Form 10-Q to “Dutch Bros,” the “Company,” “we,” “us” and “our” refer to Dutch Bros Inc. and its consolidated subsidiaries unless the context indicates otherwise. </w:t>
      </w:r>
    </w:p>
    <w:tbl>
      <w:tblPr>
        <w:tblW w:w="10539" w:type="dxa"/>
        <w:jc w:val="left"/>
        <w:tblInd w:w="0" w:type="dxa"/>
        <w:tblCellMar>
          <w:top w:w="28" w:type="dxa"/>
          <w:left w:w="28" w:type="dxa"/>
          <w:bottom w:w="28" w:type="dxa"/>
          <w:right w:w="28" w:type="dxa"/>
        </w:tblCellMar>
      </w:tblPr>
      <w:tblGrid>
        <w:gridCol w:w="786"/>
        <w:gridCol w:w="657"/>
        <w:gridCol w:w="661"/>
        <w:gridCol w:w="109"/>
        <w:gridCol w:w="109"/>
        <w:gridCol w:w="109"/>
        <w:gridCol w:w="2535"/>
        <w:gridCol w:w="2305"/>
        <w:gridCol w:w="3268"/>
      </w:tblGrid>
      <w:tr>
        <w:trPr/>
        <w:tc>
          <w:tcPr>
            <w:tcW w:w="786"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5" w:type="dxa"/>
            <w:tcBorders/>
            <w:shd w:fill="auto" w:val="clear"/>
            <w:vAlign w:val="center"/>
          </w:tcPr>
          <w:p>
            <w:pPr>
              <w:pStyle w:val="TableContents"/>
              <w:spacing w:before="0" w:after="283"/>
              <w:rPr>
                <w:sz w:val="4"/>
                <w:szCs w:val="4"/>
              </w:rPr>
            </w:pPr>
            <w:r>
              <w:rPr>
                <w:sz w:val="4"/>
                <w:szCs w:val="4"/>
              </w:rPr>
            </w:r>
          </w:p>
        </w:tc>
        <w:tc>
          <w:tcPr>
            <w:tcW w:w="2305" w:type="dxa"/>
            <w:tcBorders/>
            <w:shd w:fill="auto" w:val="clear"/>
            <w:vAlign w:val="center"/>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2104" w:type="dxa"/>
            <w:gridSpan w:val="3"/>
            <w:tcBorders>
              <w:bottom w:val="single" w:sz="8" w:space="0" w:color="D7282F"/>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006098"/>
                <w:sz w:val="20"/>
              </w:rPr>
            </w:pPr>
            <w:r>
              <w:rPr>
                <w:rFonts w:ascii="Arial;sans-serif" w:hAnsi="Arial;sans-serif"/>
                <w:b/>
                <w:color w:val="006098"/>
                <w:sz w:val="20"/>
              </w:rPr>
              <w:t>TERM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bottom w:val="single" w:sz="8" w:space="0" w:color="D7282F"/>
            </w:tcBorders>
            <w:shd w:fill="auto" w:val="clear"/>
            <w:tcMar>
              <w:top w:w="0" w:type="dxa"/>
              <w:left w:w="0" w:type="dxa"/>
              <w:bottom w:w="30" w:type="dxa"/>
              <w:right w:w="0" w:type="dxa"/>
            </w:tcMar>
            <w:vAlign w:val="center"/>
          </w:tcPr>
          <w:p>
            <w:pPr>
              <w:pStyle w:val="TableContents"/>
              <w:spacing w:lineRule="auto" w:line="288" w:before="0" w:after="283"/>
              <w:jc w:val="both"/>
              <w:rPr>
                <w:rFonts w:ascii="Arial;sans-serif" w:hAnsi="Arial;sans-serif"/>
                <w:b/>
                <w:color w:val="006098"/>
                <w:sz w:val="20"/>
              </w:rPr>
            </w:pPr>
            <w:r>
              <w:rPr>
                <w:rFonts w:ascii="Arial;sans-serif" w:hAnsi="Arial;sans-serif"/>
                <w:b/>
                <w:color w:val="006098"/>
                <w:sz w:val="20"/>
              </w:rPr>
              <w:t>DEFINITION</w:t>
            </w:r>
          </w:p>
        </w:tc>
      </w:tr>
      <w:tr>
        <w:trPr/>
        <w:tc>
          <w:tcPr>
            <w:tcW w:w="2104" w:type="dxa"/>
            <w:gridSpan w:val="3"/>
            <w:tcBorders>
              <w:top w:val="single" w:sz="8" w:space="0" w:color="D7282F"/>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AUV</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top w:val="single" w:sz="8" w:space="0" w:color="D7282F"/>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Average Unit Volume</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Blocker Companies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TSG7 A AIV VI Holdings, LLC and DG Coinvestor Blocker, LLC</w:t>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BPS or bps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Basis points which is used to express differences in rates. One basis point is the equivalent of 1/100 of one percent.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Co-Founder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Travis Boersma and affiliated entities over which he maintains voting control.</w:t>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Common Units of Dutch Bros OpCo, as defined in the Second LLC Agreement, issued and outstanding immediately prior to recapitalization.</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Continuing Members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The Co-Founder and the Sponsor</w:t>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Dutch Bros OpCo</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Dutch Mafia, LLC, a Delaware limited liability company and direct subsidiary of Dutch Bros Inc.</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Dutch Bros PubCo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Dutch Bros Inc., a Delaware corporation, the Class A common stock of which is publicly traded on the New York Stock Exchange under the symbol “BROS”.</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8" w:type="dxa"/>
            <w:gridSpan w:val="3"/>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GAAP</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U.S. Generally Accepted Accounting Principles</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IPO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Initial Public Offering</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8" w:type="dxa"/>
            <w:gridSpan w:val="3"/>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N/M</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A not meaningful percentage.</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OpCo Units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Class A common units, Class B voting units and Class C voting units of Dutch Bros OpCo, each as further defined in the Third Amended and Restated Limited Liability Company Agreement of Dutch Bros OpCo, collectively.</w:t>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Pre-IPO Blocker Holders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TSG7 A AIV VI Holdings-A, L.P. and DG Coinvestor Blocker Aggregator, L.P. or their assignees or successors pursuant to the terms of the certain Reorganization Tax Receivable Agreement.</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QSR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Quick Service Restaurant</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8" w:type="dxa"/>
            <w:gridSpan w:val="3"/>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RSA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Awards</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RSU</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Units</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8" w:type="dxa"/>
            <w:gridSpan w:val="3"/>
            <w:tcBorders/>
            <w:shd w:fill="auto" w:val="clear"/>
            <w:vAlign w:val="center"/>
          </w:tcPr>
          <w:p>
            <w:pPr>
              <w:pStyle w:val="TableContents"/>
              <w:spacing w:before="0" w:after="283"/>
              <w:rPr>
                <w:sz w:val="4"/>
                <w:szCs w:val="4"/>
              </w:rPr>
            </w:pPr>
            <w:r>
              <w:rPr>
                <w:sz w:val="4"/>
                <w:szCs w:val="4"/>
              </w:rPr>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SEC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Securities and Exchange Commission</w:t>
            </w:r>
          </w:p>
        </w:tc>
      </w:tr>
      <w:tr>
        <w:trPr/>
        <w:tc>
          <w:tcPr>
            <w:tcW w:w="21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Sponsor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TSG Consumer Partners, L.P. and certain of its affiliates.</w:t>
            </w:r>
          </w:p>
        </w:tc>
      </w:tr>
      <w:tr>
        <w:trPr/>
        <w:tc>
          <w:tcPr>
            <w:tcW w:w="21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Tax Receivable Agreements and TRAs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8" w:type="dxa"/>
            <w:gridSpan w:val="3"/>
            <w:tcBorders/>
            <w:shd w:fill="D2DCE5" w:val="clear"/>
            <w:tcMar>
              <w:top w:w="0" w:type="dxa"/>
              <w:left w:w="0" w:type="dxa"/>
              <w:bottom w:w="0" w:type="dxa"/>
              <w:right w:w="0" w:type="dxa"/>
            </w:tcMar>
            <w:vAlign w:val="center"/>
          </w:tcPr>
          <w:p>
            <w:pPr>
              <w:pStyle w:val="TableContents"/>
              <w:spacing w:lineRule="auto" w:line="288" w:before="0" w:after="0"/>
              <w:jc w:val="both"/>
              <w:rPr>
                <w:rFonts w:ascii="Arial;sans-serif" w:hAnsi="Arial;sans-serif"/>
                <w:b w:val="false"/>
                <w:color w:val="131E29"/>
                <w:sz w:val="20"/>
              </w:rPr>
            </w:pPr>
            <w:r>
              <w:rPr>
                <w:rFonts w:ascii="Arial;sans-serif" w:hAnsi="Arial;sans-serif"/>
                <w:b w:val="false"/>
                <w:color w:val="131E29"/>
                <w:sz w:val="20"/>
              </w:rPr>
              <w:t xml:space="preserve">Each have the meaning set forth in NOTE 16 — Commitments and Contingencies to the condensed consolidated financial statements, included elsewhere in this Form 10-Q. </w:t>
            </w:r>
          </w:p>
        </w:tc>
      </w:tr>
      <w:tr>
        <w:trPr/>
        <w:tc>
          <w:tcPr>
            <w:tcW w:w="210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10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Arial;sans-serif" w:hAnsi="Arial;sans-serif"/>
          <w:b w:val="false"/>
          <w:i/>
          <w:color w:val="131E29"/>
          <w:sz w:val="16"/>
        </w:rPr>
        <w:t>Dutch Bros</w:t>
      </w:r>
      <w:r>
        <w:rPr>
          <w:rFonts w:ascii="Arial;sans-serif" w:hAnsi="Arial;sans-serif"/>
          <w:b w:val="false"/>
          <w:color w:val="131E29"/>
          <w:sz w:val="16"/>
        </w:rPr>
        <w:t>, our Windmill logo (</w:t>
      </w:r>
      <w:r>
        <w:rPr/>
        <w:drawing>
          <wp:inline distT="0" distB="63500" distL="0" distR="0">
            <wp:extent cx="190500" cy="2667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 xml:space="preserve">), </w:t>
      </w:r>
      <w:r>
        <w:rPr>
          <w:rFonts w:ascii="Arial;sans-serif" w:hAnsi="Arial;sans-serif"/>
          <w:b w:val="false"/>
          <w:i/>
          <w:color w:val="131E29"/>
          <w:sz w:val="16"/>
        </w:rPr>
        <w:t>Dutch Bros Blue Rebel</w:t>
      </w:r>
      <w:r>
        <w:rPr>
          <w:rFonts w:ascii="Arial;sans-serif" w:hAnsi="Arial;sans-serif"/>
          <w:b w:val="false"/>
          <w:color w:val="131E29"/>
          <w:sz w:val="16"/>
        </w:rPr>
        <w:t>, and our other registered and common law trade names, trademarks and service marks are the property of Dutch Bros Inc. All other trademarks, trade names and service marks appearing in this Form 10-Q are the property of their respective owners. Solely for convenience, the trademarks and trade names in this Form 10-Q may be referred to without the ® and ™ symbols, but such references should not be construed as any indicator that their respective owners will not assert their rights thereto.</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363220"/>
                <wp:effectExtent l="0" t="0" r="0" b="0"/>
                <wp:wrapNone/>
                <wp:docPr id="5" name="Frame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FORWARD-LOOKING STATEMENTS</w:t>
      </w:r>
    </w:p>
    <w:p>
      <w:pPr>
        <w:pStyle w:val="TextBody"/>
        <w:spacing w:before="0" w:after="0"/>
        <w:rPr/>
      </w:pPr>
      <w:r>
        <w:rPr/>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 xml:space="preserve">Certain statements in this Form 10-Q that are not historical facts, including those regarding the impact of inflation, increased minimum wages, and the conflict between Russia and Ukraine on our results of operations, supply chain, or liquidity, the potential impact of actions we have taken to mitigate the impact of unforeseen circumstances, taxes and tax rates, our expectations regarding the number of new shops we may open, anticipated future revenues and earnings, consumer demand, and our expectations to generate positive cash flow in the foreseeable future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10-Q.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following unaudited condensed consolidated financial statements and the related notes in this Form 10-Q together with our analysis and discussion of our financial condition and results of operations and other financial information included elsewhere in this Form 10-Q. You should also read our Annual Report on Form 10-K for the year ended December 31, 2022, filed with the Securities and Exchange Commission on February 27, 2023.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the “Risk Factors” section of this Form 10-Q, as such risk factors may be amended, supplemented or superseded from time to time by other reports we file with the Securities and Exchange Commission.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Website Disclosure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10-Q.</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363220"/>
                <wp:effectExtent l="0" t="0" r="0" b="0"/>
                <wp:wrapNone/>
                <wp:docPr id="8" name="Frame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v:rect>
            </w:pict>
          </mc:Fallback>
        </mc:AlternateContent>
      </w:r>
    </w:p>
    <w:p>
      <w:pPr>
        <w:pStyle w:val="TextBody"/>
        <w:spacing w:before="0" w:after="0"/>
        <w:ind w:left="0" w:right="0" w:firstLine="360"/>
        <w:rPr/>
      </w:pPr>
      <w:r>
        <w:rPr/>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6098"/>
          <w:sz w:val="32"/>
        </w:rPr>
      </w:pPr>
      <w:r>
        <w:rPr>
          <w:rFonts w:ascii="Arial;sans-serif" w:hAnsi="Arial;sans-serif"/>
          <w:b/>
          <w:color w:val="006098"/>
          <w:sz w:val="32"/>
        </w:rPr>
        <w:t>PART I. FINANCIAL INFORMATION</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w:t>
      </w:r>
    </w:p>
    <w:tbl>
      <w:tblPr>
        <w:tblW w:w="8458" w:type="dxa"/>
        <w:jc w:val="center"/>
        <w:tblInd w:w="0" w:type="dxa"/>
        <w:tblCellMar>
          <w:top w:w="28" w:type="dxa"/>
          <w:left w:w="28" w:type="dxa"/>
          <w:bottom w:w="28" w:type="dxa"/>
          <w:right w:w="28" w:type="dxa"/>
        </w:tblCellMar>
      </w:tblPr>
      <w:tblGrid>
        <w:gridCol w:w="1830"/>
        <w:gridCol w:w="1607"/>
        <w:gridCol w:w="1617"/>
        <w:gridCol w:w="109"/>
        <w:gridCol w:w="109"/>
        <w:gridCol w:w="109"/>
        <w:gridCol w:w="211"/>
        <w:gridCol w:w="1021"/>
        <w:gridCol w:w="109"/>
        <w:gridCol w:w="109"/>
        <w:gridCol w:w="109"/>
        <w:gridCol w:w="109"/>
        <w:gridCol w:w="214"/>
        <w:gridCol w:w="1039"/>
        <w:gridCol w:w="156"/>
      </w:tblGrid>
      <w:tr>
        <w:trPr/>
        <w:tc>
          <w:tcPr>
            <w:tcW w:w="1830" w:type="dxa"/>
            <w:tcBorders/>
            <w:shd w:fill="auto" w:val="clear"/>
            <w:vAlign w:val="center"/>
          </w:tcPr>
          <w:p>
            <w:pPr>
              <w:pStyle w:val="TableContents"/>
              <w:spacing w:before="0" w:after="283"/>
              <w:rPr>
                <w:sz w:val="4"/>
                <w:szCs w:val="4"/>
              </w:rPr>
            </w:pPr>
            <w:r>
              <w:rPr>
                <w:sz w:val="4"/>
                <w:szCs w:val="4"/>
              </w:rPr>
            </w:r>
          </w:p>
        </w:tc>
        <w:tc>
          <w:tcPr>
            <w:tcW w:w="1607" w:type="dxa"/>
            <w:tcBorders/>
            <w:shd w:fill="auto" w:val="clear"/>
            <w:vAlign w:val="center"/>
          </w:tcPr>
          <w:p>
            <w:pPr>
              <w:pStyle w:val="TableContents"/>
              <w:spacing w:before="0" w:after="283"/>
              <w:rPr>
                <w:sz w:val="4"/>
                <w:szCs w:val="4"/>
              </w:rPr>
            </w:pPr>
            <w:r>
              <w:rPr>
                <w:sz w:val="4"/>
                <w:szCs w:val="4"/>
              </w:rPr>
            </w:r>
          </w:p>
        </w:tc>
        <w:tc>
          <w:tcPr>
            <w:tcW w:w="16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736" w:type="dxa"/>
            <w:gridSpan w:val="6"/>
            <w:tcBorders/>
            <w:shd w:fill="auto" w:val="clear"/>
          </w:tcPr>
          <w:p>
            <w:pPr>
              <w:pStyle w:val="TableContents"/>
              <w:spacing w:before="0" w:after="283"/>
              <w:rPr>
                <w:sz w:val="4"/>
                <w:szCs w:val="4"/>
              </w:rPr>
            </w:pPr>
            <w:r>
              <w:rPr>
                <w:sz w:val="4"/>
                <w:szCs w:val="4"/>
              </w:rPr>
            </w:r>
          </w:p>
        </w:tc>
      </w:tr>
      <w:tr>
        <w:trPr/>
        <w:tc>
          <w:tcPr>
            <w:tcW w:w="50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505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14,296 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Inventories,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43,957 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39,229 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10,949 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81,314 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82,322 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402,841 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365,468 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288,560 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247,943 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169,302 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7,893 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8,804 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income tax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286,385 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288,765 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1,264,965 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1,186,360 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3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Accrued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28,363 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27,452 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7,860 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21,815 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25,335 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Line of credit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110,865 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8,129 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7,971 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long-term debt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2,611 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252,823 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6,104 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6,119 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Tax receivable agreements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220,923 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275,639 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237,130 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161,228 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95,714 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96,297 </w:t>
            </w:r>
          </w:p>
        </w:tc>
        <w:tc>
          <w:tcPr>
            <w:tcW w:w="15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9" w:type="dxa"/>
            <w:gridSpan w:val="3"/>
            <w:tcBorders/>
            <w:shd w:fill="auto" w:val="cle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1,016,262 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934,384 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Commitments and contingencies (Note 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center"/>
        <w:rPr/>
      </w:pPr>
      <w:r>
        <w:rPr/>
      </w:r>
    </w:p>
    <w:p>
      <w:pPr>
        <w:pStyle w:val="TextBody"/>
        <w:spacing w:before="0" w:after="18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363220"/>
                <wp:effectExtent l="0" t="0" r="0" b="0"/>
                <wp:wrapNone/>
                <wp:docPr id="11" name="Frame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5"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v:rect>
            </w:pict>
          </mc:Fallback>
        </mc:AlternateContent>
      </w:r>
    </w:p>
    <w:p>
      <w:pPr>
        <w:pStyle w:val="TextBody"/>
        <w:spacing w:before="0" w:after="0"/>
        <w:jc w:val="center"/>
        <w:rPr/>
      </w:pPr>
      <w:r>
        <w:rPr/>
      </w:r>
    </w:p>
    <w:p>
      <w:pPr>
        <w:pStyle w:val="TextBody"/>
        <w:spacing w:lineRule="auto" w:line="288" w:before="0" w:after="180"/>
        <w:ind w:left="0" w:right="0" w:firstLine="36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Balance Sheets (continued)</w:t>
      </w:r>
    </w:p>
    <w:tbl>
      <w:tblPr>
        <w:tblW w:w="10539" w:type="dxa"/>
        <w:jc w:val="left"/>
        <w:tblInd w:w="0" w:type="dxa"/>
        <w:tblCellMar>
          <w:top w:w="28" w:type="dxa"/>
          <w:left w:w="28" w:type="dxa"/>
          <w:bottom w:w="28" w:type="dxa"/>
          <w:right w:w="28" w:type="dxa"/>
        </w:tblCellMar>
      </w:tblPr>
      <w:tblGrid>
        <w:gridCol w:w="2793"/>
        <w:gridCol w:w="2171"/>
        <w:gridCol w:w="2184"/>
        <w:gridCol w:w="109"/>
        <w:gridCol w:w="109"/>
        <w:gridCol w:w="109"/>
        <w:gridCol w:w="211"/>
        <w:gridCol w:w="1021"/>
        <w:gridCol w:w="109"/>
        <w:gridCol w:w="109"/>
        <w:gridCol w:w="109"/>
        <w:gridCol w:w="109"/>
        <w:gridCol w:w="212"/>
        <w:gridCol w:w="1027"/>
        <w:gridCol w:w="157"/>
      </w:tblGrid>
      <w:tr>
        <w:trPr/>
        <w:tc>
          <w:tcPr>
            <w:tcW w:w="2793"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c>
          <w:tcPr>
            <w:tcW w:w="21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14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1" w:type="dxa"/>
            <w:gridSpan w:val="3"/>
            <w:tcBorders/>
            <w:shd w:fill="auto" w:val="clear"/>
            <w:vAlign w:val="center"/>
          </w:tcPr>
          <w:p>
            <w:pPr>
              <w:pStyle w:val="TableContents"/>
              <w:spacing w:before="0" w:after="283"/>
              <w:rPr>
                <w:sz w:val="4"/>
                <w:szCs w:val="4"/>
              </w:rPr>
            </w:pPr>
            <w:r>
              <w:rPr>
                <w:sz w:val="4"/>
                <w:szCs w:val="4"/>
              </w:rPr>
            </w:r>
          </w:p>
        </w:tc>
        <w:tc>
          <w:tcPr>
            <w:tcW w:w="1723" w:type="dxa"/>
            <w:gridSpan w:val="6"/>
            <w:tcBorders/>
            <w:shd w:fill="auto" w:val="clear"/>
          </w:tcPr>
          <w:p>
            <w:pPr>
              <w:pStyle w:val="TableContents"/>
              <w:spacing w:before="0" w:after="283"/>
              <w:rPr>
                <w:sz w:val="4"/>
                <w:szCs w:val="4"/>
              </w:rPr>
            </w:pPr>
            <w:r>
              <w:rPr>
                <w:sz w:val="4"/>
                <w:szCs w:val="4"/>
              </w:rPr>
            </w:r>
          </w:p>
        </w:tc>
      </w:tr>
      <w:tr>
        <w:trPr/>
        <w:tc>
          <w:tcPr>
            <w:tcW w:w="714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714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Preferred stock, $0.00001 par value per share - 20,000 shares authorized; zero shares issued and outstanding as of March 31, 2023 and December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7"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A common stock, $0.00001 par value per share - 400,000 shares authorized; 45,666 and 45,544 shares issued and outstanding as of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B common stock, $0.00001 par value per share - 144,000 shares authorized; 64,699 shares issued and outstanding as of March 31, 2023 and December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1 </w:t>
            </w:r>
          </w:p>
        </w:tc>
        <w:tc>
          <w:tcPr>
            <w:tcW w:w="15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C common stock, $0.00001 par value per share - 105,000 shares authorized; 41,056 and 41,056 shares issued and outstanding as of March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Class D common stock, $0.00001 par value per share - 42,000 shares authorized; 12,411 and 12,411 shares issued and outstanding as of March 31, 2023 and December 31, 2022, respectively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Additional paid 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145,613 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other comprehensive income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813 </w:t>
            </w:r>
          </w:p>
        </w:tc>
        <w:tc>
          <w:tcPr>
            <w:tcW w:w="15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(21,152)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(17,310)</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stockholders' equity attributable to Dutch Bros Inc.</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128,313 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129,118 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120,390 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122,858 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equity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248,703 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9"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251,976 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1,186,360 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363220"/>
                <wp:effectExtent l="0" t="0" r="0" b="0"/>
                <wp:wrapNone/>
                <wp:docPr id="14" name="Frame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before="0" w:after="60"/>
        <w:jc w:val="center"/>
        <w:rPr/>
      </w:pPr>
      <w:r>
        <w:rPr/>
      </w:r>
    </w:p>
    <w:p>
      <w:pPr>
        <w:pStyle w:val="TextBody"/>
        <w:spacing w:before="0" w:after="180"/>
        <w:rPr/>
      </w:pPr>
      <w:r>
        <w:rPr/>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Operations</w:t>
      </w:r>
    </w:p>
    <w:tbl>
      <w:tblPr>
        <w:tblW w:w="10539" w:type="dxa"/>
        <w:jc w:val="center"/>
        <w:tblInd w:w="0" w:type="dxa"/>
        <w:tblCellMar>
          <w:top w:w="28" w:type="dxa"/>
          <w:left w:w="28" w:type="dxa"/>
          <w:bottom w:w="28" w:type="dxa"/>
          <w:right w:w="28" w:type="dxa"/>
        </w:tblCellMar>
      </w:tblPr>
      <w:tblGrid>
        <w:gridCol w:w="2200"/>
        <w:gridCol w:w="1772"/>
        <w:gridCol w:w="1784"/>
        <w:gridCol w:w="109"/>
        <w:gridCol w:w="109"/>
        <w:gridCol w:w="109"/>
        <w:gridCol w:w="181"/>
        <w:gridCol w:w="181"/>
        <w:gridCol w:w="181"/>
        <w:gridCol w:w="181"/>
        <w:gridCol w:w="351"/>
        <w:gridCol w:w="1429"/>
        <w:gridCol w:w="181"/>
        <w:gridCol w:w="109"/>
        <w:gridCol w:w="109"/>
        <w:gridCol w:w="109"/>
        <w:gridCol w:w="211"/>
        <w:gridCol w:w="856"/>
        <w:gridCol w:w="109"/>
        <w:gridCol w:w="109"/>
        <w:gridCol w:w="159"/>
      </w:tblGrid>
      <w:tr>
        <w:trPr/>
        <w:tc>
          <w:tcPr>
            <w:tcW w:w="2200" w:type="dxa"/>
            <w:tcBorders/>
            <w:shd w:fill="auto" w:val="clear"/>
            <w:vAlign w:val="center"/>
          </w:tcPr>
          <w:p>
            <w:pPr>
              <w:pStyle w:val="TableContents"/>
              <w:spacing w:before="0" w:after="283"/>
              <w:rPr>
                <w:sz w:val="4"/>
                <w:szCs w:val="4"/>
              </w:rPr>
            </w:pPr>
            <w:r>
              <w:rPr>
                <w:sz w:val="4"/>
                <w:szCs w:val="4"/>
              </w:rPr>
            </w:r>
          </w:p>
        </w:tc>
        <w:tc>
          <w:tcPr>
            <w:tcW w:w="1772"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42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268" w:type="dxa"/>
            <w:gridSpan w:val="2"/>
            <w:tcBorders/>
            <w:shd w:fill="auto" w:val="clear"/>
          </w:tcPr>
          <w:p>
            <w:pPr>
              <w:pStyle w:val="TableContents"/>
              <w:spacing w:before="0" w:after="283"/>
              <w:rPr>
                <w:sz w:val="4"/>
                <w:szCs w:val="4"/>
              </w:rPr>
            </w:pPr>
            <w:r>
              <w:rPr>
                <w:sz w:val="4"/>
                <w:szCs w:val="4"/>
              </w:rPr>
            </w:r>
          </w:p>
        </w:tc>
      </w:tr>
      <w:tr>
        <w:trPr/>
        <w:tc>
          <w:tcPr>
            <w:tcW w:w="57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2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24,103 </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197,267 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151,523 </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197,499 </w:t>
            </w:r>
          </w:p>
        </w:tc>
        <w:tc>
          <w:tcPr>
            <w:tcW w:w="18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166,381 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(14,225)</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1,307 </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(6,579)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(6,811)</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2,580 </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auto" w:val="clear"/>
            <w:vAlign w:val="center"/>
          </w:tcPr>
          <w:p>
            <w:pPr>
              <w:pStyle w:val="TableContents"/>
              <w:spacing w:before="0" w:after="283"/>
              <w:rPr>
                <w:sz w:val="4"/>
                <w:szCs w:val="4"/>
              </w:rPr>
            </w:pPr>
            <w:r>
              <w:rPr>
                <w:sz w:val="4"/>
                <w:szCs w:val="4"/>
              </w:rPr>
            </w:r>
          </w:p>
        </w:tc>
        <w:tc>
          <w:tcPr>
            <w:tcW w:w="19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loss attributable to non-controlling interests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(5,549)</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NET LOSS ATTRIBUTABLE TO DUTCH BROS INC.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loss per share of Class A and Class D common stock:</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2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29" w:type="dxa"/>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(0.07)</w:t>
            </w:r>
          </w:p>
        </w:tc>
        <w:tc>
          <w:tcPr>
            <w:tcW w:w="181"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(0.10)</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shares of Class A and Class D common stock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8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7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56,664 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363220"/>
                <wp:effectExtent l="0" t="0" r="0" b="0"/>
                <wp:wrapNone/>
                <wp:docPr id="17" name="Frame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before="0" w:after="60"/>
        <w:jc w:val="center"/>
        <w:rPr/>
      </w:pPr>
      <w:r>
        <w:rPr/>
      </w:r>
    </w:p>
    <w:p>
      <w:pPr>
        <w:pStyle w:val="TextBody"/>
        <w:spacing w:before="0" w:after="180"/>
        <w:rPr/>
      </w:pPr>
      <w:r>
        <w:rPr/>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Condensed Consolidated Statements of Comprehensive Loss</w:t>
      </w:r>
    </w:p>
    <w:p>
      <w:pPr>
        <w:pStyle w:val="TextBody"/>
        <w:spacing w:before="0" w:after="180"/>
        <w:jc w:val="both"/>
        <w:rPr/>
      </w:pPr>
      <w:r>
        <w:rPr/>
      </w:r>
    </w:p>
    <w:tbl>
      <w:tblPr>
        <w:tblW w:w="10539" w:type="dxa"/>
        <w:jc w:val="left"/>
        <w:tblInd w:w="0" w:type="dxa"/>
        <w:tblCellMar>
          <w:top w:w="28" w:type="dxa"/>
          <w:left w:w="28" w:type="dxa"/>
          <w:bottom w:w="28" w:type="dxa"/>
          <w:right w:w="28" w:type="dxa"/>
        </w:tblCellMar>
      </w:tblPr>
      <w:tblGrid>
        <w:gridCol w:w="2520"/>
        <w:gridCol w:w="2130"/>
        <w:gridCol w:w="2095"/>
        <w:gridCol w:w="109"/>
        <w:gridCol w:w="109"/>
        <w:gridCol w:w="109"/>
        <w:gridCol w:w="238"/>
        <w:gridCol w:w="777"/>
        <w:gridCol w:w="123"/>
        <w:gridCol w:w="123"/>
        <w:gridCol w:w="123"/>
        <w:gridCol w:w="123"/>
        <w:gridCol w:w="238"/>
        <w:gridCol w:w="896"/>
        <w:gridCol w:w="123"/>
        <w:gridCol w:w="109"/>
        <w:gridCol w:w="109"/>
        <w:gridCol w:w="109"/>
        <w:gridCol w:w="109"/>
        <w:gridCol w:w="109"/>
        <w:gridCol w:w="158"/>
      </w:tblGrid>
      <w:tr>
        <w:trPr/>
        <w:tc>
          <w:tcPr>
            <w:tcW w:w="2520" w:type="dxa"/>
            <w:tcBorders/>
            <w:shd w:fill="auto" w:val="clear"/>
            <w:vAlign w:val="center"/>
          </w:tcPr>
          <w:p>
            <w:pPr>
              <w:pStyle w:val="TableContents"/>
              <w:spacing w:before="0" w:after="283"/>
              <w:rPr>
                <w:sz w:val="4"/>
                <w:szCs w:val="4"/>
              </w:rPr>
            </w:pPr>
            <w:r>
              <w:rPr>
                <w:sz w:val="4"/>
                <w:szCs w:val="4"/>
              </w:rPr>
            </w:r>
          </w:p>
        </w:tc>
        <w:tc>
          <w:tcPr>
            <w:tcW w:w="2130" w:type="dxa"/>
            <w:tcBorders/>
            <w:shd w:fill="auto" w:val="clear"/>
            <w:vAlign w:val="center"/>
          </w:tcPr>
          <w:p>
            <w:pPr>
              <w:pStyle w:val="TableContents"/>
              <w:spacing w:before="0" w:after="283"/>
              <w:rPr>
                <w:sz w:val="4"/>
                <w:szCs w:val="4"/>
              </w:rPr>
            </w:pPr>
            <w:r>
              <w:rPr>
                <w:sz w:val="4"/>
                <w:szCs w:val="4"/>
              </w:rPr>
            </w:r>
          </w:p>
        </w:tc>
        <w:tc>
          <w:tcPr>
            <w:tcW w:w="20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67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2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benefit of $80 and —, respectively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(824)</w:t>
            </w:r>
          </w:p>
        </w:tc>
        <w:tc>
          <w:tcPr>
            <w:tcW w:w="12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(10,215)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loss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(6,150)</w:t>
            </w:r>
          </w:p>
        </w:tc>
        <w:tc>
          <w:tcPr>
            <w:tcW w:w="12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2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7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loss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(4,065)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363220"/>
                <wp:effectExtent l="0" t="0" r="0" b="0"/>
                <wp:wrapNone/>
                <wp:docPr id="20" name="Frame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8"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w:t>
      </w:r>
    </w:p>
    <w:tbl>
      <w:tblPr>
        <w:tblW w:w="17567" w:type="dxa"/>
        <w:jc w:val="center"/>
        <w:tblInd w:w="0" w:type="dxa"/>
        <w:tblCellMar>
          <w:top w:w="28" w:type="dxa"/>
          <w:left w:w="28" w:type="dxa"/>
          <w:bottom w:w="28" w:type="dxa"/>
          <w:right w:w="28" w:type="dxa"/>
        </w:tblCellMar>
      </w:tblPr>
      <w:tblGrid>
        <w:gridCol w:w="547"/>
        <w:gridCol w:w="296"/>
        <w:gridCol w:w="298"/>
        <w:gridCol w:w="109"/>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340"/>
        <w:gridCol w:w="731"/>
        <w:gridCol w:w="190"/>
        <w:gridCol w:w="327"/>
        <w:gridCol w:w="213"/>
        <w:gridCol w:w="719"/>
        <w:gridCol w:w="119"/>
        <w:gridCol w:w="327"/>
        <w:gridCol w:w="231"/>
        <w:gridCol w:w="870"/>
        <w:gridCol w:w="130"/>
        <w:gridCol w:w="327"/>
        <w:gridCol w:w="196"/>
        <w:gridCol w:w="73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6154" w:type="dxa"/>
            <w:gridSpan w:val="7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2023</w:t>
            </w:r>
          </w:p>
        </w:tc>
        <w:tc>
          <w:tcPr>
            <w:tcW w:w="1413" w:type="dxa"/>
            <w:gridSpan w:val="6"/>
            <w:tcBorders/>
            <w:shd w:fill="auto" w:val="clear"/>
          </w:tcPr>
          <w:p>
            <w:pPr>
              <w:pStyle w:val="TableContents"/>
              <w:spacing w:before="0" w:after="283"/>
              <w:rPr>
                <w:sz w:val="4"/>
                <w:szCs w:val="4"/>
              </w:rPr>
            </w:pPr>
            <w:r>
              <w:rPr>
                <w:sz w:val="4"/>
                <w:szCs w:val="4"/>
              </w:rPr>
            </w:r>
          </w:p>
        </w:tc>
      </w:tr>
      <w:tr>
        <w:trPr/>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10" w:type="dxa"/>
            <w:gridSpan w:val="6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45,544 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145,613 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813 </w:t>
            </w:r>
          </w:p>
        </w:tc>
        <w:tc>
          <w:tcPr>
            <w:tcW w:w="19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(17,310)</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122,858 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251,976 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(3,842)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(5,549)</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(9,391)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$80</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(223)</w:t>
            </w:r>
          </w:p>
        </w:tc>
        <w:tc>
          <w:tcPr>
            <w:tcW w:w="1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(601)</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(842)</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3,200 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5,970 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9,170 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and forfeitures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(661)</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(1,234)</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(1,895)</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 of other equity-based compensation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1,054 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9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(1,054)</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45,666 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41,056 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12,411 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148,873 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590 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(21,152)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120,390 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248,703 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hanging="18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363220"/>
                <wp:effectExtent l="0" t="0" r="0" b="0"/>
                <wp:wrapNone/>
                <wp:docPr id="23" name="Frame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v:rect>
            </w:pict>
          </mc:Fallback>
        </mc:AlternateContent>
      </w:r>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Condensed Consolidated Statements of Stockholders’ Equity (Continued)</w:t>
      </w:r>
    </w:p>
    <w:p>
      <w:pPr>
        <w:pStyle w:val="TextBody"/>
        <w:spacing w:before="180" w:after="283"/>
        <w:rPr/>
      </w:pPr>
      <w:r>
        <w:rPr/>
      </w:r>
    </w:p>
    <w:tbl>
      <w:tblPr>
        <w:tblW w:w="15979" w:type="dxa"/>
        <w:jc w:val="left"/>
        <w:tblInd w:w="0" w:type="dxa"/>
        <w:tblCellMar>
          <w:top w:w="28" w:type="dxa"/>
          <w:left w:w="28" w:type="dxa"/>
          <w:bottom w:w="28" w:type="dxa"/>
          <w:right w:w="28" w:type="dxa"/>
        </w:tblCellMar>
      </w:tblPr>
      <w:tblGrid>
        <w:gridCol w:w="547"/>
        <w:gridCol w:w="296"/>
        <w:gridCol w:w="298"/>
        <w:gridCol w:w="109"/>
        <w:gridCol w:w="109"/>
        <w:gridCol w:w="109"/>
        <w:gridCol w:w="323"/>
        <w:gridCol w:w="323"/>
        <w:gridCol w:w="211"/>
        <w:gridCol w:w="109"/>
        <w:gridCol w:w="109"/>
        <w:gridCol w:w="109"/>
        <w:gridCol w:w="196"/>
        <w:gridCol w:w="406"/>
        <w:gridCol w:w="109"/>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237"/>
        <w:gridCol w:w="291"/>
        <w:gridCol w:w="133"/>
        <w:gridCol w:w="109"/>
        <w:gridCol w:w="109"/>
        <w:gridCol w:w="109"/>
        <w:gridCol w:w="323"/>
        <w:gridCol w:w="323"/>
        <w:gridCol w:w="211"/>
        <w:gridCol w:w="109"/>
        <w:gridCol w:w="109"/>
        <w:gridCol w:w="109"/>
        <w:gridCol w:w="196"/>
        <w:gridCol w:w="406"/>
        <w:gridCol w:w="109"/>
        <w:gridCol w:w="109"/>
        <w:gridCol w:w="109"/>
        <w:gridCol w:w="109"/>
        <w:gridCol w:w="217"/>
        <w:gridCol w:w="817"/>
        <w:gridCol w:w="122"/>
        <w:gridCol w:w="109"/>
        <w:gridCol w:w="109"/>
        <w:gridCol w:w="109"/>
        <w:gridCol w:w="109"/>
        <w:gridCol w:w="109"/>
        <w:gridCol w:w="213"/>
        <w:gridCol w:w="719"/>
        <w:gridCol w:w="119"/>
        <w:gridCol w:w="327"/>
        <w:gridCol w:w="231"/>
        <w:gridCol w:w="870"/>
        <w:gridCol w:w="130"/>
        <w:gridCol w:w="327"/>
        <w:gridCol w:w="196"/>
        <w:gridCol w:w="736"/>
        <w:gridCol w:w="154"/>
      </w:tblGrid>
      <w:tr>
        <w:trPr/>
        <w:tc>
          <w:tcPr>
            <w:tcW w:w="54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4566" w:type="dxa"/>
            <w:gridSpan w:val="71"/>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1413" w:type="dxa"/>
            <w:gridSpan w:val="6"/>
            <w:tcBorders/>
            <w:shd w:fill="auto" w:val="clear"/>
          </w:tcPr>
          <w:p>
            <w:pPr>
              <w:pStyle w:val="TableContents"/>
              <w:spacing w:before="0" w:after="283"/>
              <w:rPr>
                <w:sz w:val="4"/>
                <w:szCs w:val="4"/>
              </w:rPr>
            </w:pPr>
            <w:r>
              <w:rPr>
                <w:sz w:val="4"/>
                <w:szCs w:val="4"/>
              </w:rPr>
            </w:r>
          </w:p>
        </w:tc>
      </w:tr>
      <w:tr>
        <w:trPr/>
        <w:tc>
          <w:tcPr>
            <w:tcW w:w="11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2" w:type="dxa"/>
            <w:gridSpan w:val="5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shd w:fill="auto" w:val="clea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4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Non-Controlling Interests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4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34,433 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49,006 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15,441 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107,193 </w:t>
            </w:r>
          </w:p>
        </w:tc>
        <w:tc>
          <w:tcPr>
            <w:tcW w:w="1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(12,679)</w:t>
            </w:r>
          </w:p>
        </w:tc>
        <w:tc>
          <w:tcPr>
            <w:tcW w:w="11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119,213 </w:t>
            </w:r>
          </w:p>
        </w:tc>
        <w:tc>
          <w:tcPr>
            <w:tcW w:w="13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213,729 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Adoption of ASU 2016-02, as amended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957 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Net loss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(4,947)</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(11,332)</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(16,279)</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3,122 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6,778 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124 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(1,145)</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(2,755)</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(3,900)</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 of Tax Receivable Agreements and other equity transactions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8,657 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exchange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4,828 </w:t>
            </w:r>
          </w:p>
        </w:tc>
        <w:tc>
          <w:tcPr>
            <w:tcW w:w="1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(4,828)</w:t>
            </w:r>
          </w:p>
        </w:tc>
        <w:tc>
          <w:tcPr>
            <w:tcW w:w="13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Surrender and cancellation of Class C &amp; D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5,000 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(3,620)</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(1,379)</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Balance, March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39,557 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64,699 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45,386 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29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1 </w:t>
            </w:r>
          </w:p>
        </w:tc>
        <w:tc>
          <w:tcPr>
            <w:tcW w:w="1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14,062 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1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122,655 </w:t>
            </w:r>
          </w:p>
        </w:tc>
        <w:tc>
          <w:tcPr>
            <w:tcW w:w="1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(17,240)</w:t>
            </w:r>
          </w:p>
        </w:tc>
        <w:tc>
          <w:tcPr>
            <w:tcW w:w="11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87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108,033 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213,450 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363220"/>
                <wp:effectExtent l="0" t="0" r="0" b="0"/>
                <wp:wrapNone/>
                <wp:docPr id="26" name="Frame1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0"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Condensed Consolidated Statements of Cash Flows</w:t>
      </w:r>
    </w:p>
    <w:tbl>
      <w:tblPr>
        <w:tblW w:w="10441" w:type="dxa"/>
        <w:jc w:val="center"/>
        <w:tblInd w:w="0" w:type="dxa"/>
        <w:tblCellMar>
          <w:top w:w="28" w:type="dxa"/>
          <w:left w:w="28" w:type="dxa"/>
          <w:bottom w:w="28" w:type="dxa"/>
          <w:right w:w="28" w:type="dxa"/>
        </w:tblCellMar>
      </w:tblPr>
      <w:tblGrid>
        <w:gridCol w:w="2573"/>
        <w:gridCol w:w="2260"/>
        <w:gridCol w:w="2276"/>
        <w:gridCol w:w="109"/>
        <w:gridCol w:w="109"/>
        <w:gridCol w:w="109"/>
        <w:gridCol w:w="233"/>
        <w:gridCol w:w="797"/>
        <w:gridCol w:w="120"/>
        <w:gridCol w:w="120"/>
        <w:gridCol w:w="120"/>
        <w:gridCol w:w="120"/>
        <w:gridCol w:w="233"/>
        <w:gridCol w:w="879"/>
        <w:gridCol w:w="120"/>
        <w:gridCol w:w="109"/>
        <w:gridCol w:w="154"/>
      </w:tblGrid>
      <w:tr>
        <w:trPr/>
        <w:tc>
          <w:tcPr>
            <w:tcW w:w="2573"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2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7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9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(9,391)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7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(16,279)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Adjustments to reconcile net loss to net cash provided by (used in)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9,182 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182 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(Gain) loss on disposal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(232)</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9,170 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9,900 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2,146 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(511)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Remeasurement gain on TRAs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(1,294)</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2,698 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2,310 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Changes in operating assets and liabilities, net of acquisitions: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3,188 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(2,226)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(4,728)</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(3,515)</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(3,450)</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2,904 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(349)</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1,158 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(132)</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Accrued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(3,432)</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(1,903)</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(3,535)</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332 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(2,576)</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(2,212)</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(756)</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investing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(43,283)</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(39,982)</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disposal of fixed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240 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Acquisition of shops from franchisees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(6,051)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(43,043)</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(46,021)</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line of credit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40,000 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62,705 </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(3,369)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(651)</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(2,749)</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0"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123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(1,896)</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(3,900)</w:t>
            </w:r>
          </w:p>
        </w:tc>
        <w:tc>
          <w:tcPr>
            <w:tcW w:w="12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34,084 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55,025 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(decrease) in cash and cash equivalents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(5,882)</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8,248 </w:t>
            </w:r>
          </w:p>
        </w:tc>
        <w:tc>
          <w:tcPr>
            <w:tcW w:w="12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20,178 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18,506 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10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end of period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14,296 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26,754 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363220"/>
                <wp:effectExtent l="0" t="0" r="0" b="0"/>
                <wp:wrapNone/>
                <wp:docPr id="29" name="Frame1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Condensed Consolidated Statements of Cash Flows (continued)</w:t>
      </w:r>
    </w:p>
    <w:p>
      <w:pPr>
        <w:pStyle w:val="TextBody"/>
        <w:spacing w:before="0" w:after="60"/>
        <w:jc w:val="center"/>
        <w:rPr/>
      </w:pPr>
      <w:r>
        <w:rPr/>
      </w:r>
    </w:p>
    <w:tbl>
      <w:tblPr>
        <w:tblW w:w="9393" w:type="dxa"/>
        <w:jc w:val="left"/>
        <w:tblInd w:w="0" w:type="dxa"/>
        <w:tblCellMar>
          <w:top w:w="28" w:type="dxa"/>
          <w:left w:w="28" w:type="dxa"/>
          <w:bottom w:w="28" w:type="dxa"/>
          <w:right w:w="28" w:type="dxa"/>
        </w:tblCellMar>
      </w:tblPr>
      <w:tblGrid>
        <w:gridCol w:w="2192"/>
        <w:gridCol w:w="1927"/>
        <w:gridCol w:w="1940"/>
        <w:gridCol w:w="109"/>
        <w:gridCol w:w="109"/>
        <w:gridCol w:w="109"/>
        <w:gridCol w:w="263"/>
        <w:gridCol w:w="769"/>
        <w:gridCol w:w="136"/>
        <w:gridCol w:w="136"/>
        <w:gridCol w:w="136"/>
        <w:gridCol w:w="136"/>
        <w:gridCol w:w="263"/>
        <w:gridCol w:w="769"/>
        <w:gridCol w:w="136"/>
        <w:gridCol w:w="109"/>
        <w:gridCol w:w="154"/>
      </w:tblGrid>
      <w:tr>
        <w:trPr/>
        <w:tc>
          <w:tcPr>
            <w:tcW w:w="2192"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8"/>
              </w:rPr>
            </w:pPr>
            <w:r>
              <w:rPr>
                <w:rFonts w:ascii="Arial;sans-serif" w:hAnsi="Arial;sans-serif"/>
                <w:b/>
                <w:color w:val="131E29"/>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paid for interest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6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7,829 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6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2,054 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1,030 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Additions of property and equipment accrued as of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13,434 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1,959 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offering costs accrued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250 </w:t>
            </w:r>
          </w:p>
        </w:tc>
        <w:tc>
          <w:tcPr>
            <w:tcW w:w="1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Transfer between line of credit and term loan facility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100,000 </w:t>
            </w:r>
          </w:p>
        </w:tc>
        <w:tc>
          <w:tcPr>
            <w:tcW w:w="1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363220"/>
                <wp:effectExtent l="0" t="0" r="0" b="0"/>
                <wp:wrapNone/>
                <wp:docPr id="32" name="Frame1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2"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Condensed Consolidated Financial Statements</w:t>
      </w:r>
    </w:p>
    <w:tbl>
      <w:tblPr>
        <w:tblW w:w="8217" w:type="dxa"/>
        <w:jc w:val="left"/>
        <w:tblInd w:w="0" w:type="dxa"/>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shd w:fill="auto" w:val="clear"/>
            <w:vAlign w:val="center"/>
          </w:tcPr>
          <w:p>
            <w:pPr>
              <w:pStyle w:val="TableContents"/>
              <w:spacing w:before="0" w:after="283"/>
              <w:rPr>
                <w:sz w:val="4"/>
                <w:szCs w:val="4"/>
              </w:rPr>
            </w:pPr>
            <w:r>
              <w:rPr>
                <w:sz w:val="4"/>
                <w:szCs w:val="4"/>
              </w:rPr>
            </w:r>
          </w:p>
        </w:tc>
        <w:tc>
          <w:tcPr>
            <w:tcW w:w="2309" w:type="dxa"/>
            <w:tcBorders/>
            <w:shd w:fill="auto" w:val="clear"/>
            <w:vAlign w:val="center"/>
          </w:tcPr>
          <w:p>
            <w:pPr>
              <w:pStyle w:val="TableContents"/>
              <w:spacing w:before="0" w:after="283"/>
              <w:rPr>
                <w:sz w:val="4"/>
                <w:szCs w:val="4"/>
              </w:rPr>
            </w:pPr>
            <w:r>
              <w:rPr>
                <w:sz w:val="4"/>
                <w:szCs w:val="4"/>
              </w:rPr>
            </w:r>
          </w:p>
        </w:tc>
        <w:tc>
          <w:tcPr>
            <w:tcW w:w="23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Note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7274"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0"/>
              <w:jc w:val="center"/>
              <w:rPr/>
            </w:pPr>
            <w:hyperlink w:anchor="i9d17d679e8a944b29dbd8577bcf2de08_514">
              <w:r>
                <w:rPr>
                  <w:rStyle w:val="InternetLink"/>
                  <w:rFonts w:ascii="Arial;sans-serif" w:hAnsi="Arial;sans-serif"/>
                  <w:b w:val="false"/>
                  <w:strike w:val="false"/>
                  <w:dstrike w:val="false"/>
                  <w:color w:val="131E29"/>
                  <w:sz w:val="20"/>
                  <w:u w:val="none"/>
                  <w:effect w:val="none"/>
                </w:rPr>
                <w:t>12</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520">
              <w:r>
                <w:rPr>
                  <w:rStyle w:val="InternetLink"/>
                  <w:rFonts w:ascii="Arial;sans-serif" w:hAnsi="Arial;sans-serif"/>
                  <w:b w:val="false"/>
                  <w:strike w:val="false"/>
                  <w:dstrike w:val="false"/>
                  <w:color w:val="131E29"/>
                  <w:sz w:val="20"/>
                  <w:u w:val="none"/>
                  <w:effect w:val="none"/>
                </w:rPr>
                <w:t>12</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49">
              <w:r>
                <w:rPr>
                  <w:rStyle w:val="InternetLink"/>
                  <w:rFonts w:ascii="Arial;sans-serif" w:hAnsi="Arial;sans-serif"/>
                  <w:b w:val="false"/>
                  <w:strike w:val="false"/>
                  <w:dstrike w:val="false"/>
                  <w:color w:val="131E29"/>
                  <w:sz w:val="20"/>
                  <w:u w:val="none"/>
                  <w:effect w:val="none"/>
                </w:rPr>
                <w:t>13</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Shop 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2476">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Inventories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61">
              <w:r>
                <w:rPr>
                  <w:rStyle w:val="InternetLink"/>
                  <w:rFonts w:ascii="Arial;sans-serif" w:hAnsi="Arial;sans-serif"/>
                  <w:b w:val="false"/>
                  <w:strike w:val="false"/>
                  <w:dstrike w:val="false"/>
                  <w:color w:val="131E29"/>
                  <w:sz w:val="20"/>
                  <w:u w:val="none"/>
                  <w:effect w:val="none"/>
                </w:rPr>
                <w:t>14</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64">
              <w:r>
                <w:rPr>
                  <w:rStyle w:val="InternetLink"/>
                  <w:rFonts w:ascii="Arial;sans-serif" w:hAnsi="Arial;sans-serif"/>
                  <w:b w:val="false"/>
                  <w:strike w:val="false"/>
                  <w:dstrike w:val="false"/>
                  <w:color w:val="131E29"/>
                  <w:sz w:val="20"/>
                  <w:u w:val="none"/>
                  <w:effect w:val="none"/>
                </w:rPr>
                <w:t>15</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Intangible Assets and Goodwill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67">
              <w:r>
                <w:rPr>
                  <w:rStyle w:val="InternetLink"/>
                  <w:rFonts w:ascii="Arial;sans-serif" w:hAnsi="Arial;sans-serif"/>
                  <w:b w:val="false"/>
                  <w:strike w:val="false"/>
                  <w:dstrike w:val="false"/>
                  <w:color w:val="131E29"/>
                  <w:sz w:val="20"/>
                  <w:u w:val="none"/>
                  <w:effect w:val="none"/>
                </w:rPr>
                <w:t>15</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70">
              <w:r>
                <w:rPr>
                  <w:rStyle w:val="InternetLink"/>
                  <w:rFonts w:ascii="Arial;sans-serif" w:hAnsi="Arial;sans-serif"/>
                  <w:b w:val="false"/>
                  <w:strike w:val="false"/>
                  <w:dstrike w:val="false"/>
                  <w:color w:val="131E29"/>
                  <w:sz w:val="20"/>
                  <w:u w:val="none"/>
                  <w:effect w:val="none"/>
                </w:rPr>
                <w:t>16</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697">
              <w:r>
                <w:rPr>
                  <w:rStyle w:val="InternetLink"/>
                  <w:rFonts w:ascii="Arial;sans-serif" w:hAnsi="Arial;sans-serif"/>
                  <w:b w:val="false"/>
                  <w:strike w:val="false"/>
                  <w:dstrike w:val="false"/>
                  <w:color w:val="131E29"/>
                  <w:sz w:val="20"/>
                  <w:u w:val="none"/>
                  <w:effect w:val="none"/>
                </w:rPr>
                <w:t>19</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Fair Value Measurements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18">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Derivative Financial Instruments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24">
              <w:r>
                <w:rPr>
                  <w:rStyle w:val="InternetLink"/>
                  <w:rFonts w:ascii="Arial;sans-serif" w:hAnsi="Arial;sans-serif"/>
                  <w:b w:val="false"/>
                  <w:strike w:val="false"/>
                  <w:dstrike w:val="false"/>
                  <w:color w:val="131E29"/>
                  <w:sz w:val="20"/>
                  <w:u w:val="none"/>
                  <w:effect w:val="none"/>
                </w:rPr>
                <w:t>20</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30">
              <w:r>
                <w:rPr>
                  <w:rStyle w:val="InternetLink"/>
                  <w:rFonts w:ascii="Arial;sans-serif" w:hAnsi="Arial;sans-serif"/>
                  <w:b w:val="false"/>
                  <w:strike w:val="false"/>
                  <w:dstrike w:val="false"/>
                  <w:color w:val="131E29"/>
                  <w:sz w:val="20"/>
                  <w:u w:val="none"/>
                  <w:effect w:val="none"/>
                </w:rPr>
                <w:t>21</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Equity and Equity-Based Compensation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57">
              <w:r>
                <w:rPr>
                  <w:rStyle w:val="InternetLink"/>
                  <w:rFonts w:ascii="Arial;sans-serif" w:hAnsi="Arial;sans-serif"/>
                  <w:b w:val="false"/>
                  <w:strike w:val="false"/>
                  <w:dstrike w:val="false"/>
                  <w:color w:val="131E29"/>
                  <w:sz w:val="20"/>
                  <w:u w:val="none"/>
                  <w:effect w:val="none"/>
                </w:rPr>
                <w:t>22</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75">
              <w:r>
                <w:rPr>
                  <w:rStyle w:val="InternetLink"/>
                  <w:rFonts w:ascii="Arial;sans-serif" w:hAnsi="Arial;sans-serif"/>
                  <w:b w:val="false"/>
                  <w:strike w:val="false"/>
                  <w:dstrike w:val="false"/>
                  <w:color w:val="131E29"/>
                  <w:sz w:val="20"/>
                  <w:u w:val="none"/>
                  <w:effect w:val="none"/>
                </w:rPr>
                <w:t>23</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Loss Per Share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87">
              <w:r>
                <w:rPr>
                  <w:rStyle w:val="InternetLink"/>
                  <w:rFonts w:ascii="Arial;sans-serif" w:hAnsi="Arial;sans-serif"/>
                  <w:b w:val="false"/>
                  <w:strike w:val="false"/>
                  <w:dstrike w:val="false"/>
                  <w:color w:val="131E29"/>
                  <w:sz w:val="20"/>
                  <w:u w:val="none"/>
                  <w:effect w:val="none"/>
                </w:rPr>
                <w:t>24</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Commitments and Contingencies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799">
              <w:r>
                <w:rPr>
                  <w:rStyle w:val="InternetLink"/>
                  <w:rFonts w:ascii="Arial;sans-serif" w:hAnsi="Arial;sans-serif"/>
                  <w:b w:val="false"/>
                  <w:strike w:val="false"/>
                  <w:dstrike w:val="false"/>
                  <w:color w:val="131E29"/>
                  <w:sz w:val="20"/>
                  <w:u w:val="none"/>
                  <w:effect w:val="none"/>
                </w:rPr>
                <w:t>25</w:t>
              </w:r>
            </w:hyperlink>
          </w:p>
        </w:tc>
      </w:tr>
      <w:tr>
        <w:trPr/>
        <w:tc>
          <w:tcPr>
            <w:tcW w:w="727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Related Party Transactions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805">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18 — Segment Reporting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pPr>
            <w:hyperlink w:anchor="i9d17d679e8a944b29dbd8577bcf2de08_811">
              <w:r>
                <w:rPr>
                  <w:rStyle w:val="InternetLink"/>
                  <w:rFonts w:ascii="Arial;sans-serif" w:hAnsi="Arial;sans-serif"/>
                  <w:b w:val="false"/>
                  <w:strike w:val="false"/>
                  <w:dstrike w:val="false"/>
                  <w:color w:val="131E29"/>
                  <w:sz w:val="20"/>
                  <w:u w:val="none"/>
                  <w:effect w:val="none"/>
                </w:rPr>
                <w:t>27</w:t>
              </w:r>
            </w:hyperlink>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r>
        <w:trPr/>
        <w:tc>
          <w:tcPr>
            <w:tcW w:w="7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363220"/>
                <wp:effectExtent l="0" t="0" r="0" b="0"/>
                <wp:wrapNone/>
                <wp:docPr id="35" name="Frame1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3"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v:rect>
            </w:pict>
          </mc:Fallback>
        </mc:AlternateContent>
      </w:r>
    </w:p>
    <w:p>
      <w:pPr>
        <w:pStyle w:val="TextBody"/>
        <w:spacing w:lineRule="auto" w:line="288" w:before="0" w:after="180"/>
        <w:rPr/>
      </w:pPr>
      <w:hyperlink w:anchor="i9d17d679e8a944b29dbd8577bcf2de08_16">
        <w:r>
          <w:rPr>
            <w:rStyle w:val="InternetLink"/>
            <w:rFonts w:ascii="Arial;sans-serif" w:hAnsi="Arial;sans-serif"/>
            <w:b w:val="false"/>
            <w:color w:val="006098"/>
            <w:sz w:val="16"/>
            <w:u w:val="single"/>
          </w:rPr>
          <w:t>Table of Contents</w:t>
        </w:r>
      </w:hyperlink>
    </w:p>
    <w:p>
      <w:pPr>
        <w:pStyle w:val="TextBody"/>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Condensed Consolidated Financial Statements (Unaudited)</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 — Organization and Background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is in the business of operating and franchising drive-thru coffee shops as well as the wholesale and distribution of coffee, coffee-related products, and accessories. As of March 31, 2023, there were 716 shops in operation in 14 U.S. states, of which 438 were company-operated and 278 were franchised.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Organization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was formed on June 4, 2021 as a Delaware corporation for the purpose of facilitating an IPO and other related transactions in order to carry on the business of Dutch Bros OpCo. The Company is the sole managing member of Dutch Bros OpCo and operates and controls all of the business and affairs of Dutch Bros OpCo. As a result, the Company consolidates the financial results of Dutch Bros OpCo and reports a non-controlling interest representing the economic interest in Dutch Bros OpCo held by the other members of Dutch Bros OpCo. The Company’s fiscal year end is December 31.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the Company held 100.0% of the voting interest and 35.4% of the economic interest of Dutch Bros OpCo. The Continuing Members held none of the voting interest and the remaining 64.6% of the economic interest of Dutch Bros OpCo.</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condensed consolidated financial statements as of March 31, 2023 and for the three months ended months ended March 31, 2023 and 2022 have been prepared in accordance with GAAP and pursuant to the rules and regulations of the SEC, consistent in all material respects with those applied in the Company’s 2022 Form 10-K and as updated by this Form 10-Q.</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made estimates and judgments affecting the amounts reported in its condensed consolidated financial statements and the accompanying notes. Although management bases its estimates on historical experience and assumptions that are believed to be reasonable under the circumstances, actual results could differ from those estimates. This report should be read in conjunction with the consolidated financial statements in the Company’s 2022 Form 10-K that includes additional information on critical accounting estimates, policies, and the methods and assumptions used in its estimates.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Significant Accounting Policies Updates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006098"/>
          <w:sz w:val="20"/>
          <w:u w:val="single"/>
        </w:rPr>
      </w:pPr>
      <w:r>
        <w:rPr>
          <w:rFonts w:ascii="Arial;sans-serif" w:hAnsi="Arial;sans-serif"/>
          <w:b w:val="false"/>
          <w:color w:val="006098"/>
          <w:sz w:val="20"/>
          <w:u w:val="single"/>
        </w:rPr>
        <w:t>Advertising Expense</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Advertising expense was as follows for the periods presented:</w:t>
      </w:r>
    </w:p>
    <w:tbl>
      <w:tblPr>
        <w:tblW w:w="6771" w:type="dxa"/>
        <w:jc w:val="left"/>
        <w:tblInd w:w="0" w:type="dxa"/>
        <w:tblCellMar>
          <w:top w:w="28" w:type="dxa"/>
          <w:left w:w="28" w:type="dxa"/>
          <w:bottom w:w="28" w:type="dxa"/>
          <w:right w:w="28" w:type="dxa"/>
        </w:tblCellMar>
      </w:tblPr>
      <w:tblGrid>
        <w:gridCol w:w="685"/>
        <w:gridCol w:w="601"/>
        <w:gridCol w:w="604"/>
        <w:gridCol w:w="109"/>
        <w:gridCol w:w="109"/>
        <w:gridCol w:w="109"/>
        <w:gridCol w:w="233"/>
        <w:gridCol w:w="233"/>
        <w:gridCol w:w="233"/>
        <w:gridCol w:w="233"/>
        <w:gridCol w:w="451"/>
        <w:gridCol w:w="1382"/>
        <w:gridCol w:w="233"/>
        <w:gridCol w:w="109"/>
        <w:gridCol w:w="109"/>
        <w:gridCol w:w="109"/>
        <w:gridCol w:w="211"/>
        <w:gridCol w:w="646"/>
        <w:gridCol w:w="109"/>
        <w:gridCol w:w="109"/>
        <w:gridCol w:w="154"/>
      </w:tblGrid>
      <w:tr>
        <w:trPr/>
        <w:tc>
          <w:tcPr>
            <w:tcW w:w="685"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8"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9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Advertising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6,170 </w:t>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7,624 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363220"/>
                <wp:effectExtent l="0" t="0" r="0" b="0"/>
                <wp:wrapNone/>
                <wp:docPr id="38" name="Frame1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4"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Recently Adopted Accounting Standard</w:t>
      </w:r>
    </w:p>
    <w:p>
      <w:pPr>
        <w:pStyle w:val="TextBody"/>
        <w:spacing w:lineRule="auto" w:line="288" w:before="0" w:after="180"/>
        <w:jc w:val="both"/>
        <w:rPr/>
      </w:pPr>
      <w:r>
        <w:rPr>
          <w:rFonts w:ascii="Arial;sans-serif" w:hAnsi="Arial;sans-serif"/>
          <w:b w:val="false"/>
          <w:color w:val="131E29"/>
          <w:sz w:val="20"/>
        </w:rPr>
        <w:t xml:space="preserve">In October 2021, the FASB issued ASU No. 2021-08, </w:t>
      </w:r>
      <w:r>
        <w:rPr>
          <w:rFonts w:ascii="Arial;sans-serif" w:hAnsi="Arial;sans-serif"/>
          <w:b w:val="false"/>
          <w:i/>
          <w:color w:val="131E29"/>
          <w:sz w:val="20"/>
        </w:rPr>
        <w:t>Business Combinations (Topic 805): Accounting for Contract Assets and Contract Liabilities from Contracts with Customers</w:t>
      </w:r>
      <w:r>
        <w:rPr>
          <w:rFonts w:ascii="Arial;sans-serif" w:hAnsi="Arial;sans-serif"/>
          <w:b w:val="false"/>
          <w:color w:val="131E29"/>
          <w:sz w:val="20"/>
        </w:rPr>
        <w:t>. The amendments in this update provide specific guidance to address diversity in practice related to (1) recognition of an acquired contract liability, and (2) payment terms and their effect on subsequent revenue recognized by the acquirer. The amendments in ASU 2021-08 are applied on a prospective basis, and are effective for fiscal years beginning after December 15, 2022, including interim periods within those fiscal years. Early adoption is permitted. The Company’s adoption of this standard effective January 1, 2023 did not have a material impact on its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3 — Revenue Recognition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Revenue</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7427" w:type="dxa"/>
        <w:jc w:val="left"/>
        <w:tblInd w:w="0" w:type="dxa"/>
        <w:tblCellMar>
          <w:top w:w="28" w:type="dxa"/>
          <w:left w:w="28" w:type="dxa"/>
          <w:bottom w:w="28" w:type="dxa"/>
          <w:right w:w="28" w:type="dxa"/>
        </w:tblCellMar>
      </w:tblPr>
      <w:tblGrid>
        <w:gridCol w:w="847"/>
        <w:gridCol w:w="743"/>
        <w:gridCol w:w="749"/>
        <w:gridCol w:w="109"/>
        <w:gridCol w:w="109"/>
        <w:gridCol w:w="109"/>
        <w:gridCol w:w="202"/>
        <w:gridCol w:w="202"/>
        <w:gridCol w:w="202"/>
        <w:gridCol w:w="202"/>
        <w:gridCol w:w="392"/>
        <w:gridCol w:w="1593"/>
        <w:gridCol w:w="202"/>
        <w:gridCol w:w="109"/>
        <w:gridCol w:w="109"/>
        <w:gridCol w:w="109"/>
        <w:gridCol w:w="211"/>
        <w:gridCol w:w="856"/>
        <w:gridCol w:w="109"/>
        <w:gridCol w:w="109"/>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766" w:type="dxa"/>
            <w:gridSpan w:val="8"/>
            <w:tcBorders/>
            <w:shd w:fill="auto" w:val="clea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0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22,645 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20,773 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1,458 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1,196 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197,267 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Deferred Revenue </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Deferred revenue activity related to the Company’s loyalty and gift card programs was as follows:</w:t>
      </w:r>
    </w:p>
    <w:tbl>
      <w:tblPr>
        <w:tblW w:w="10539" w:type="dxa"/>
        <w:jc w:val="left"/>
        <w:tblInd w:w="0" w:type="dxa"/>
        <w:tblCellMar>
          <w:top w:w="28" w:type="dxa"/>
          <w:left w:w="28" w:type="dxa"/>
          <w:bottom w:w="28" w:type="dxa"/>
          <w:right w:w="28" w:type="dxa"/>
        </w:tblCellMar>
      </w:tblPr>
      <w:tblGrid>
        <w:gridCol w:w="2656"/>
        <w:gridCol w:w="2304"/>
        <w:gridCol w:w="2300"/>
        <w:gridCol w:w="109"/>
        <w:gridCol w:w="109"/>
        <w:gridCol w:w="109"/>
        <w:gridCol w:w="247"/>
        <w:gridCol w:w="881"/>
        <w:gridCol w:w="127"/>
        <w:gridCol w:w="127"/>
        <w:gridCol w:w="127"/>
        <w:gridCol w:w="127"/>
        <w:gridCol w:w="247"/>
        <w:gridCol w:w="881"/>
        <w:gridCol w:w="188"/>
      </w:tblGrid>
      <w:tr>
        <w:trPr/>
        <w:tc>
          <w:tcPr>
            <w:tcW w:w="2656"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72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r>
      <w:tr>
        <w:trPr/>
        <w:tc>
          <w:tcPr>
            <w:tcW w:w="72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r>
      <w:tr>
        <w:trPr/>
        <w:tc>
          <w:tcPr>
            <w:tcW w:w="726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26,904 </w:t>
            </w:r>
          </w:p>
        </w:tc>
        <w:tc>
          <w:tcPr>
            <w:tcW w:w="12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22,765 </w:t>
            </w:r>
          </w:p>
        </w:tc>
        <w:tc>
          <w:tcPr>
            <w:tcW w:w="18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deferred - gift card activations, loyalty app loads, and loyalty points and rewards earned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78,711 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53,107 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 recognized - gift card, loyalty app, and loyalty rewards redemptions, and breakage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(79,729)</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(52,318)</w:t>
            </w:r>
          </w:p>
        </w:tc>
        <w:tc>
          <w:tcPr>
            <w:tcW w:w="18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25,886 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23,554 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(21,754)</w:t>
            </w:r>
          </w:p>
        </w:tc>
        <w:tc>
          <w:tcPr>
            <w:tcW w:w="1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(20,959)</w:t>
            </w:r>
          </w:p>
        </w:tc>
        <w:tc>
          <w:tcPr>
            <w:tcW w:w="18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gift card and loyalty programs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4,132 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2,595 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related to gift card redemptions that was included in deferred revenue as of the end of the previous years was $3.2 million and $2.3 million for the three months ended March 31, 2023 and 2022, respectively. These amounts exclude cash loads and transactions for the Company’s loyalty rewards program.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Deferred revenue also includes sales to distributors where the performance obligation has not been satisfied and control has not been transferred to the customer as of the reporting date, as well as initial unearned franchise fees from franchise partners. These deferred revenues reported in the Company’s condensed consolidated balance sheets were as follows: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692265" cy="363220"/>
                <wp:effectExtent l="0" t="0" r="0" b="0"/>
                <wp:wrapNone/>
                <wp:docPr id="41" name="Frame1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5"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5" descr=""/>
                                    <pic:cNvPicPr>
                                      <a:picLocks noChangeAspect="1" noChangeArrowheads="1"/>
                                    </pic:cNvPicPr>
                                  </pic:nvPicPr>
                                  <pic:blipFill>
                                    <a:blip r:embed="rId1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tbl>
      <w:tblPr>
        <w:tblW w:w="10539" w:type="dxa"/>
        <w:jc w:val="left"/>
        <w:tblInd w:w="0" w:type="dxa"/>
        <w:tblCellMar>
          <w:top w:w="28" w:type="dxa"/>
          <w:left w:w="28" w:type="dxa"/>
          <w:bottom w:w="28" w:type="dxa"/>
          <w:right w:w="28" w:type="dxa"/>
        </w:tblCellMar>
      </w:tblPr>
      <w:tblGrid>
        <w:gridCol w:w="2399"/>
        <w:gridCol w:w="2104"/>
        <w:gridCol w:w="2116"/>
        <w:gridCol w:w="109"/>
        <w:gridCol w:w="109"/>
        <w:gridCol w:w="109"/>
        <w:gridCol w:w="314"/>
        <w:gridCol w:w="964"/>
        <w:gridCol w:w="162"/>
        <w:gridCol w:w="109"/>
        <w:gridCol w:w="109"/>
        <w:gridCol w:w="109"/>
        <w:gridCol w:w="379"/>
        <w:gridCol w:w="1164"/>
        <w:gridCol w:w="283"/>
      </w:tblGrid>
      <w:tr>
        <w:trPr/>
        <w:tc>
          <w:tcPr>
            <w:tcW w:w="2399" w:type="dxa"/>
            <w:tcBorders/>
            <w:shd w:fill="auto" w:val="clear"/>
            <w:vAlign w:val="center"/>
          </w:tcPr>
          <w:p>
            <w:pPr>
              <w:pStyle w:val="TableContents"/>
              <w:spacing w:before="0" w:after="283"/>
              <w:rPr>
                <w:sz w:val="4"/>
                <w:szCs w:val="4"/>
              </w:rPr>
            </w:pPr>
            <w:r>
              <w:rPr>
                <w:sz w:val="4"/>
                <w:szCs w:val="4"/>
              </w:rPr>
            </w:r>
          </w:p>
        </w:tc>
        <w:tc>
          <w:tcPr>
            <w:tcW w:w="2104" w:type="dxa"/>
            <w:tcBorders/>
            <w:shd w:fill="auto" w:val="clear"/>
            <w:vAlign w:val="center"/>
          </w:tcPr>
          <w:p>
            <w:pPr>
              <w:pStyle w:val="TableContents"/>
              <w:spacing w:before="0" w:after="283"/>
              <w:rPr>
                <w:sz w:val="4"/>
                <w:szCs w:val="4"/>
              </w:rPr>
            </w:pPr>
            <w:r>
              <w:rPr>
                <w:sz w:val="4"/>
                <w:szCs w:val="4"/>
              </w:rPr>
            </w:r>
          </w:p>
        </w:tc>
        <w:tc>
          <w:tcPr>
            <w:tcW w:w="2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r>
      <w:tr>
        <w:trPr/>
        <w:tc>
          <w:tcPr>
            <w:tcW w:w="66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2153" w:type="dxa"/>
            <w:gridSpan w:val="6"/>
            <w:tcBorders/>
            <w:shd w:fill="auto" w:val="clear"/>
          </w:tcPr>
          <w:p>
            <w:pPr>
              <w:pStyle w:val="TableContents"/>
              <w:spacing w:before="0" w:after="283"/>
              <w:rPr>
                <w:sz w:val="4"/>
                <w:szCs w:val="4"/>
              </w:rPr>
            </w:pPr>
            <w:r>
              <w:rPr>
                <w:sz w:val="4"/>
                <w:szCs w:val="4"/>
              </w:rPr>
            </w:r>
          </w:p>
        </w:tc>
      </w:tr>
      <w:tr>
        <w:trPr/>
        <w:tc>
          <w:tcPr>
            <w:tcW w:w="66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661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Outstanding performance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(370)</w:t>
            </w:r>
          </w:p>
        </w:tc>
        <w:tc>
          <w:tcPr>
            <w:tcW w:w="16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6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2,152 </w:t>
            </w:r>
          </w:p>
        </w:tc>
        <w:tc>
          <w:tcPr>
            <w:tcW w:w="28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Initial unearned franchise fees from franchise partners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2,398 </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deferred revenue,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2,033 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4,550 </w:t>
            </w:r>
          </w:p>
        </w:tc>
        <w:tc>
          <w:tcPr>
            <w:tcW w:w="28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(2,587)</w:t>
            </w:r>
          </w:p>
        </w:tc>
        <w:tc>
          <w:tcPr>
            <w:tcW w:w="2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Deferred revenue, net of current portion, excluding gift card and loyalty programs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1,972 </w:t>
            </w:r>
          </w:p>
        </w:tc>
        <w:tc>
          <w:tcPr>
            <w:tcW w:w="1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1,963 </w:t>
            </w:r>
          </w:p>
        </w:tc>
        <w:tc>
          <w:tcPr>
            <w:tcW w:w="28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Revenue recognized from initial unearned franchise fees was as follows for the periods presented:</w:t>
      </w:r>
    </w:p>
    <w:tbl>
      <w:tblPr>
        <w:tblW w:w="6740" w:type="dxa"/>
        <w:jc w:val="left"/>
        <w:tblInd w:w="0" w:type="dxa"/>
        <w:tblCellMar>
          <w:top w:w="28" w:type="dxa"/>
          <w:left w:w="28" w:type="dxa"/>
          <w:bottom w:w="28" w:type="dxa"/>
          <w:right w:w="28" w:type="dxa"/>
        </w:tblCellMar>
      </w:tblPr>
      <w:tblGrid>
        <w:gridCol w:w="734"/>
        <w:gridCol w:w="644"/>
        <w:gridCol w:w="647"/>
        <w:gridCol w:w="109"/>
        <w:gridCol w:w="109"/>
        <w:gridCol w:w="109"/>
        <w:gridCol w:w="264"/>
        <w:gridCol w:w="264"/>
        <w:gridCol w:w="264"/>
        <w:gridCol w:w="264"/>
        <w:gridCol w:w="511"/>
        <w:gridCol w:w="1166"/>
        <w:gridCol w:w="264"/>
        <w:gridCol w:w="109"/>
        <w:gridCol w:w="109"/>
        <w:gridCol w:w="109"/>
        <w:gridCol w:w="211"/>
        <w:gridCol w:w="481"/>
        <w:gridCol w:w="109"/>
        <w:gridCol w:w="109"/>
        <w:gridCol w:w="154"/>
      </w:tblGrid>
      <w:tr>
        <w:trPr/>
        <w:tc>
          <w:tcPr>
            <w:tcW w:w="734"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Earned franchise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114 </w:t>
            </w:r>
          </w:p>
        </w:tc>
        <w:tc>
          <w:tcPr>
            <w:tcW w:w="2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from earned franchise fees that was included in unearned revenue at the beginning of the year was $0.1 million and $0.2 million for the three months ended March 31, 2023 and 2022,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amortization of initial unearned franchise fees as of March 31, 2023 is as follows:</w:t>
      </w:r>
    </w:p>
    <w:tbl>
      <w:tblPr>
        <w:tblW w:w="3093"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331 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244 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2,403 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4 — Shop Acquisitions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During the three months ended March 31, 2023, the Company did not repurchase the franchise rights and assets of any shops from franchise partners.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5 — Inventories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Inventories, net consist of the following:</w:t>
      </w:r>
    </w:p>
    <w:tbl>
      <w:tblPr>
        <w:tblW w:w="5587" w:type="dxa"/>
        <w:jc w:val="left"/>
        <w:tblInd w:w="0" w:type="dxa"/>
        <w:tblCellMar>
          <w:top w:w="28" w:type="dxa"/>
          <w:left w:w="28" w:type="dxa"/>
          <w:bottom w:w="28" w:type="dxa"/>
          <w:right w:w="28" w:type="dxa"/>
        </w:tblCellMar>
      </w:tblPr>
      <w:tblGrid>
        <w:gridCol w:w="565"/>
        <w:gridCol w:w="496"/>
        <w:gridCol w:w="498"/>
        <w:gridCol w:w="109"/>
        <w:gridCol w:w="109"/>
        <w:gridCol w:w="109"/>
        <w:gridCol w:w="292"/>
        <w:gridCol w:w="1042"/>
        <w:gridCol w:w="151"/>
        <w:gridCol w:w="109"/>
        <w:gridCol w:w="109"/>
        <w:gridCol w:w="109"/>
        <w:gridCol w:w="357"/>
        <w:gridCol w:w="1272"/>
        <w:gridCol w:w="260"/>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15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2216" w:type="dxa"/>
            <w:gridSpan w:val="6"/>
            <w:tcBorders/>
            <w:shd w:fill="auto" w:val="clear"/>
          </w:tcPr>
          <w:p>
            <w:pPr>
              <w:pStyle w:val="TableContents"/>
              <w:spacing w:before="0" w:after="283"/>
              <w:rPr>
                <w:sz w:val="4"/>
                <w:szCs w:val="4"/>
              </w:rPr>
            </w:pPr>
            <w:r>
              <w:rPr>
                <w:sz w:val="4"/>
                <w:szCs w:val="4"/>
              </w:rPr>
            </w:r>
          </w:p>
        </w:tc>
      </w:tr>
      <w:tr>
        <w:trPr/>
        <w:tc>
          <w:tcPr>
            <w:tcW w:w="155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155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24,721 </w:t>
            </w:r>
          </w:p>
        </w:tc>
        <w:tc>
          <w:tcPr>
            <w:tcW w:w="15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21,335 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19,236 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17,894 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5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43,957 </w:t>
            </w:r>
          </w:p>
        </w:tc>
        <w:tc>
          <w:tcPr>
            <w:tcW w:w="1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39,229 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2023 and December 31, 2022, reserves for inventories were $0.1 million and $0.1 million,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692265" cy="363220"/>
                <wp:effectExtent l="0" t="0" r="0" b="0"/>
                <wp:wrapNone/>
                <wp:docPr id="44" name="Frame1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6"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6" descr=""/>
                                    <pic:cNvPicPr>
                                      <a:picLocks noChangeAspect="1" noChangeArrowheads="1"/>
                                    </pic:cNvPicPr>
                                  </pic:nvPicPr>
                                  <pic:blipFill>
                                    <a:blip r:embed="rId1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6 — Property and Equipment</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Property and equipment, net consists of the following:</w:t>
      </w:r>
    </w:p>
    <w:tbl>
      <w:tblPr>
        <w:tblW w:w="8944" w:type="dxa"/>
        <w:jc w:val="left"/>
        <w:tblInd w:w="0" w:type="dxa"/>
        <w:tblCellMar>
          <w:top w:w="28" w:type="dxa"/>
          <w:left w:w="28" w:type="dxa"/>
          <w:bottom w:w="28" w:type="dxa"/>
          <w:right w:w="28" w:type="dxa"/>
        </w:tblCellMar>
      </w:tblPr>
      <w:tblGrid>
        <w:gridCol w:w="1044"/>
        <w:gridCol w:w="915"/>
        <w:gridCol w:w="921"/>
        <w:gridCol w:w="109"/>
        <w:gridCol w:w="109"/>
        <w:gridCol w:w="109"/>
        <w:gridCol w:w="190"/>
        <w:gridCol w:w="190"/>
        <w:gridCol w:w="190"/>
        <w:gridCol w:w="190"/>
        <w:gridCol w:w="190"/>
        <w:gridCol w:w="190"/>
        <w:gridCol w:w="190"/>
        <w:gridCol w:w="190"/>
        <w:gridCol w:w="190"/>
        <w:gridCol w:w="109"/>
        <w:gridCol w:w="109"/>
        <w:gridCol w:w="109"/>
        <w:gridCol w:w="266"/>
        <w:gridCol w:w="1081"/>
        <w:gridCol w:w="137"/>
        <w:gridCol w:w="109"/>
        <w:gridCol w:w="109"/>
        <w:gridCol w:w="109"/>
        <w:gridCol w:w="326"/>
        <w:gridCol w:w="1325"/>
        <w:gridCol w:w="238"/>
      </w:tblGrid>
      <w:tr>
        <w:trPr/>
        <w:tc>
          <w:tcPr>
            <w:tcW w:w="1044"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2216" w:type="dxa"/>
            <w:gridSpan w:val="6"/>
            <w:tcBorders/>
            <w:shd w:fill="auto" w:val="clea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18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28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7,430 </w:t>
            </w:r>
          </w:p>
        </w:tc>
        <w:tc>
          <w:tcPr>
            <w:tcW w:w="13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7,430 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8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110,309 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93,908 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w:t>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32,926 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29,985 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w:t>
            </w:r>
          </w:p>
        </w:tc>
        <w:tc>
          <w:tcPr>
            <w:tcW w:w="57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177,921 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158,250 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7,715 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7,956 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 xml:space="preserve">Aircraft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139,280 </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131,240 </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484,776 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437,964 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(81,935)</w:t>
            </w:r>
          </w:p>
        </w:tc>
        <w:tc>
          <w:tcPr>
            <w:tcW w:w="13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(72,496)</w:t>
            </w:r>
          </w:p>
        </w:tc>
        <w:tc>
          <w:tcPr>
            <w:tcW w:w="23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402,841 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365,468 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Aircraft is depreciated under the consumption method.</w:t>
      </w:r>
    </w:p>
    <w:p>
      <w:pPr>
        <w:pStyle w:val="TextBody"/>
        <w:spacing w:lineRule="auto" w:line="288" w:before="0" w:after="180"/>
        <w:ind w:left="0" w:right="0" w:hanging="180"/>
        <w:rPr/>
      </w:pPr>
      <w:r>
        <w:rPr>
          <w:rFonts w:ascii="Arial;sans-serif" w:hAnsi="Arial;sans-serif"/>
          <w:b w:val="false"/>
          <w:color w:val="131E29"/>
          <w:sz w:val="10"/>
        </w:rPr>
        <w:t>2    </w:t>
      </w:r>
      <w:r>
        <w:rPr>
          <w:rFonts w:ascii="Arial;sans-serif" w:hAnsi="Arial;sans-serif"/>
          <w:b w:val="false"/>
          <w:color w:val="131E29"/>
          <w:sz w:val="16"/>
        </w:rPr>
        <w:t>Construction-in-progress primarily consists of construction and equipment costs for new and existing shops, as well as our new roasting facility in Texas.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Depreciation expense included in the Company’s condensed consolidated statements of operations was as follows:</w:t>
      </w:r>
    </w:p>
    <w:tbl>
      <w:tblPr>
        <w:tblW w:w="8886" w:type="dxa"/>
        <w:jc w:val="left"/>
        <w:tblInd w:w="0" w:type="dxa"/>
        <w:tblCellMar>
          <w:top w:w="28" w:type="dxa"/>
          <w:left w:w="28" w:type="dxa"/>
          <w:bottom w:w="28" w:type="dxa"/>
          <w:right w:w="28" w:type="dxa"/>
        </w:tblCellMar>
      </w:tblPr>
      <w:tblGrid>
        <w:gridCol w:w="1451"/>
        <w:gridCol w:w="1274"/>
        <w:gridCol w:w="1280"/>
        <w:gridCol w:w="109"/>
        <w:gridCol w:w="109"/>
        <w:gridCol w:w="109"/>
        <w:gridCol w:w="233"/>
        <w:gridCol w:w="233"/>
        <w:gridCol w:w="233"/>
        <w:gridCol w:w="233"/>
        <w:gridCol w:w="451"/>
        <w:gridCol w:w="1382"/>
        <w:gridCol w:w="233"/>
        <w:gridCol w:w="109"/>
        <w:gridCol w:w="109"/>
        <w:gridCol w:w="109"/>
        <w:gridCol w:w="211"/>
        <w:gridCol w:w="646"/>
        <w:gridCol w:w="109"/>
        <w:gridCol w:w="109"/>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8"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8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9,110 </w:t>
            </w:r>
          </w:p>
        </w:tc>
        <w:tc>
          <w:tcPr>
            <w:tcW w:w="233"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7,568 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412 </w:t>
            </w:r>
          </w:p>
        </w:tc>
        <w:tc>
          <w:tcPr>
            <w:tcW w:w="2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9,522 </w:t>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8,267 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No impairment charges were recognized for the three months ended March 31, 2023 and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7 — Intangible Assets and Goodwill</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Intangible Assets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details of the intangible assets are as follows:</w:t>
      </w:r>
    </w:p>
    <w:tbl>
      <w:tblPr>
        <w:tblW w:w="10539" w:type="dxa"/>
        <w:jc w:val="left"/>
        <w:tblInd w:w="0" w:type="dxa"/>
        <w:tblCellMar>
          <w:top w:w="28" w:type="dxa"/>
          <w:left w:w="28" w:type="dxa"/>
          <w:bottom w:w="28" w:type="dxa"/>
          <w:right w:w="28" w:type="dxa"/>
        </w:tblCellMar>
      </w:tblPr>
      <w:tblGrid>
        <w:gridCol w:w="919"/>
        <w:gridCol w:w="788"/>
        <w:gridCol w:w="774"/>
        <w:gridCol w:w="109"/>
        <w:gridCol w:w="109"/>
        <w:gridCol w:w="109"/>
        <w:gridCol w:w="109"/>
        <w:gridCol w:w="109"/>
        <w:gridCol w:w="1255"/>
        <w:gridCol w:w="1255"/>
        <w:gridCol w:w="1258"/>
        <w:gridCol w:w="109"/>
        <w:gridCol w:w="109"/>
        <w:gridCol w:w="109"/>
        <w:gridCol w:w="272"/>
        <w:gridCol w:w="971"/>
        <w:gridCol w:w="140"/>
        <w:gridCol w:w="109"/>
        <w:gridCol w:w="109"/>
        <w:gridCol w:w="109"/>
        <w:gridCol w:w="321"/>
        <w:gridCol w:w="1146"/>
        <w:gridCol w:w="241"/>
      </w:tblGrid>
      <w:tr>
        <w:trPr/>
        <w:tc>
          <w:tcPr>
            <w:tcW w:w="91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2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2035" w:type="dxa"/>
            <w:gridSpan w:val="6"/>
            <w:tcBorders/>
            <w:shd w:fill="auto" w:val="clear"/>
          </w:tcPr>
          <w:p>
            <w:pPr>
              <w:pStyle w:val="TableContents"/>
              <w:spacing w:before="0" w:after="283"/>
              <w:rPr>
                <w:sz w:val="4"/>
                <w:szCs w:val="4"/>
              </w:rPr>
            </w:pPr>
            <w:r>
              <w:rPr>
                <w:sz w:val="4"/>
                <w:szCs w:val="4"/>
              </w:rPr>
            </w:r>
          </w:p>
        </w:tc>
      </w:tr>
      <w:tr>
        <w:trPr/>
        <w:tc>
          <w:tcPr>
            <w:tcW w:w="24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color w:val="131E29"/>
                <w:sz w:val="20"/>
              </w:rPr>
              <w:t xml:space="preserve">Weighted-average amortization period </w:t>
            </w:r>
            <w:r>
              <w:rPr>
                <w:rFonts w:ascii="Arial;sans-serif" w:hAnsi="Arial;sans-serif"/>
                <w:b w:val="false"/>
                <w:color w:val="131E29"/>
                <w:sz w:val="16"/>
              </w:rP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248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Reacquired franchise rights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8"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140"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41"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(19,156)</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(18,245)</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Intangibles,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6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7,893 </w:t>
            </w:r>
          </w:p>
        </w:tc>
        <w:tc>
          <w:tcPr>
            <w:tcW w:w="14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8,804 </w:t>
            </w:r>
          </w:p>
        </w:tc>
        <w:tc>
          <w:tcPr>
            <w:tcW w:w="2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692265" cy="363220"/>
                <wp:effectExtent l="0" t="0" r="0" b="0"/>
                <wp:wrapNone/>
                <wp:docPr id="47" name="Frame1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4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7"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4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7"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Amortization expense included in the Company’s condensed consolidated statements of operations was as follows:</w:t>
      </w:r>
    </w:p>
    <w:tbl>
      <w:tblPr>
        <w:tblW w:w="5989" w:type="dxa"/>
        <w:jc w:val="left"/>
        <w:tblInd w:w="0" w:type="dxa"/>
        <w:tblCellMar>
          <w:top w:w="28" w:type="dxa"/>
          <w:left w:w="28" w:type="dxa"/>
          <w:bottom w:w="28" w:type="dxa"/>
          <w:right w:w="28" w:type="dxa"/>
        </w:tblCellMar>
      </w:tblPr>
      <w:tblGrid>
        <w:gridCol w:w="462"/>
        <w:gridCol w:w="405"/>
        <w:gridCol w:w="407"/>
        <w:gridCol w:w="109"/>
        <w:gridCol w:w="109"/>
        <w:gridCol w:w="109"/>
        <w:gridCol w:w="264"/>
        <w:gridCol w:w="264"/>
        <w:gridCol w:w="264"/>
        <w:gridCol w:w="264"/>
        <w:gridCol w:w="511"/>
        <w:gridCol w:w="1166"/>
        <w:gridCol w:w="264"/>
        <w:gridCol w:w="109"/>
        <w:gridCol w:w="109"/>
        <w:gridCol w:w="109"/>
        <w:gridCol w:w="211"/>
        <w:gridCol w:w="481"/>
        <w:gridCol w:w="109"/>
        <w:gridCol w:w="109"/>
        <w:gridCol w:w="154"/>
      </w:tblGrid>
      <w:tr>
        <w:trPr/>
        <w:tc>
          <w:tcPr>
            <w:tcW w:w="462"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6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911 </w:t>
            </w:r>
          </w:p>
        </w:tc>
        <w:tc>
          <w:tcPr>
            <w:tcW w:w="26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915 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2" w:type="dxa"/>
            <w:gridSpan w:val="3"/>
            <w:tcBorders/>
            <w:shd w:fill="auto" w:val="clear"/>
            <w:vAlign w:val="center"/>
          </w:tcPr>
          <w:p>
            <w:pPr>
              <w:pStyle w:val="TableContents"/>
              <w:spacing w:before="0" w:after="283"/>
              <w:rPr>
                <w:sz w:val="4"/>
                <w:szCs w:val="4"/>
              </w:rPr>
            </w:pPr>
            <w:r>
              <w:rPr>
                <w:sz w:val="4"/>
                <w:szCs w:val="4"/>
              </w:rPr>
            </w:r>
          </w:p>
        </w:tc>
        <w:tc>
          <w:tcPr>
            <w:tcW w:w="19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estimated future amortization expense of the reacquired franchise rights as of March 31, 2023 is as follows:</w:t>
      </w:r>
    </w:p>
    <w:tbl>
      <w:tblPr>
        <w:tblW w:w="3093"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646"/>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2,478 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Total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7,893 </w:t>
            </w:r>
          </w:p>
        </w:tc>
        <w:tc>
          <w:tcPr>
            <w:tcW w:w="15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pPr>
      <w:r>
        <w:rPr>
          <w:rFonts w:ascii="Arial;sans-serif" w:hAnsi="Arial;sans-serif"/>
          <w:b/>
          <w:i/>
          <w:color w:val="006098"/>
          <w:sz w:val="20"/>
        </w:rPr>
        <w:t>Goodwill</w:t>
      </w:r>
      <w:r>
        <w:rPr>
          <w:color w:val="131E29"/>
        </w:rPr>
        <w:t xml:space="preserve">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Goodwill is allocated entirely to the Company-operated shops segment. The carrying amount and activity of goodwill was as follows:</w:t>
      </w:r>
    </w:p>
    <w:tbl>
      <w:tblPr>
        <w:tblW w:w="4594" w:type="dxa"/>
        <w:jc w:val="left"/>
        <w:tblInd w:w="0" w:type="dxa"/>
        <w:tblCellMar>
          <w:top w:w="28" w:type="dxa"/>
          <w:left w:w="28" w:type="dxa"/>
          <w:bottom w:w="28" w:type="dxa"/>
          <w:right w:w="28" w:type="dxa"/>
        </w:tblCellMar>
      </w:tblPr>
      <w:tblGrid>
        <w:gridCol w:w="984"/>
        <w:gridCol w:w="863"/>
        <w:gridCol w:w="868"/>
        <w:gridCol w:w="109"/>
        <w:gridCol w:w="109"/>
        <w:gridCol w:w="109"/>
        <w:gridCol w:w="109"/>
        <w:gridCol w:w="109"/>
        <w:gridCol w:w="109"/>
        <w:gridCol w:w="109"/>
        <w:gridCol w:w="211"/>
        <w:gridCol w:w="751"/>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131E29"/>
              </w:rPr>
            </w:pPr>
            <w:r>
              <w:rPr>
                <w:color w:val="131E29"/>
              </w:rPr>
              <w:t> </w:t>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Business combinations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impairment charges were recognized for the three months ended March 31, 2023 and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Arial;sans-serif" w:hAnsi="Arial;sans-serif"/>
          <w:b/>
          <w:color w:val="00416B"/>
          <w:sz w:val="24"/>
        </w:rPr>
        <w:t>NOTE 8 — Leases</w:t>
      </w:r>
      <w:r>
        <w:rPr>
          <w:color w:val="EE2724"/>
        </w:rPr>
        <w:t xml:space="preserv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Nature of Leases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leases all of its domestic company-operated shops, warehouse facilities, most headquarters buildings, and certain equipment under various non-cancelable lease agreements that expire on various dates through 2043.</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real estate leases consist of commercial ground leases (land only) and build-to-suit leases (land and building). Generally, the Company’s real estate leases have an initial term of 15 years and typically include two to three renewal options of five-years each. These renewal options are included in the lease term when it is reasonably certain that the option will be exercised. For commercial ground leases, one five-year renewal is included in the Company’s initial lease term calculations. For operating leases, the Company recognizes straight-line lease expense over the lease term from the date the Company takes possession of the leased property. Lease expense incurred prior to lease commencement is included in the calculation of the right-of-use asset. Once a lease commences, the Company records lease expense in the Company’s condensed consolidated statements of operations. Variable lease costs generally include payments for additional rent such as real estate taxes, insurance, and common area maintenance, and are excluded from the measurement of the lease liability.</w:t>
      </w:r>
    </w:p>
    <w:p>
      <w:pPr>
        <w:pStyle w:val="HorizontalLine"/>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692265" cy="363220"/>
                <wp:effectExtent l="0" t="0" r="0" b="0"/>
                <wp:wrapNone/>
                <wp:docPr id="50" name="Frame1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8"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8"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calculates right-of-use assets and lease liabilities based on the present value of the fixed lease payments, including any estimated lease incentives, at lease commencement using its incremental borrowing rate, which is established by a third party. The discount rate is equal to the rate the Company would pay on a collateralized basis to borrow an amount equal to the lease payments under similar terms.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March 31, 2023 is as follows:</w:t>
      </w:r>
    </w:p>
    <w:tbl>
      <w:tblPr>
        <w:tblW w:w="10120" w:type="dxa"/>
        <w:jc w:val="left"/>
        <w:tblInd w:w="0" w:type="dxa"/>
        <w:tblCellMar>
          <w:top w:w="28" w:type="dxa"/>
          <w:left w:w="28" w:type="dxa"/>
          <w:bottom w:w="28" w:type="dxa"/>
          <w:right w:w="28" w:type="dxa"/>
        </w:tblCellMar>
      </w:tblPr>
      <w:tblGrid>
        <w:gridCol w:w="853"/>
        <w:gridCol w:w="748"/>
        <w:gridCol w:w="754"/>
        <w:gridCol w:w="109"/>
        <w:gridCol w:w="109"/>
        <w:gridCol w:w="109"/>
        <w:gridCol w:w="1399"/>
        <w:gridCol w:w="1399"/>
        <w:gridCol w:w="1401"/>
        <w:gridCol w:w="109"/>
        <w:gridCol w:w="109"/>
        <w:gridCol w:w="109"/>
        <w:gridCol w:w="211"/>
        <w:gridCol w:w="856"/>
        <w:gridCol w:w="109"/>
        <w:gridCol w:w="109"/>
        <w:gridCol w:w="109"/>
        <w:gridCol w:w="109"/>
        <w:gridCol w:w="243"/>
        <w:gridCol w:w="989"/>
        <w:gridCol w:w="177"/>
      </w:tblGrid>
      <w:tr>
        <w:trPr/>
        <w:tc>
          <w:tcPr>
            <w:tcW w:w="853"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23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right-of-use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288,560 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247,943 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right-of-use assets, net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174,673 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169,302 </w:t>
            </w:r>
          </w:p>
        </w:tc>
        <w:tc>
          <w:tcPr>
            <w:tcW w:w="17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463,233 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417,245 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finance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8,129 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7,971 </w:t>
            </w:r>
          </w:p>
        </w:tc>
        <w:tc>
          <w:tcPr>
            <w:tcW w:w="17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237,130 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9,317 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166,345 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161,228 </w:t>
            </w:r>
          </w:p>
        </w:tc>
        <w:tc>
          <w:tcPr>
            <w:tcW w:w="17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415,646 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components of lease cost were as follows for the period presented:</w:t>
      </w:r>
    </w:p>
    <w:tbl>
      <w:tblPr>
        <w:tblW w:w="10539" w:type="dxa"/>
        <w:jc w:val="left"/>
        <w:tblInd w:w="0" w:type="dxa"/>
        <w:tblCellMar>
          <w:top w:w="28" w:type="dxa"/>
          <w:left w:w="28" w:type="dxa"/>
          <w:bottom w:w="28" w:type="dxa"/>
          <w:right w:w="28" w:type="dxa"/>
        </w:tblCellMar>
      </w:tblPr>
      <w:tblGrid>
        <w:gridCol w:w="1068"/>
        <w:gridCol w:w="904"/>
        <w:gridCol w:w="908"/>
        <w:gridCol w:w="109"/>
        <w:gridCol w:w="109"/>
        <w:gridCol w:w="109"/>
        <w:gridCol w:w="1127"/>
        <w:gridCol w:w="1127"/>
        <w:gridCol w:w="1130"/>
        <w:gridCol w:w="109"/>
        <w:gridCol w:w="109"/>
        <w:gridCol w:w="109"/>
        <w:gridCol w:w="259"/>
        <w:gridCol w:w="927"/>
        <w:gridCol w:w="134"/>
        <w:gridCol w:w="134"/>
        <w:gridCol w:w="134"/>
        <w:gridCol w:w="134"/>
        <w:gridCol w:w="259"/>
        <w:gridCol w:w="798"/>
        <w:gridCol w:w="134"/>
        <w:gridCol w:w="109"/>
        <w:gridCol w:w="109"/>
        <w:gridCol w:w="109"/>
        <w:gridCol w:w="109"/>
        <w:gridCol w:w="109"/>
        <w:gridCol w:w="163"/>
      </w:tblGrid>
      <w:tr>
        <w:trPr/>
        <w:tc>
          <w:tcPr>
            <w:tcW w:w="1068"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gridSpan w:val="2"/>
            <w:tcBorders/>
            <w:shd w:fill="auto" w:val="clea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Statement of Operations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 cost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4,346 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2,194 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3,455 </w:t>
            </w:r>
          </w:p>
        </w:tc>
        <w:tc>
          <w:tcPr>
            <w:tcW w:w="13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1,723 </w:t>
            </w:r>
          </w:p>
        </w:tc>
        <w:tc>
          <w:tcPr>
            <w:tcW w:w="13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7,801 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3,917 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4,512 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3,847 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0"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lease cost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2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13,691 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8,257 </w:t>
            </w:r>
          </w:p>
        </w:tc>
        <w:tc>
          <w:tcPr>
            <w:tcW w:w="1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692265" cy="363220"/>
                <wp:effectExtent l="0" t="0" r="0" b="0"/>
                <wp:wrapNone/>
                <wp:docPr id="53" name="Frame1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9"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9" descr=""/>
                                    <pic:cNvPicPr>
                                      <a:picLocks noChangeAspect="1" noChangeArrowheads="1"/>
                                    </pic:cNvPicPr>
                                  </pic:nvPicPr>
                                  <pic:blipFill>
                                    <a:blip r:embed="rId2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minimum lease payments for finance and operating lease liabilities as of March 31, 2023 are as follows:</w:t>
      </w:r>
    </w:p>
    <w:tbl>
      <w:tblPr>
        <w:tblW w:w="6890" w:type="dxa"/>
        <w:jc w:val="left"/>
        <w:tblInd w:w="0" w:type="dxa"/>
        <w:tblCellMar>
          <w:top w:w="28" w:type="dxa"/>
          <w:left w:w="28" w:type="dxa"/>
          <w:bottom w:w="28" w:type="dxa"/>
          <w:right w:w="28" w:type="dxa"/>
        </w:tblCellMar>
      </w:tblPr>
      <w:tblGrid>
        <w:gridCol w:w="1392"/>
        <w:gridCol w:w="1220"/>
        <w:gridCol w:w="1227"/>
        <w:gridCol w:w="109"/>
        <w:gridCol w:w="109"/>
        <w:gridCol w:w="109"/>
        <w:gridCol w:w="211"/>
        <w:gridCol w:w="856"/>
        <w:gridCol w:w="109"/>
        <w:gridCol w:w="109"/>
        <w:gridCol w:w="109"/>
        <w:gridCol w:w="109"/>
        <w:gridCol w:w="211"/>
        <w:gridCol w:w="856"/>
        <w:gridCol w:w="154"/>
      </w:tblGrid>
      <w:tr>
        <w:trPr/>
        <w:tc>
          <w:tcPr>
            <w:tcW w:w="1392"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Finance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Operating</w:t>
            </w:r>
          </w:p>
        </w:tc>
      </w:tr>
      <w:tr>
        <w:trPr/>
        <w:tc>
          <w:tcPr>
            <w:tcW w:w="383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17,009 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12,609 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16,663 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24,565 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16,416 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25,597 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15,933 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316,961 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164,248 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433,263 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242,125 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(149,495)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(66,244)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Present value of minimum lease payments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283,768 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175,881 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275,639 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166,345 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lease terms and discount rates for finance and operating leases is as follows:</w:t>
      </w:r>
    </w:p>
    <w:tbl>
      <w:tblPr>
        <w:tblW w:w="5845" w:type="dxa"/>
        <w:jc w:val="left"/>
        <w:tblInd w:w="0" w:type="dxa"/>
        <w:tblCellMar>
          <w:top w:w="28" w:type="dxa"/>
          <w:left w:w="28" w:type="dxa"/>
          <w:bottom w:w="28" w:type="dxa"/>
          <w:right w:w="28" w:type="dxa"/>
        </w:tblCellMar>
      </w:tblPr>
      <w:tblGrid>
        <w:gridCol w:w="1620"/>
        <w:gridCol w:w="1423"/>
        <w:gridCol w:w="1426"/>
        <w:gridCol w:w="109"/>
        <w:gridCol w:w="109"/>
        <w:gridCol w:w="109"/>
        <w:gridCol w:w="307"/>
        <w:gridCol w:w="307"/>
        <w:gridCol w:w="435"/>
      </w:tblGrid>
      <w:tr>
        <w:trPr/>
        <w:tc>
          <w:tcPr>
            <w:tcW w:w="1620"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1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w:t>
              <w:br/>
              <w:t>2023</w:t>
            </w:r>
          </w:p>
        </w:tc>
      </w:tr>
      <w:tr>
        <w:trPr/>
        <w:tc>
          <w:tcPr>
            <w:tcW w:w="446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Weighted-average remaining lease term (years)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16.2</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14.9</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Weighted-average discount rate (percentages)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5.4%</w:t>
            </w:r>
          </w:p>
        </w:tc>
      </w:tr>
      <w:tr>
        <w:trPr/>
        <w:tc>
          <w:tcPr>
            <w:tcW w:w="446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4.3%</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as of March 31, 2023 is as follows for the period presented:</w:t>
      </w:r>
    </w:p>
    <w:tbl>
      <w:tblPr>
        <w:tblW w:w="10350" w:type="dxa"/>
        <w:jc w:val="left"/>
        <w:tblInd w:w="0" w:type="dxa"/>
        <w:tblCellMar>
          <w:top w:w="28" w:type="dxa"/>
          <w:left w:w="28" w:type="dxa"/>
          <w:bottom w:w="28" w:type="dxa"/>
          <w:right w:w="28" w:type="dxa"/>
        </w:tblCellMar>
      </w:tblPr>
      <w:tblGrid>
        <w:gridCol w:w="2449"/>
        <w:gridCol w:w="2150"/>
        <w:gridCol w:w="2165"/>
        <w:gridCol w:w="109"/>
        <w:gridCol w:w="109"/>
        <w:gridCol w:w="109"/>
        <w:gridCol w:w="280"/>
        <w:gridCol w:w="858"/>
        <w:gridCol w:w="144"/>
        <w:gridCol w:w="144"/>
        <w:gridCol w:w="144"/>
        <w:gridCol w:w="144"/>
        <w:gridCol w:w="280"/>
        <w:gridCol w:w="858"/>
        <w:gridCol w:w="144"/>
        <w:gridCol w:w="109"/>
        <w:gridCol w:w="154"/>
      </w:tblGrid>
      <w:tr>
        <w:trPr/>
        <w:tc>
          <w:tcPr>
            <w:tcW w:w="2449" w:type="dxa"/>
            <w:tcBorders/>
            <w:shd w:fill="auto" w:val="clear"/>
            <w:vAlign w:val="center"/>
          </w:tcPr>
          <w:p>
            <w:pPr>
              <w:pStyle w:val="TableContents"/>
              <w:spacing w:before="0" w:after="283"/>
              <w:rPr>
                <w:sz w:val="4"/>
                <w:szCs w:val="4"/>
              </w:rPr>
            </w:pPr>
            <w:r>
              <w:rPr>
                <w:sz w:val="4"/>
                <w:szCs w:val="4"/>
              </w:rPr>
            </w:r>
          </w:p>
        </w:tc>
        <w:tc>
          <w:tcPr>
            <w:tcW w:w="2150" w:type="dxa"/>
            <w:tcBorders/>
            <w:shd w:fill="auto" w:val="clear"/>
            <w:vAlign w:val="center"/>
          </w:tcPr>
          <w:p>
            <w:pPr>
              <w:pStyle w:val="TableContents"/>
              <w:spacing w:before="0" w:after="283"/>
              <w:rPr>
                <w:sz w:val="4"/>
                <w:szCs w:val="4"/>
              </w:rPr>
            </w:pPr>
            <w:r>
              <w:rPr>
                <w:sz w:val="4"/>
                <w:szCs w:val="4"/>
              </w:rPr>
            </w:r>
          </w:p>
        </w:tc>
        <w:tc>
          <w:tcPr>
            <w:tcW w:w="2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3,455 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1,723 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4,390 </w:t>
            </w:r>
          </w:p>
        </w:tc>
        <w:tc>
          <w:tcPr>
            <w:tcW w:w="14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3,748 </w:t>
            </w:r>
          </w:p>
        </w:tc>
        <w:tc>
          <w:tcPr>
            <w:tcW w:w="14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3,369 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997 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42,036 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64,954 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6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7,912 </w:t>
            </w:r>
          </w:p>
        </w:tc>
        <w:tc>
          <w:tcPr>
            <w:tcW w:w="14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157,249 </w:t>
            </w:r>
          </w:p>
        </w:tc>
        <w:tc>
          <w:tcPr>
            <w:tcW w:w="14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692265" cy="363220"/>
                <wp:effectExtent l="0" t="0" r="0" b="0"/>
                <wp:wrapNone/>
                <wp:docPr id="56" name="Frame2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5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0"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9 — Debt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Credit Facility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28, 2022 (the Effective Date), the Company amended its credit facility entered into on May 12, 2021 with JPMorgan Chase, N.A. (the Senior Secured Credit Facility). The amended facility (the 2022 Credit Facility) has a total capacity of $500 million, consisting of a $250 million revolving credit facility, a delayed draw term loan facility of up to $150 million, and a term loan facility of up to $100 million. The revolving credit facility includes sub-limits for issuance of letters of credit and swing line loans of up to $50 million and $15 million, respectively. The 2022 Credit Facility also contains an option allowing the Company to increase the size of the 2022 Credit Facility by up to an additional $150 million, with the agreement of the committing lenders. The 2022 Credit Facility expires five years after the Effective Date.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entering into the 2022 Credit Facility in February 2022, the Company drew the full $100 million term loan facility and approximately $28 million in revolving loans, and the existing credit facility was repaid and terminated.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required to pay a commitment fee on a quarterly basis, at a per annum rate of between 0.20% and 0.45% (depending on the Company’s maximum net lease-adjusted total leverage ratio) based on the (i) average daily unused portion of the revolving credit facility, and (ii) the daily undrawn amount of the delayed draw term loan facility. These fees are recorded as interest expense on the Company’s condensed consolidated statements of operations.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2022 Credit Facility contains financial covenants that require the Company to not exceed a maximum net lease-adjusted total leverage ratio and maintain a minimum fixed charge coverage ratio. The 2022 Credit Facility also contains certain negative covenants that, among other things, limit the Company’s ability to incur additional debt, grant liens on assets, merge with or acquire other companies, make other investments, dispose of assets, and enter into sale and leaseback transactions and swap agreements. Obligations under the 2022 Credit Facility are guaranteed by Dutch Bros OpCo and its subsidiaries, and secured by a first priority perfected security interest in substantially all of the assets of the guarantors.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approximately $97.5 million and $152.7 million of principal amounts were outstanding on the term loan and revolving loans, respectively, and $97.3 million was available for borrowing on the revolving loans. The term loan bears interest at 7.31% and revolving loans bear interest at approximately 7.29% as of March 31, 2023. The Company was in compliance with its financial covenants as of that date.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Long-Term Debt</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The Company’s long-term debt consisted of the following for the periods presented:</w:t>
      </w:r>
    </w:p>
    <w:p>
      <w:pPr>
        <w:pStyle w:val="HorizontalLine"/>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692265" cy="363220"/>
                <wp:effectExtent l="0" t="0" r="0" b="0"/>
                <wp:wrapNone/>
                <wp:docPr id="59" name="Frame2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1"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tbl>
      <w:tblPr>
        <w:tblW w:w="7808" w:type="dxa"/>
        <w:jc w:val="left"/>
        <w:tblInd w:w="0" w:type="dxa"/>
        <w:tblCellMar>
          <w:top w:w="28" w:type="dxa"/>
          <w:left w:w="28" w:type="dxa"/>
          <w:bottom w:w="28" w:type="dxa"/>
          <w:right w:w="28" w:type="dxa"/>
        </w:tblCellMar>
      </w:tblPr>
      <w:tblGrid>
        <w:gridCol w:w="1370"/>
        <w:gridCol w:w="1202"/>
        <w:gridCol w:w="1208"/>
        <w:gridCol w:w="109"/>
        <w:gridCol w:w="109"/>
        <w:gridCol w:w="109"/>
        <w:gridCol w:w="292"/>
        <w:gridCol w:w="1042"/>
        <w:gridCol w:w="151"/>
        <w:gridCol w:w="109"/>
        <w:gridCol w:w="109"/>
        <w:gridCol w:w="109"/>
        <w:gridCol w:w="357"/>
        <w:gridCol w:w="1272"/>
        <w:gridCol w:w="260"/>
      </w:tblGrid>
      <w:tr>
        <w:trPr/>
        <w:tc>
          <w:tcPr>
            <w:tcW w:w="137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r>
      <w:tr>
        <w:trPr/>
        <w:tc>
          <w:tcPr>
            <w:tcW w:w="37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2216" w:type="dxa"/>
            <w:gridSpan w:val="6"/>
            <w:tcBorders/>
            <w:shd w:fill="auto" w:val="clear"/>
          </w:tcPr>
          <w:p>
            <w:pPr>
              <w:pStyle w:val="TableContents"/>
              <w:spacing w:before="0" w:after="283"/>
              <w:rPr>
                <w:sz w:val="4"/>
                <w:szCs w:val="4"/>
              </w:rPr>
            </w:pPr>
            <w:r>
              <w:rPr>
                <w:sz w:val="4"/>
                <w:szCs w:val="4"/>
              </w:rPr>
            </w:r>
          </w:p>
        </w:tc>
      </w:tr>
      <w:tr>
        <w:trPr/>
        <w:tc>
          <w:tcPr>
            <w:tcW w:w="37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 2022</w:t>
            </w:r>
          </w:p>
        </w:tc>
      </w:tr>
      <w:tr>
        <w:trPr/>
        <w:tc>
          <w:tcPr>
            <w:tcW w:w="378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Terms loan under credit facility</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97,500 </w:t>
            </w:r>
          </w:p>
        </w:tc>
        <w:tc>
          <w:tcPr>
            <w:tcW w:w="151"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98,125 </w:t>
            </w:r>
          </w:p>
        </w:tc>
        <w:tc>
          <w:tcPr>
            <w:tcW w:w="260"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Finance obligation</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1,379 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498 </w:t>
            </w:r>
          </w:p>
        </w:tc>
        <w:tc>
          <w:tcPr>
            <w:tcW w:w="15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524 </w:t>
            </w:r>
          </w:p>
        </w:tc>
        <w:tc>
          <w:tcPr>
            <w:tcW w:w="2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99,379 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100,028 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(1,054)</w:t>
            </w:r>
          </w:p>
        </w:tc>
        <w:tc>
          <w:tcPr>
            <w:tcW w:w="15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(1,122)</w:t>
            </w:r>
          </w:p>
        </w:tc>
        <w:tc>
          <w:tcPr>
            <w:tcW w:w="2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(2,611)</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(2,609)</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8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long-term debt, net of current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4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95,714 </w:t>
            </w:r>
          </w:p>
        </w:tc>
        <w:tc>
          <w:tcPr>
            <w:tcW w:w="1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96,297 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w:t>
      </w:r>
    </w:p>
    <w:p>
      <w:pPr>
        <w:pStyle w:val="TextBody"/>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 xml:space="preserve">Represents failed sale-leaseback arrangements under ASC 842.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March 31, 2023 are as follows: </w:t>
      </w:r>
    </w:p>
    <w:tbl>
      <w:tblPr>
        <w:tblW w:w="3198" w:type="dxa"/>
        <w:jc w:val="left"/>
        <w:tblInd w:w="0" w:type="dxa"/>
        <w:tblCellMar>
          <w:top w:w="28" w:type="dxa"/>
          <w:left w:w="28" w:type="dxa"/>
          <w:bottom w:w="28" w:type="dxa"/>
          <w:right w:w="28" w:type="dxa"/>
        </w:tblCellMar>
      </w:tblPr>
      <w:tblGrid>
        <w:gridCol w:w="636"/>
        <w:gridCol w:w="558"/>
        <w:gridCol w:w="561"/>
        <w:gridCol w:w="109"/>
        <w:gridCol w:w="109"/>
        <w:gridCol w:w="109"/>
        <w:gridCol w:w="211"/>
        <w:gridCol w:w="751"/>
        <w:gridCol w:w="154"/>
      </w:tblGrid>
      <w:tr>
        <w:trPr/>
        <w:tc>
          <w:tcPr>
            <w:tcW w:w="636"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1,958 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6,998 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71,295 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99,379 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10 — Fair Value Measurements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Company’s condensed consolidated financial statements include cash and cash equivalents, accounts receivable, accounts payable, accrued expenses and other current liabilities, for which the carrying amounts approximate fair value due to their short-term maturity. The fair value of the Company’s variable-rate term loan and revolving loans approximate their carrying amounts; these debt instruments are designated as Level 2 within the fair value hierarchy. The Company’s cost of borrowing is variable and approximates current market rates.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has an interest rate swap, which is required to be measured at fair value on a recurring basis. Designated as a Level 2 instrument within the fair value hierarchy, the interest rate swap as of March 31, 2023 had a fair value of $2.2 million, and is recorded as an asset on the Company’s condensed consolidated balance sheet.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fair value of the Company’s interest rate swap was determined based on the present value of expected future cash flows considering the risks involved, including nonperformance risk, and using discount rates appropriate for the duration based on observable inputs.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11 — Derivative Financial Instruments for additional details related to the interest rate swap.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11 — Derivative Financial Instruments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From time to time, the Company may enter into interest rate swaps to fix a portion of interest expense. The Company does not enter into derivative instruments for any other purpose other than to manage its risks related to fluctuations in interest rates and does not engage in interest rate speculation using derivative instruments.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During 2022, the Company entered into a receive-variable (Receive Leg), pay-fixed (Pay Leg) interest rate swap with JPMorgan Chase Bank, N.A with respect to $70 million of the term loan under the 2022 </w:t>
      </w:r>
    </w:p>
    <w:p>
      <w:pPr>
        <w:pStyle w:val="HorizontalLine"/>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692265" cy="363220"/>
                <wp:effectExtent l="0" t="0" r="0" b="0"/>
                <wp:wrapNone/>
                <wp:docPr id="62" name="Frame2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Credit Facility. The interest rate swap matures on February 28, 2027 and has a fixed rate of 2.67% per annum for the Pay Leg. The variable rate on the Receive Leg of the interest rate swap is the one-month adjusted term SOFR rate plus an applicable margin. As of March 31, 2023, the one-month adjusted term SOFR rate was 4.81%.</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typically designates all interest rate swaps as cash flow hedges, and accordingly, records the change in fair value for the effective portion of the interest rate swap in AOCI rather than in current period earnings until the underlying hedged transaction affects earnings. As of March 31, 2023, the Company expects to reclassify a gain of approximately $1.3 million from AOCI to earnings within the next twelve months.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fair value and effect of the derivative instrument included in the Company’s condensed consolidated financial statements was as follows:</w:t>
      </w:r>
    </w:p>
    <w:tbl>
      <w:tblPr>
        <w:tblW w:w="10539" w:type="dxa"/>
        <w:jc w:val="left"/>
        <w:tblInd w:w="0" w:type="dxa"/>
        <w:tblCellMar>
          <w:top w:w="28" w:type="dxa"/>
          <w:left w:w="28" w:type="dxa"/>
          <w:bottom w:w="28" w:type="dxa"/>
          <w:right w:w="28" w:type="dxa"/>
        </w:tblCellMar>
      </w:tblPr>
      <w:tblGrid>
        <w:gridCol w:w="1540"/>
        <w:gridCol w:w="1327"/>
        <w:gridCol w:w="1311"/>
        <w:gridCol w:w="109"/>
        <w:gridCol w:w="109"/>
        <w:gridCol w:w="109"/>
        <w:gridCol w:w="1025"/>
        <w:gridCol w:w="1025"/>
        <w:gridCol w:w="1027"/>
        <w:gridCol w:w="109"/>
        <w:gridCol w:w="109"/>
        <w:gridCol w:w="109"/>
        <w:gridCol w:w="216"/>
        <w:gridCol w:w="663"/>
        <w:gridCol w:w="111"/>
        <w:gridCol w:w="109"/>
        <w:gridCol w:w="109"/>
        <w:gridCol w:w="109"/>
        <w:gridCol w:w="272"/>
        <w:gridCol w:w="835"/>
        <w:gridCol w:w="206"/>
      </w:tblGrid>
      <w:tr>
        <w:trPr/>
        <w:tc>
          <w:tcPr>
            <w:tcW w:w="1540"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r>
      <w:tr>
        <w:trPr/>
        <w:tc>
          <w:tcPr>
            <w:tcW w:w="41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2022</w:t>
            </w:r>
          </w:p>
        </w:tc>
      </w:tr>
      <w:tr>
        <w:trPr/>
        <w:tc>
          <w:tcPr>
            <w:tcW w:w="417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1,457 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901 </w:t>
            </w:r>
          </w:p>
        </w:tc>
        <w:tc>
          <w:tcPr>
            <w:tcW w:w="11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1,706 </w:t>
            </w:r>
          </w:p>
        </w:tc>
        <w:tc>
          <w:tcPr>
            <w:tcW w:w="20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3,163 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r>
        <w:trPr/>
        <w:tc>
          <w:tcPr>
            <w:tcW w:w="4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r>
        <w:trPr/>
        <w:tc>
          <w:tcPr>
            <w:tcW w:w="4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r>
        <w:trPr/>
        <w:tc>
          <w:tcPr>
            <w:tcW w:w="4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r>
        <w:trPr/>
        <w:tc>
          <w:tcPr>
            <w:tcW w:w="41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3" w:type="dxa"/>
            <w:gridSpan w:val="3"/>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1821"/>
        <w:gridCol w:w="1348"/>
        <w:gridCol w:w="1309"/>
        <w:gridCol w:w="109"/>
        <w:gridCol w:w="109"/>
        <w:gridCol w:w="109"/>
        <w:gridCol w:w="900"/>
        <w:gridCol w:w="847"/>
        <w:gridCol w:w="849"/>
        <w:gridCol w:w="109"/>
        <w:gridCol w:w="109"/>
        <w:gridCol w:w="109"/>
        <w:gridCol w:w="109"/>
        <w:gridCol w:w="109"/>
        <w:gridCol w:w="109"/>
        <w:gridCol w:w="109"/>
        <w:gridCol w:w="472"/>
        <w:gridCol w:w="1175"/>
        <w:gridCol w:w="243"/>
        <w:gridCol w:w="109"/>
        <w:gridCol w:w="109"/>
        <w:gridCol w:w="109"/>
        <w:gridCol w:w="158"/>
      </w:tblGrid>
      <w:tr>
        <w:trPr/>
        <w:tc>
          <w:tcPr>
            <w:tcW w:w="1821"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(571)</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75"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(333)</w:t>
            </w:r>
          </w:p>
        </w:tc>
        <w:tc>
          <w:tcPr>
            <w:tcW w:w="24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Statement of Operations - Income tax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7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4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related to the Company’s derivative, see NOTE 10 — Fair Value Measurements.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12 — Income Taxes</w:t>
      </w:r>
    </w:p>
    <w:tbl>
      <w:tblPr>
        <w:tblW w:w="8691" w:type="dxa"/>
        <w:jc w:val="left"/>
        <w:tblInd w:w="0" w:type="dxa"/>
        <w:tblCellMar>
          <w:top w:w="28" w:type="dxa"/>
          <w:left w:w="28" w:type="dxa"/>
          <w:bottom w:w="28" w:type="dxa"/>
          <w:right w:w="28" w:type="dxa"/>
        </w:tblCellMar>
      </w:tblPr>
      <w:tblGrid>
        <w:gridCol w:w="962"/>
        <w:gridCol w:w="844"/>
        <w:gridCol w:w="849"/>
        <w:gridCol w:w="109"/>
        <w:gridCol w:w="109"/>
        <w:gridCol w:w="109"/>
        <w:gridCol w:w="109"/>
        <w:gridCol w:w="109"/>
        <w:gridCol w:w="109"/>
        <w:gridCol w:w="109"/>
        <w:gridCol w:w="526"/>
        <w:gridCol w:w="207"/>
        <w:gridCol w:w="207"/>
        <w:gridCol w:w="207"/>
        <w:gridCol w:w="401"/>
        <w:gridCol w:w="1227"/>
        <w:gridCol w:w="543"/>
        <w:gridCol w:w="109"/>
        <w:gridCol w:w="109"/>
        <w:gridCol w:w="109"/>
        <w:gridCol w:w="211"/>
        <w:gridCol w:w="541"/>
        <w:gridCol w:w="286"/>
        <w:gridCol w:w="109"/>
        <w:gridCol w:w="109"/>
        <w:gridCol w:w="109"/>
        <w:gridCol w:w="109"/>
        <w:gridCol w:w="154"/>
      </w:tblGrid>
      <w:tr>
        <w:trPr/>
        <w:tc>
          <w:tcPr>
            <w:tcW w:w="96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8" w:type="dxa"/>
            <w:gridSpan w:val="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955" w:type="dxa"/>
            <w:gridSpan w:val="11"/>
            <w:tcBorders/>
            <w:shd w:fill="auto" w:val="clea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6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2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2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2,580 </w:t>
            </w:r>
          </w:p>
        </w:tc>
        <w:tc>
          <w:tcPr>
            <w:tcW w:w="543"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4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28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6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(37.9)</w:t>
            </w:r>
          </w:p>
        </w:tc>
        <w:tc>
          <w:tcPr>
            <w:tcW w:w="54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2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state taxes and adjustments to the outside basis differences as a result of stock-based compensation vested in the quarter.</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692265" cy="363220"/>
                <wp:effectExtent l="0" t="0" r="0" b="0"/>
                <wp:wrapNone/>
                <wp:docPr id="65" name="Frame2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6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3"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13 — Equity and Equity-Based Compensation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Equity Awards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the Company had equity-based compensation awards outstanding consisting of RSAs and RSUs.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Awards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RSAs was as follows:</w:t>
      </w:r>
    </w:p>
    <w:tbl>
      <w:tblPr>
        <w:tblW w:w="10539" w:type="dxa"/>
        <w:jc w:val="left"/>
        <w:tblInd w:w="0" w:type="dxa"/>
        <w:tblCellMar>
          <w:top w:w="28" w:type="dxa"/>
          <w:left w:w="28" w:type="dxa"/>
          <w:bottom w:w="28" w:type="dxa"/>
          <w:right w:w="28" w:type="dxa"/>
        </w:tblCellMar>
      </w:tblPr>
      <w:tblGrid>
        <w:gridCol w:w="1118"/>
        <w:gridCol w:w="977"/>
        <w:gridCol w:w="983"/>
        <w:gridCol w:w="109"/>
        <w:gridCol w:w="109"/>
        <w:gridCol w:w="109"/>
        <w:gridCol w:w="767"/>
        <w:gridCol w:w="767"/>
        <w:gridCol w:w="769"/>
        <w:gridCol w:w="109"/>
        <w:gridCol w:w="109"/>
        <w:gridCol w:w="109"/>
        <w:gridCol w:w="936"/>
        <w:gridCol w:w="2874"/>
        <w:gridCol w:w="694"/>
      </w:tblGrid>
      <w:tr>
        <w:trPr/>
        <w:tc>
          <w:tcPr>
            <w:tcW w:w="111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r>
      <w:tr>
        <w:trPr/>
        <w:tc>
          <w:tcPr>
            <w:tcW w:w="307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Restricted Stock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04" w:type="dxa"/>
            <w:gridSpan w:val="3"/>
            <w:tcBorders/>
            <w:shd w:fill="auto" w:val="clear"/>
            <w:vAlign w:val="center"/>
          </w:tcPr>
          <w:p>
            <w:pPr>
              <w:pStyle w:val="TableContents"/>
              <w:spacing w:before="0" w:after="283"/>
              <w:rPr>
                <w:sz w:val="4"/>
                <w:szCs w:val="4"/>
              </w:rPr>
            </w:pPr>
            <w:r>
              <w:rPr>
                <w:sz w:val="4"/>
                <w:szCs w:val="4"/>
              </w:rPr>
            </w:r>
          </w:p>
        </w:tc>
      </w:tr>
      <w:tr>
        <w:trPr/>
        <w:tc>
          <w:tcPr>
            <w:tcW w:w="3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04" w:type="dxa"/>
            <w:gridSpan w:val="3"/>
            <w:tcBorders/>
            <w:shd w:fill="auto" w:val="clear"/>
            <w:vAlign w:val="center"/>
          </w:tcPr>
          <w:p>
            <w:pPr>
              <w:pStyle w:val="TableContents"/>
              <w:spacing w:before="0" w:after="283"/>
              <w:rPr>
                <w:sz w:val="4"/>
                <w:szCs w:val="4"/>
              </w:rPr>
            </w:pPr>
            <w:r>
              <w:rPr>
                <w:sz w:val="4"/>
                <w:szCs w:val="4"/>
              </w:rPr>
            </w:r>
          </w:p>
        </w:tc>
      </w:tr>
      <w:tr>
        <w:trPr/>
        <w:tc>
          <w:tcPr>
            <w:tcW w:w="3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04" w:type="dxa"/>
            <w:gridSpan w:val="3"/>
            <w:tcBorders/>
            <w:shd w:fill="auto" w:val="clear"/>
            <w:vAlign w:val="center"/>
          </w:tcPr>
          <w:p>
            <w:pPr>
              <w:pStyle w:val="TableContents"/>
              <w:spacing w:before="0" w:after="283"/>
              <w:rPr>
                <w:sz w:val="4"/>
                <w:szCs w:val="4"/>
              </w:rPr>
            </w:pPr>
            <w:r>
              <w:rPr>
                <w:sz w:val="4"/>
                <w:szCs w:val="4"/>
              </w:rPr>
            </w:r>
          </w:p>
        </w:tc>
      </w:tr>
      <w:tr>
        <w:trPr/>
        <w:tc>
          <w:tcPr>
            <w:tcW w:w="307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34"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2,667 </w:t>
            </w:r>
          </w:p>
        </w:tc>
        <w:tc>
          <w:tcPr>
            <w:tcW w:w="76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7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9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04" w:type="dxa"/>
            <w:gridSpan w:val="3"/>
            <w:tcBorders/>
            <w:shd w:fill="auto" w:val="clear"/>
            <w:vAlign w:val="center"/>
          </w:tcPr>
          <w:p>
            <w:pPr>
              <w:pStyle w:val="TableContents"/>
              <w:spacing w:before="0" w:after="283"/>
              <w:rPr>
                <w:sz w:val="4"/>
                <w:szCs w:val="4"/>
              </w:rPr>
            </w:pPr>
            <w:r>
              <w:rPr>
                <w:sz w:val="4"/>
                <w:szCs w:val="4"/>
              </w:rPr>
            </w:r>
          </w:p>
        </w:tc>
      </w:tr>
      <w:tr>
        <w:trPr/>
        <w:tc>
          <w:tcPr>
            <w:tcW w:w="3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04" w:type="dxa"/>
            <w:gridSpan w:val="3"/>
            <w:tcBorders/>
            <w:shd w:fill="auto" w:val="clear"/>
            <w:vAlign w:val="center"/>
          </w:tcPr>
          <w:p>
            <w:pPr>
              <w:pStyle w:val="TableContents"/>
              <w:spacing w:before="0" w:after="283"/>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(1,263)</w:t>
            </w:r>
          </w:p>
        </w:tc>
        <w:tc>
          <w:tcPr>
            <w:tcW w:w="7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53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w:t>
            </w:r>
          </w:p>
        </w:tc>
        <w:tc>
          <w:tcPr>
            <w:tcW w:w="76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9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7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15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1,396 </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23.00 </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Restricted Stock Units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Activity for the Company’s RSUs was as follows:</w:t>
      </w:r>
    </w:p>
    <w:tbl>
      <w:tblPr>
        <w:tblW w:w="10539" w:type="dxa"/>
        <w:jc w:val="left"/>
        <w:tblInd w:w="0" w:type="dxa"/>
        <w:tblCellMar>
          <w:top w:w="28" w:type="dxa"/>
          <w:left w:w="28" w:type="dxa"/>
          <w:bottom w:w="28" w:type="dxa"/>
          <w:right w:w="28" w:type="dxa"/>
        </w:tblCellMar>
      </w:tblPr>
      <w:tblGrid>
        <w:gridCol w:w="1140"/>
        <w:gridCol w:w="1000"/>
        <w:gridCol w:w="1007"/>
        <w:gridCol w:w="109"/>
        <w:gridCol w:w="109"/>
        <w:gridCol w:w="109"/>
        <w:gridCol w:w="713"/>
        <w:gridCol w:w="713"/>
        <w:gridCol w:w="715"/>
        <w:gridCol w:w="109"/>
        <w:gridCol w:w="109"/>
        <w:gridCol w:w="109"/>
        <w:gridCol w:w="956"/>
        <w:gridCol w:w="2933"/>
        <w:gridCol w:w="708"/>
      </w:tblGrid>
      <w:tr>
        <w:trPr/>
        <w:tc>
          <w:tcPr>
            <w:tcW w:w="1140"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2933"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314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97" w:type="dxa"/>
            <w:gridSpan w:val="3"/>
            <w:tcBorders/>
            <w:shd w:fill="auto" w:val="clear"/>
            <w:vAlign w:val="center"/>
          </w:tcPr>
          <w:p>
            <w:pPr>
              <w:pStyle w:val="TableContents"/>
              <w:spacing w:before="0" w:after="283"/>
              <w:rPr>
                <w:sz w:val="4"/>
                <w:szCs w:val="4"/>
              </w:rPr>
            </w:pPr>
            <w:r>
              <w:rPr>
                <w:sz w:val="4"/>
                <w:szCs w:val="4"/>
              </w:rPr>
            </w:r>
          </w:p>
        </w:tc>
      </w:tr>
      <w:tr>
        <w:trPr/>
        <w:tc>
          <w:tcPr>
            <w:tcW w:w="3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97" w:type="dxa"/>
            <w:gridSpan w:val="3"/>
            <w:tcBorders/>
            <w:shd w:fill="auto" w:val="clear"/>
            <w:vAlign w:val="center"/>
          </w:tcPr>
          <w:p>
            <w:pPr>
              <w:pStyle w:val="TableContents"/>
              <w:spacing w:before="0" w:after="283"/>
              <w:rPr>
                <w:sz w:val="4"/>
                <w:szCs w:val="4"/>
              </w:rPr>
            </w:pPr>
            <w:r>
              <w:rPr>
                <w:sz w:val="4"/>
                <w:szCs w:val="4"/>
              </w:rPr>
            </w:r>
          </w:p>
        </w:tc>
      </w:tr>
      <w:tr>
        <w:trPr/>
        <w:tc>
          <w:tcPr>
            <w:tcW w:w="3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97" w:type="dxa"/>
            <w:gridSpan w:val="3"/>
            <w:tcBorders/>
            <w:shd w:fill="auto" w:val="clear"/>
            <w:vAlign w:val="center"/>
          </w:tcPr>
          <w:p>
            <w:pPr>
              <w:pStyle w:val="TableContents"/>
              <w:spacing w:before="0" w:after="283"/>
              <w:rPr>
                <w:sz w:val="4"/>
                <w:szCs w:val="4"/>
              </w:rPr>
            </w:pPr>
            <w:r>
              <w:rPr>
                <w:sz w:val="4"/>
                <w:szCs w:val="4"/>
              </w:rPr>
            </w:r>
          </w:p>
        </w:tc>
      </w:tr>
      <w:tr>
        <w:trPr/>
        <w:tc>
          <w:tcPr>
            <w:tcW w:w="3147"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42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583 </w:t>
            </w:r>
          </w:p>
        </w:tc>
        <w:tc>
          <w:tcPr>
            <w:tcW w:w="715"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93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44.34 </w:t>
            </w:r>
          </w:p>
        </w:tc>
        <w:tc>
          <w:tcPr>
            <w:tcW w:w="70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597" w:type="dxa"/>
            <w:gridSpan w:val="3"/>
            <w:tcBorders/>
            <w:shd w:fill="auto" w:val="clear"/>
            <w:vAlign w:val="center"/>
          </w:tcPr>
          <w:p>
            <w:pPr>
              <w:pStyle w:val="TableContents"/>
              <w:spacing w:before="0" w:after="283"/>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381 </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31.99 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42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w:t>
            </w:r>
          </w:p>
        </w:tc>
        <w:tc>
          <w:tcPr>
            <w:tcW w:w="715"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9"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43.50 </w:t>
            </w:r>
          </w:p>
        </w:tc>
        <w:tc>
          <w:tcPr>
            <w:tcW w:w="708"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w:t>
            </w:r>
          </w:p>
        </w:tc>
        <w:tc>
          <w:tcPr>
            <w:tcW w:w="7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8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43.62 </w:t>
            </w:r>
          </w:p>
        </w:tc>
        <w:tc>
          <w:tcPr>
            <w:tcW w:w="7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Balance, March 31, 2023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615 </w:t>
            </w:r>
          </w:p>
        </w:tc>
        <w:tc>
          <w:tcPr>
            <w:tcW w:w="71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29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37.13 </w:t>
            </w:r>
          </w:p>
        </w:tc>
        <w:tc>
          <w:tcPr>
            <w:tcW w:w="70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restricted stock awards and units for the three months ended March 31, 2023 and 2022 are presented below. </w:t>
      </w:r>
    </w:p>
    <w:tbl>
      <w:tblPr>
        <w:tblW w:w="10539" w:type="dxa"/>
        <w:jc w:val="left"/>
        <w:tblInd w:w="0" w:type="dxa"/>
        <w:tblCellMar>
          <w:top w:w="28" w:type="dxa"/>
          <w:left w:w="28" w:type="dxa"/>
          <w:bottom w:w="28" w:type="dxa"/>
          <w:right w:w="28" w:type="dxa"/>
        </w:tblCellMar>
      </w:tblPr>
      <w:tblGrid>
        <w:gridCol w:w="561"/>
        <w:gridCol w:w="441"/>
        <w:gridCol w:w="444"/>
        <w:gridCol w:w="109"/>
        <w:gridCol w:w="109"/>
        <w:gridCol w:w="109"/>
        <w:gridCol w:w="109"/>
        <w:gridCol w:w="109"/>
        <w:gridCol w:w="109"/>
        <w:gridCol w:w="109"/>
        <w:gridCol w:w="307"/>
        <w:gridCol w:w="1093"/>
        <w:gridCol w:w="158"/>
        <w:gridCol w:w="109"/>
        <w:gridCol w:w="109"/>
        <w:gridCol w:w="109"/>
        <w:gridCol w:w="503"/>
        <w:gridCol w:w="1544"/>
        <w:gridCol w:w="261"/>
        <w:gridCol w:w="307"/>
        <w:gridCol w:w="1093"/>
        <w:gridCol w:w="158"/>
        <w:gridCol w:w="503"/>
        <w:gridCol w:w="1544"/>
        <w:gridCol w:w="261"/>
        <w:gridCol w:w="109"/>
        <w:gridCol w:w="162"/>
      </w:tblGrid>
      <w:tr>
        <w:trPr/>
        <w:tc>
          <w:tcPr>
            <w:tcW w:w="56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154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4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5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 2022</w:t>
            </w:r>
          </w:p>
        </w:tc>
        <w:tc>
          <w:tcPr>
            <w:tcW w:w="230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vest date fair value per share</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4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34,293 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4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27.15 </w:t>
            </w:r>
          </w:p>
        </w:tc>
        <w:tc>
          <w:tcPr>
            <w:tcW w:w="26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07"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9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66,187 </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44"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52.42 </w:t>
            </w:r>
          </w:p>
        </w:tc>
        <w:tc>
          <w:tcPr>
            <w:tcW w:w="261"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5,441 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27.22 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10,406 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52.45 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Equity-Based Compensation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the Company’s condensed consolidated statements of operations as follows:</w:t>
      </w:r>
    </w:p>
    <w:tbl>
      <w:tblPr>
        <w:tblW w:w="8946" w:type="dxa"/>
        <w:jc w:val="left"/>
        <w:tblInd w:w="0" w:type="dxa"/>
        <w:tblCellMar>
          <w:top w:w="28" w:type="dxa"/>
          <w:left w:w="28" w:type="dxa"/>
          <w:bottom w:w="28" w:type="dxa"/>
          <w:right w:w="28" w:type="dxa"/>
        </w:tblCellMar>
      </w:tblPr>
      <w:tblGrid>
        <w:gridCol w:w="1473"/>
        <w:gridCol w:w="1293"/>
        <w:gridCol w:w="1299"/>
        <w:gridCol w:w="109"/>
        <w:gridCol w:w="109"/>
        <w:gridCol w:w="109"/>
        <w:gridCol w:w="233"/>
        <w:gridCol w:w="233"/>
        <w:gridCol w:w="233"/>
        <w:gridCol w:w="233"/>
        <w:gridCol w:w="451"/>
        <w:gridCol w:w="1382"/>
        <w:gridCol w:w="233"/>
        <w:gridCol w:w="109"/>
        <w:gridCol w:w="109"/>
        <w:gridCol w:w="109"/>
        <w:gridCol w:w="211"/>
        <w:gridCol w:w="646"/>
        <w:gridCol w:w="109"/>
        <w:gridCol w:w="109"/>
        <w:gridCol w:w="154"/>
      </w:tblGrid>
      <w:tr>
        <w:trPr/>
        <w:tc>
          <w:tcPr>
            <w:tcW w:w="1473"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8"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2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9,170 </w:t>
            </w:r>
          </w:p>
        </w:tc>
        <w:tc>
          <w:tcPr>
            <w:tcW w:w="2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9,900 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99" w:type="dxa"/>
            <w:gridSpan w:val="3"/>
            <w:tcBorders/>
            <w:shd w:fill="auto" w:val="clear"/>
            <w:vAlign w:val="center"/>
          </w:tcPr>
          <w:p>
            <w:pPr>
              <w:pStyle w:val="TableContents"/>
              <w:spacing w:before="0" w:after="283"/>
              <w:rPr>
                <w:sz w:val="4"/>
                <w:szCs w:val="4"/>
              </w:rPr>
            </w:pPr>
            <w:r>
              <w:rPr>
                <w:sz w:val="4"/>
                <w:szCs w:val="4"/>
              </w:rPr>
            </w:r>
          </w:p>
        </w:tc>
        <w:tc>
          <w:tcPr>
            <w:tcW w:w="20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692265" cy="363220"/>
                <wp:effectExtent l="0" t="0" r="0" b="0"/>
                <wp:wrapNone/>
                <wp:docPr id="68" name="Frame2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6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4"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4" descr=""/>
                                    <pic:cNvPicPr>
                                      <a:picLocks noChangeAspect="1" noChangeArrowheads="1"/>
                                    </pic:cNvPicPr>
                                  </pic:nvPicPr>
                                  <pic:blipFill>
                                    <a:blip r:embed="rId2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total unrecognized stock-based compensation related to unvested stock awards was $42.8 million, which will be recognized as follows:</w:t>
      </w:r>
    </w:p>
    <w:tbl>
      <w:tblPr>
        <w:tblW w:w="5613" w:type="dxa"/>
        <w:jc w:val="left"/>
        <w:tblInd w:w="0" w:type="dxa"/>
        <w:tblCellMar>
          <w:top w:w="28" w:type="dxa"/>
          <w:left w:w="28" w:type="dxa"/>
          <w:bottom w:w="28" w:type="dxa"/>
          <w:right w:w="28" w:type="dxa"/>
        </w:tblCellMar>
      </w:tblPr>
      <w:tblGrid>
        <w:gridCol w:w="1511"/>
        <w:gridCol w:w="1326"/>
        <w:gridCol w:w="1333"/>
        <w:gridCol w:w="109"/>
        <w:gridCol w:w="109"/>
        <w:gridCol w:w="109"/>
        <w:gridCol w:w="211"/>
        <w:gridCol w:w="751"/>
        <w:gridCol w:w="154"/>
      </w:tblGrid>
      <w:tr>
        <w:trPr/>
        <w:tc>
          <w:tcPr>
            <w:tcW w:w="1511"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Remainder of 2023</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29,862 </w:t>
            </w:r>
          </w:p>
        </w:tc>
        <w:tc>
          <w:tcPr>
            <w:tcW w:w="154"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2024</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2025</w:t>
            </w:r>
          </w:p>
        </w:tc>
        <w:tc>
          <w:tcPr>
            <w:tcW w:w="32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4,790 </w:t>
            </w:r>
          </w:p>
        </w:tc>
        <w:tc>
          <w:tcPr>
            <w:tcW w:w="154"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unrecognized stock-based compensation</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42,808 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14 — Non-Controlling Interests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is the sole managing member of Dutch Bros OpCo, and, as a result, consolidates the financial results of Dutch Bros OpCo. The Company reports a non-controlling interest representing the economic interest in the Dutch Bros OpCo held by the other members of Dutch Bros OpCo. The Dutch Bros OpCo Agreement provides that holders of Dutch Bros OpCo Class A common units may, from time to time, require Dutch Bros OpCo to redeem all or a portion of its Dutch Bros OpCo Class A common units for newly-issued shares of Class A common stock on a one-for-one basis. In connection with any redemption or exchange, the Company will receive a corresponding number of Dutch Bros OpCo Class A common units, increasing the Company’s total ownership in Dutch Bros OpCo. Changes in the Company’s ownership in Dutch Bros OpCo, while the Company retains its controlling interest in Dutch Bros OpCo, will be accounted for as equity transactions. As such, future redemptions or direct exchanges of Dutch Bros OpCo Class A common units in Dutch Bros OpCo by the other members of Dutch Bros OpCo will result in a change in ownership and reduce the amount recorded as non-controlling interest and increase additional paid-in-capital.</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w:t>
      </w:r>
    </w:p>
    <w:tbl>
      <w:tblPr>
        <w:tblW w:w="10539" w:type="dxa"/>
        <w:jc w:val="left"/>
        <w:tblInd w:w="0" w:type="dxa"/>
        <w:tblCellMar>
          <w:top w:w="28" w:type="dxa"/>
          <w:left w:w="28" w:type="dxa"/>
          <w:bottom w:w="28" w:type="dxa"/>
          <w:right w:w="28" w:type="dxa"/>
        </w:tblCellMar>
      </w:tblPr>
      <w:tblGrid>
        <w:gridCol w:w="2563"/>
        <w:gridCol w:w="2245"/>
        <w:gridCol w:w="2256"/>
        <w:gridCol w:w="109"/>
        <w:gridCol w:w="109"/>
        <w:gridCol w:w="109"/>
        <w:gridCol w:w="443"/>
        <w:gridCol w:w="413"/>
        <w:gridCol w:w="390"/>
        <w:gridCol w:w="137"/>
        <w:gridCol w:w="137"/>
        <w:gridCol w:w="137"/>
        <w:gridCol w:w="329"/>
        <w:gridCol w:w="317"/>
        <w:gridCol w:w="845"/>
      </w:tblGrid>
      <w:tr>
        <w:trPr/>
        <w:tc>
          <w:tcPr>
            <w:tcW w:w="2563"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70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March 31, 2023</w:t>
            </w:r>
          </w:p>
        </w:tc>
      </w:tr>
      <w:tr>
        <w:trPr/>
        <w:tc>
          <w:tcPr>
            <w:tcW w:w="70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706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Dutch Bros OpCo Class A common units held by Dutch Bros Inc.</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58,077 </w:t>
            </w:r>
          </w:p>
        </w:tc>
        <w:tc>
          <w:tcPr>
            <w:tcW w:w="39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35.4 </w:t>
            </w:r>
          </w:p>
        </w:tc>
        <w:tc>
          <w:tcPr>
            <w:tcW w:w="845"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70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Dutch Bros OpCo Class A common units held by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105,756 </w:t>
            </w:r>
          </w:p>
        </w:tc>
        <w:tc>
          <w:tcPr>
            <w:tcW w:w="3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64.6 </w:t>
            </w:r>
          </w:p>
        </w:tc>
        <w:tc>
          <w:tcPr>
            <w:tcW w:w="845"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706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163,833 </w:t>
            </w:r>
          </w:p>
        </w:tc>
        <w:tc>
          <w:tcPr>
            <w:tcW w:w="39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84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Includes approximately 1.4 million Dutch Bros OpCo Class A common units related to unvested restricted stock awards held by former Profits Interest Units holders. These Dutch Bros OpCo Class A common units are excluded from non-controlling interest calculations.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692265" cy="363220"/>
                <wp:effectExtent l="0" t="0" r="0" b="0"/>
                <wp:wrapNone/>
                <wp:docPr id="71" name="Frame2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2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the Company’s equity for the periods presented:</w:t>
      </w:r>
    </w:p>
    <w:tbl>
      <w:tblPr>
        <w:tblW w:w="10539" w:type="dxa"/>
        <w:jc w:val="left"/>
        <w:tblInd w:w="0" w:type="dxa"/>
        <w:tblCellMar>
          <w:top w:w="28" w:type="dxa"/>
          <w:left w:w="28" w:type="dxa"/>
          <w:bottom w:w="28" w:type="dxa"/>
          <w:right w:w="28" w:type="dxa"/>
        </w:tblCellMar>
      </w:tblPr>
      <w:tblGrid>
        <w:gridCol w:w="2497"/>
        <w:gridCol w:w="2019"/>
        <w:gridCol w:w="1982"/>
        <w:gridCol w:w="109"/>
        <w:gridCol w:w="109"/>
        <w:gridCol w:w="109"/>
        <w:gridCol w:w="160"/>
        <w:gridCol w:w="160"/>
        <w:gridCol w:w="160"/>
        <w:gridCol w:w="160"/>
        <w:gridCol w:w="312"/>
        <w:gridCol w:w="1011"/>
        <w:gridCol w:w="160"/>
        <w:gridCol w:w="109"/>
        <w:gridCol w:w="109"/>
        <w:gridCol w:w="109"/>
        <w:gridCol w:w="211"/>
        <w:gridCol w:w="673"/>
        <w:gridCol w:w="109"/>
        <w:gridCol w:w="109"/>
        <w:gridCol w:w="162"/>
      </w:tblGrid>
      <w:tr>
        <w:trPr/>
        <w:tc>
          <w:tcPr>
            <w:tcW w:w="2497" w:type="dxa"/>
            <w:tcBorders/>
            <w:shd w:fill="auto" w:val="clear"/>
            <w:vAlign w:val="center"/>
          </w:tcPr>
          <w:p>
            <w:pPr>
              <w:pStyle w:val="TableContents"/>
              <w:spacing w:before="0" w:after="283"/>
              <w:rPr>
                <w:sz w:val="4"/>
                <w:szCs w:val="4"/>
              </w:rPr>
            </w:pPr>
            <w:r>
              <w:rPr>
                <w:sz w:val="4"/>
                <w:szCs w:val="4"/>
              </w:rPr>
            </w:r>
          </w:p>
        </w:tc>
        <w:tc>
          <w:tcPr>
            <w:tcW w:w="2019"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3"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591" w:type="dxa"/>
            <w:gridSpan w:val="8"/>
            <w:tcBorders/>
            <w:shd w:fill="auto" w:val="clear"/>
          </w:tcPr>
          <w:p>
            <w:pPr>
              <w:pStyle w:val="TableContents"/>
              <w:spacing w:before="0" w:after="283"/>
              <w:rPr>
                <w:sz w:val="4"/>
                <w:szCs w:val="4"/>
              </w:rPr>
            </w:pPr>
            <w:r>
              <w:rPr>
                <w:sz w:val="4"/>
                <w:szCs w:val="4"/>
              </w:rPr>
            </w:r>
          </w:p>
        </w:tc>
      </w:tr>
      <w:tr>
        <w:trPr/>
        <w:tc>
          <w:tcPr>
            <w:tcW w:w="649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(3,842)</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w:t>
            </w:r>
          </w:p>
        </w:tc>
        <w:tc>
          <w:tcPr>
            <w:tcW w:w="1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Transfers from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auto" w:val="clear"/>
            <w:vAlign w:val="center"/>
          </w:tcPr>
          <w:p>
            <w:pPr>
              <w:pStyle w:val="TableContents"/>
              <w:spacing w:before="0" w:after="283"/>
              <w:rPr>
                <w:sz w:val="4"/>
                <w:szCs w:val="4"/>
              </w:rPr>
            </w:pPr>
            <w:r>
              <w:rPr>
                <w:sz w:val="4"/>
                <w:szCs w:val="4"/>
              </w:rPr>
            </w:r>
          </w:p>
        </w:tc>
        <w:tc>
          <w:tcPr>
            <w:tcW w:w="14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Decrease in accumulated deficit as a result of the adoption of ASC 842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Decrease in additional paid-in capital as a result of common stock issuances pursuant to vesting of equity awards, net of stock withheld for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(661)</w:t>
            </w:r>
          </w:p>
        </w:tc>
        <w:tc>
          <w:tcPr>
            <w:tcW w:w="160"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(1,145)</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additional paid-in capital as a result of the acquisition of Dutch Bros OpCo Class A common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498"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48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(472)</w:t>
            </w:r>
          </w:p>
        </w:tc>
        <w:tc>
          <w:tcPr>
            <w:tcW w:w="1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2,244 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(loss) to Dutch Bros Inc. and the non-controlling interest holders. The non-controlling interest holders’ weighted-average ownership percentage were as follows for the periods presented:</w:t>
      </w:r>
    </w:p>
    <w:tbl>
      <w:tblPr>
        <w:tblW w:w="8200" w:type="dxa"/>
        <w:jc w:val="left"/>
        <w:tblInd w:w="0" w:type="dxa"/>
        <w:tblCellMar>
          <w:top w:w="28" w:type="dxa"/>
          <w:left w:w="28" w:type="dxa"/>
          <w:bottom w:w="28" w:type="dxa"/>
          <w:right w:w="28" w:type="dxa"/>
        </w:tblCellMar>
      </w:tblPr>
      <w:tblGrid>
        <w:gridCol w:w="1315"/>
        <w:gridCol w:w="1155"/>
        <w:gridCol w:w="1159"/>
        <w:gridCol w:w="109"/>
        <w:gridCol w:w="109"/>
        <w:gridCol w:w="109"/>
        <w:gridCol w:w="347"/>
        <w:gridCol w:w="347"/>
        <w:gridCol w:w="347"/>
        <w:gridCol w:w="347"/>
        <w:gridCol w:w="347"/>
        <w:gridCol w:w="347"/>
        <w:gridCol w:w="913"/>
        <w:gridCol w:w="109"/>
        <w:gridCol w:w="109"/>
        <w:gridCol w:w="109"/>
        <w:gridCol w:w="219"/>
        <w:gridCol w:w="219"/>
        <w:gridCol w:w="221"/>
        <w:gridCol w:w="109"/>
        <w:gridCol w:w="154"/>
      </w:tblGrid>
      <w:tr>
        <w:trPr/>
        <w:tc>
          <w:tcPr>
            <w:tcW w:w="1315"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249" w:type="dxa"/>
            <w:gridSpan w:val="8"/>
            <w:tcBorders/>
            <w:shd w:fill="auto" w:val="clear"/>
          </w:tcPr>
          <w:p>
            <w:pPr>
              <w:pStyle w:val="TableContents"/>
              <w:spacing w:before="0" w:after="283"/>
              <w:rPr>
                <w:sz w:val="4"/>
                <w:szCs w:val="4"/>
              </w:rPr>
            </w:pPr>
            <w:r>
              <w:rPr>
                <w:sz w:val="4"/>
                <w:szCs w:val="4"/>
              </w:rPr>
            </w:r>
          </w:p>
        </w:tc>
      </w:tr>
      <w:tr>
        <w:trPr/>
        <w:tc>
          <w:tcPr>
            <w:tcW w:w="3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Weighted-average ownership 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4"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65.1 </w:t>
            </w:r>
          </w:p>
        </w:tc>
        <w:tc>
          <w:tcPr>
            <w:tcW w:w="91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70.1%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Arial;sans-serif" w:hAnsi="Arial;sans-serif"/>
          <w:b/>
          <w:color w:val="00416B"/>
          <w:sz w:val="24"/>
        </w:rPr>
        <w:t>NOTE 15 — Loss Per Share</w:t>
      </w:r>
      <w:r>
        <w:rPr>
          <w:color w:val="EE2724"/>
        </w:rPr>
        <w:t xml:space="preserv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Basic net loss per share of Class A and Class D common stock is computed by dividing net loss attributable to Dutch Bros Inc. by the weighted-average number of shares of Class A and Class D common stock outstanding during the period.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Diluted net loss per share of Class A and Class D common stock is computed by dividing loss attributable to the Company, adjusted for the assumed exchange of all potentially dilutive instruments for Class A common stock, by the weighted-average number of shares of Class A and Class D common stock outstanding, adjusted to give effect to potentially dilutive elements. Share counts used in the diluted net loss per share calculations are adjusted for the deemed repurchases provided for in the treasury stock method for restricted stock awards and restricted stock units, and under the if-converted method for the outstanding convertible Class B and Class C common stock.</w:t>
      </w:r>
    </w:p>
    <w:p>
      <w:pPr>
        <w:pStyle w:val="HorizontalLine"/>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692265" cy="363220"/>
                <wp:effectExtent l="0" t="0" r="0" b="0"/>
                <wp:wrapNone/>
                <wp:docPr id="74" name="Frame2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6"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tables set forth the numerators and denominators used to compute basic and diluted net loss per share of Class A and Class D common stock for the periods presented. </w:t>
      </w:r>
    </w:p>
    <w:tbl>
      <w:tblPr>
        <w:tblW w:w="9800" w:type="dxa"/>
        <w:jc w:val="left"/>
        <w:tblInd w:w="0" w:type="dxa"/>
        <w:tblCellMar>
          <w:top w:w="28" w:type="dxa"/>
          <w:left w:w="28" w:type="dxa"/>
          <w:bottom w:w="28" w:type="dxa"/>
          <w:right w:w="28" w:type="dxa"/>
        </w:tblCellMar>
      </w:tblPr>
      <w:tblGrid>
        <w:gridCol w:w="1839"/>
        <w:gridCol w:w="1611"/>
        <w:gridCol w:w="1305"/>
        <w:gridCol w:w="109"/>
        <w:gridCol w:w="109"/>
        <w:gridCol w:w="109"/>
        <w:gridCol w:w="223"/>
        <w:gridCol w:w="223"/>
        <w:gridCol w:w="223"/>
        <w:gridCol w:w="223"/>
        <w:gridCol w:w="433"/>
        <w:gridCol w:w="1449"/>
        <w:gridCol w:w="223"/>
        <w:gridCol w:w="109"/>
        <w:gridCol w:w="109"/>
        <w:gridCol w:w="109"/>
        <w:gridCol w:w="211"/>
        <w:gridCol w:w="811"/>
        <w:gridCol w:w="109"/>
        <w:gridCol w:w="109"/>
        <w:gridCol w:w="154"/>
      </w:tblGrid>
      <w:tr>
        <w:trPr/>
        <w:tc>
          <w:tcPr>
            <w:tcW w:w="1839"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7"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49"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2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2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(5,549)</w:t>
            </w:r>
          </w:p>
        </w:tc>
        <w:tc>
          <w:tcPr>
            <w:tcW w:w="223"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4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(3,842)</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2339"/>
        <w:gridCol w:w="1873"/>
        <w:gridCol w:w="1887"/>
        <w:gridCol w:w="109"/>
        <w:gridCol w:w="109"/>
        <w:gridCol w:w="109"/>
        <w:gridCol w:w="191"/>
        <w:gridCol w:w="191"/>
        <w:gridCol w:w="191"/>
        <w:gridCol w:w="191"/>
        <w:gridCol w:w="370"/>
        <w:gridCol w:w="1198"/>
        <w:gridCol w:w="191"/>
        <w:gridCol w:w="109"/>
        <w:gridCol w:w="109"/>
        <w:gridCol w:w="109"/>
        <w:gridCol w:w="211"/>
        <w:gridCol w:w="673"/>
        <w:gridCol w:w="109"/>
        <w:gridCol w:w="109"/>
        <w:gridCol w:w="161"/>
      </w:tblGrid>
      <w:tr>
        <w:trPr/>
        <w:tc>
          <w:tcPr>
            <w:tcW w:w="2339" w:type="dxa"/>
            <w:tcBorders/>
            <w:shd w:fill="auto" w:val="clear"/>
            <w:vAlign w:val="center"/>
          </w:tcPr>
          <w:p>
            <w:pPr>
              <w:pStyle w:val="TableContents"/>
              <w:spacing w:before="0" w:after="283"/>
              <w:rPr>
                <w:sz w:val="4"/>
                <w:szCs w:val="4"/>
              </w:rPr>
            </w:pPr>
            <w:r>
              <w:rPr>
                <w:sz w:val="4"/>
                <w:szCs w:val="4"/>
              </w:rPr>
            </w:r>
          </w:p>
        </w:tc>
        <w:tc>
          <w:tcPr>
            <w:tcW w:w="1873"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590" w:type="dxa"/>
            <w:gridSpan w:val="8"/>
            <w:tcBorders/>
            <w:shd w:fill="auto" w:val="clear"/>
          </w:tcPr>
          <w:p>
            <w:pPr>
              <w:pStyle w:val="TableContents"/>
              <w:spacing w:before="0" w:after="283"/>
              <w:rPr>
                <w:sz w:val="4"/>
                <w:szCs w:val="4"/>
              </w:rPr>
            </w:pPr>
            <w:r>
              <w:rPr>
                <w:sz w:val="4"/>
                <w:szCs w:val="4"/>
              </w:rPr>
            </w:r>
          </w:p>
        </w:tc>
      </w:tr>
      <w:tr>
        <w:trPr/>
        <w:tc>
          <w:tcPr>
            <w:tcW w:w="6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Basic and diluted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Numerator: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18"/>
              </w:rPr>
            </w:pPr>
            <w:r>
              <w:rPr>
                <w:rFonts w:ascii="Arial;sans-serif" w:hAnsi="Arial;sans-serif"/>
                <w:b w:val="false"/>
                <w:color w:val="131E29"/>
                <w:sz w:val="18"/>
              </w:rPr>
              <w:t>Net loss attributable to Dutch Bros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198"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(3,842)</w:t>
            </w:r>
          </w:p>
        </w:tc>
        <w:tc>
          <w:tcPr>
            <w:tcW w:w="19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73"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(4,947)</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Denominator: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Weighted-average number of shares of Class A and Class D common stock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56,664 </w:t>
            </w:r>
          </w:p>
        </w:tc>
        <w:tc>
          <w:tcPr>
            <w:tcW w:w="19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48,059 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auto" w:val="clear"/>
            <w:vAlign w:val="center"/>
          </w:tcPr>
          <w:p>
            <w:pPr>
              <w:pStyle w:val="TableContents"/>
              <w:spacing w:before="0" w:after="283"/>
              <w:rPr>
                <w:sz w:val="4"/>
                <w:szCs w:val="4"/>
              </w:rPr>
            </w:pPr>
            <w:r>
              <w:rPr>
                <w:sz w:val="4"/>
                <w:szCs w:val="4"/>
              </w:rPr>
            </w:r>
          </w:p>
        </w:tc>
        <w:tc>
          <w:tcPr>
            <w:tcW w:w="17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Weighted-average number of shares of Class A and Class D common stock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56,664 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48,059 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Basic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19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(0.07)</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7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(0.10)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0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Diluted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57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198"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(0.07)</w:t>
            </w:r>
          </w:p>
        </w:tc>
        <w:tc>
          <w:tcPr>
            <w:tcW w:w="191"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73"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(0.10)</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Shares of the Company’s Class B and Class C common stock do not participate in the earnings or losses of the Company and are therefore not participating securities. As such, separate presentation of basic and diluted loss per share of Class B and Class C common stock under the two-class method has not been presented.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common stock equivalents were excluded from diluted loss per share in the periods presented because they were anti-dilutive:</w:t>
      </w:r>
    </w:p>
    <w:tbl>
      <w:tblPr>
        <w:tblW w:w="7243" w:type="dxa"/>
        <w:jc w:val="left"/>
        <w:tblInd w:w="0" w:type="dxa"/>
        <w:tblCellMar>
          <w:top w:w="28" w:type="dxa"/>
          <w:left w:w="28" w:type="dxa"/>
          <w:bottom w:w="28" w:type="dxa"/>
          <w:right w:w="28" w:type="dxa"/>
        </w:tblCellMar>
      </w:tblPr>
      <w:tblGrid>
        <w:gridCol w:w="907"/>
        <w:gridCol w:w="797"/>
        <w:gridCol w:w="800"/>
        <w:gridCol w:w="109"/>
        <w:gridCol w:w="109"/>
        <w:gridCol w:w="109"/>
        <w:gridCol w:w="426"/>
        <w:gridCol w:w="426"/>
        <w:gridCol w:w="426"/>
        <w:gridCol w:w="426"/>
        <w:gridCol w:w="426"/>
        <w:gridCol w:w="426"/>
        <w:gridCol w:w="444"/>
        <w:gridCol w:w="109"/>
        <w:gridCol w:w="109"/>
        <w:gridCol w:w="109"/>
        <w:gridCol w:w="323"/>
        <w:gridCol w:w="323"/>
        <w:gridCol w:w="176"/>
        <w:gridCol w:w="109"/>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0"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412" w:type="dxa"/>
            <w:gridSpan w:val="8"/>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awards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1,396 </w:t>
            </w:r>
          </w:p>
        </w:tc>
        <w:tc>
          <w:tcPr>
            <w:tcW w:w="444"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2,737 </w:t>
            </w:r>
          </w:p>
        </w:tc>
        <w:tc>
          <w:tcPr>
            <w:tcW w:w="17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Restricted stock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615 </w:t>
            </w:r>
          </w:p>
        </w:tc>
        <w:tc>
          <w:tcPr>
            <w:tcW w:w="4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anti-dilutive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7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2,011 </w:t>
            </w:r>
          </w:p>
        </w:tc>
        <w:tc>
          <w:tcPr>
            <w:tcW w:w="44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3,279 </w:t>
            </w:r>
          </w:p>
        </w:tc>
        <w:tc>
          <w:tcPr>
            <w:tcW w:w="17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16 — Commitments and Contingencies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Purchase Obligations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enters into fixed-price and price-to-be fixed green coffee purchase commitments. For both fixed-price and price-to-be fixed purchase commitments, the Company expects to take delivery of green coffee and to utilize the coffee in a reasonable period of time in the ordinary course of business. Such contracts are used in the normal purchases of green coffee and not for speculative purposes. The Company does not enter into futures contracts or other derivative instruments related to its green coffee purchase commitments.</w:t>
      </w:r>
    </w:p>
    <w:p>
      <w:pPr>
        <w:pStyle w:val="HorizontalLine"/>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692265" cy="363220"/>
                <wp:effectExtent l="0" t="0" r="0" b="0"/>
                <wp:wrapNone/>
                <wp:docPr id="77" name="Frame2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7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7"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Guarantees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periodically provides guarantees to franchise partners for lease payments. Annually, the Company determines if a liability needs to be recorded related to these guarantees. As of March 31, 2023 and December 31, 2022, the Company had guaranteed approximately $1.5 million and $1.6 million, respectively, in franchise partners’ lease payments and has not established a liability for these guarantees as any liability arising from the guarantees is not material to the condensed consolidated financial statements.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Legal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claim, proceeding or litigation has an element of uncertainty, and an unfavorable outcome may have a material adverse effect on the Company’s financial condition, results of operations, or cash flows.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60"/>
        <w:rPr>
          <w:rFonts w:ascii="Arial;sans-serif" w:hAnsi="Arial;sans-serif"/>
          <w:b w:val="false"/>
          <w:color w:val="006098"/>
          <w:sz w:val="20"/>
          <w:u w:val="single"/>
        </w:rPr>
      </w:pPr>
      <w:r>
        <w:rPr>
          <w:rFonts w:ascii="Arial;sans-serif" w:hAnsi="Arial;sans-serif"/>
          <w:b w:val="false"/>
          <w:color w:val="006098"/>
          <w:sz w:val="20"/>
          <w:u w:val="single"/>
        </w:rPr>
        <w:t>Litigation Related to Securities Claims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March 1, 2023, plaintiff Jerry Peacock filed a putative class action lawsuit in U.S. District Court for the Southern District of New York against Dutch Bros PubCo and certain of its executive officers for alleged violations of U.S. federal securities laws. The plaintiff purports to bring claims on behalf of a class of acquirers of Dutch Bros PubCo securities between March 1, 2022 and May 11, 2022, and generally alleges that the defendants made false or misleading statements about the impact of commodity inflation on the Company’s financial results for the first quarter of 2022. The plaintiff seeks compensatory damages for all affected members of the purported class. The Company believes these claims are without merit and intends to vigorously defend this lawsuit. Given the nature of the case, including that the proceeding is in its early stages, the Company is unable to predict the ultimate outcome of this case or estimate the range of potential loss, if any.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the Company is contractually committed to pay the non-controlling interest holders 85% of the amount of any tax benefits that the Company actually realizes, or in some cases is deemed to realize, as a result of certain transactions. As of March 31, 2023, the Company recognized $219.6 million of liabilities related to its obligations under the TRAs.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692265" cy="363220"/>
                <wp:effectExtent l="0" t="0" r="0" b="0"/>
                <wp:wrapNone/>
                <wp:docPr id="80" name="Frame2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8"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2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17 — Related Party Transactions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Company’s donations to the Dutch Bros Foundation (Foundation), a not-for-profit founded by the Company that provides philanthropy to coffee farmers and local communities and for which the Company’s Chief Executive Officer (CEO) and Chief Operating Officer (COO) serve on the board of directors, were as follows:</w:t>
      </w:r>
    </w:p>
    <w:tbl>
      <w:tblPr>
        <w:tblW w:w="8148" w:type="dxa"/>
        <w:jc w:val="left"/>
        <w:tblInd w:w="0" w:type="dxa"/>
        <w:tblCellMar>
          <w:top w:w="28" w:type="dxa"/>
          <w:left w:w="28" w:type="dxa"/>
          <w:bottom w:w="28" w:type="dxa"/>
          <w:right w:w="28" w:type="dxa"/>
        </w:tblCellMar>
      </w:tblPr>
      <w:tblGrid>
        <w:gridCol w:w="1185"/>
        <w:gridCol w:w="1040"/>
        <w:gridCol w:w="1045"/>
        <w:gridCol w:w="109"/>
        <w:gridCol w:w="109"/>
        <w:gridCol w:w="109"/>
        <w:gridCol w:w="288"/>
        <w:gridCol w:w="288"/>
        <w:gridCol w:w="288"/>
        <w:gridCol w:w="288"/>
        <w:gridCol w:w="559"/>
        <w:gridCol w:w="996"/>
        <w:gridCol w:w="288"/>
        <w:gridCol w:w="109"/>
        <w:gridCol w:w="109"/>
        <w:gridCol w:w="109"/>
        <w:gridCol w:w="211"/>
        <w:gridCol w:w="646"/>
        <w:gridCol w:w="109"/>
        <w:gridCol w:w="109"/>
        <w:gridCol w:w="154"/>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86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63 </w:t>
            </w:r>
          </w:p>
        </w:tc>
        <w:tc>
          <w:tcPr>
            <w:tcW w:w="28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1,373 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three months ended March 31, 2023, the Company and Foundation focused on local community givebacks.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NOTE 18 — Segment Reporting</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the Company’s CEO, who is the chief operating decision maker (CODM), manages the segments, evaluates financial results and makes key operating decisions. The Company’s CEO evaluates the financial performance of the Company based on two operating segments: Company-operated shops and Franchising and other. The Company-operated shops segment includes coffee shop sales to customers. The Franchising and other segment includes bean and product sales to franchise partners and includes the initial franchise fees, royalties, and marketing fees.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CODM reviews segment performance and allocates resources based upon segment contribution, which is defined as segment gross profit before depreciation and amortization.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and there are no intersegment revenues. As the CODM is not provided with asset information by segment, assets are reported only on a consolidated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the Company’s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changes have been made to the Company’s segments during the three months ended March 31, 2023. In addition, no customer represented 10% or more of total revenue for the three months ended March 31, 2023 and 2022 </w:t>
      </w:r>
    </w:p>
    <w:p>
      <w:pPr>
        <w:pStyle w:val="HorizontalLine"/>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692265" cy="363220"/>
                <wp:effectExtent l="0" t="0" r="0" b="0"/>
                <wp:wrapNone/>
                <wp:docPr id="83" name="Frame2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9"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3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Financial information for the Company’s reportable segments was as follows for the periods presented:</w:t>
      </w:r>
    </w:p>
    <w:tbl>
      <w:tblPr>
        <w:tblW w:w="8253" w:type="dxa"/>
        <w:jc w:val="left"/>
        <w:tblInd w:w="0" w:type="dxa"/>
        <w:tblCellMar>
          <w:top w:w="28" w:type="dxa"/>
          <w:left w:w="28" w:type="dxa"/>
          <w:bottom w:w="28" w:type="dxa"/>
          <w:right w:w="28" w:type="dxa"/>
        </w:tblCellMar>
      </w:tblPr>
      <w:tblGrid>
        <w:gridCol w:w="1354"/>
        <w:gridCol w:w="906"/>
        <w:gridCol w:w="905"/>
        <w:gridCol w:w="109"/>
        <w:gridCol w:w="109"/>
        <w:gridCol w:w="109"/>
        <w:gridCol w:w="202"/>
        <w:gridCol w:w="202"/>
        <w:gridCol w:w="202"/>
        <w:gridCol w:w="202"/>
        <w:gridCol w:w="392"/>
        <w:gridCol w:w="1593"/>
        <w:gridCol w:w="202"/>
        <w:gridCol w:w="109"/>
        <w:gridCol w:w="109"/>
        <w:gridCol w:w="109"/>
        <w:gridCol w:w="211"/>
        <w:gridCol w:w="856"/>
        <w:gridCol w:w="109"/>
        <w:gridCol w:w="109"/>
        <w:gridCol w:w="154"/>
      </w:tblGrid>
      <w:tr>
        <w:trPr/>
        <w:tc>
          <w:tcPr>
            <w:tcW w:w="1354"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766" w:type="dxa"/>
            <w:gridSpan w:val="8"/>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197,267 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144,292 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7,231 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7,619 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151,523 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41,873 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18,233 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15,692 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60,106 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1,361 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14,362 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Other income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1,307 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(6,811)</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92265" cy="363220"/>
                <wp:effectExtent l="0" t="0" r="0" b="0"/>
                <wp:wrapNone/>
                <wp:docPr id="86" name="Frame3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3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2. MANAGEMENT’S DISCUSSION AND ANALYSIS OF FINANCIAL CONDITION AND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You should read the following discussion and analysis of our financial condition and results of operations together with our condensed consolidated financial statements and the related notes included elsewhere in this Form 10-Q.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10-Q for a discussion of important factors that could cause actual results to differ materially from the results described in or implied by the forward-looking statements contained in the following discussion and analysis.</w:t>
      </w:r>
    </w:p>
    <w:p>
      <w:pPr>
        <w:pStyle w:val="TextBody"/>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 xml:space="preserve">In addition, statements that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Overview and Highlights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food service and restaurant industry in the United States by location count.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we had 716 company-operated and franchised shops in 14 states, an increase of approximately 25.2% from the same period in the prior year. For the three months ended March 31, 2023, we generated $197.3 million of revenue, $9.4 million net loss, and $0.07 loss per diluted share. We have two reportable operating segments: Company-operated shops and Franchising and other.</w:t>
      </w:r>
    </w:p>
    <w:p>
      <w:pPr>
        <w:pStyle w:val="TextBody"/>
        <w:spacing w:before="0" w:after="540"/>
        <w:rPr/>
      </w:pPr>
      <w:r>
        <w:rPr/>
        <w:drawing>
          <wp:inline distT="0" distB="63500" distL="0" distR="0">
            <wp:extent cx="1905000" cy="2476500"/>
            <wp:effectExtent l="0" t="0" r="0" b="0"/>
            <wp:docPr id="8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1" descr=""/>
                    <pic:cNvPicPr>
                      <a:picLocks noChangeAspect="1" noChangeArrowheads="1"/>
                    </pic:cNvPicPr>
                  </pic:nvPicPr>
                  <pic:blipFill>
                    <a:blip r:embed="rId32"/>
                    <a:stretch>
                      <a:fillRect/>
                    </a:stretch>
                  </pic:blipFill>
                  <pic:spPr bwMode="auto">
                    <a:xfrm>
                      <a:off x="0" y="0"/>
                      <a:ext cx="1905000" cy="2476500"/>
                    </a:xfrm>
                    <a:prstGeom prst="rect">
                      <a:avLst/>
                    </a:prstGeom>
                  </pic:spPr>
                </pic:pic>
              </a:graphicData>
            </a:graphic>
          </wp:inline>
        </w:drawing>
      </w:r>
      <w:r>
        <w:rPr/>
        <w:drawing>
          <wp:inline distT="0" distB="63500" distL="0" distR="0">
            <wp:extent cx="1905000" cy="2476500"/>
            <wp:effectExtent l="0" t="0" r="0" b="0"/>
            <wp:docPr id="9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2" descr=""/>
                    <pic:cNvPicPr>
                      <a:picLocks noChangeAspect="1" noChangeArrowheads="1"/>
                    </pic:cNvPicPr>
                  </pic:nvPicPr>
                  <pic:blipFill>
                    <a:blip r:embed="rId33"/>
                    <a:stretch>
                      <a:fillRect/>
                    </a:stretch>
                  </pic:blipFill>
                  <pic:spPr bwMode="auto">
                    <a:xfrm>
                      <a:off x="0" y="0"/>
                      <a:ext cx="1905000" cy="2476500"/>
                    </a:xfrm>
                    <a:prstGeom prst="rect">
                      <a:avLst/>
                    </a:prstGeom>
                  </pic:spPr>
                </pic:pic>
              </a:graphicData>
            </a:graphic>
          </wp:inline>
        </w:drawing>
      </w:r>
      <w:r>
        <w:rPr/>
        <w:drawing>
          <wp:inline distT="0" distB="63500" distL="0" distR="0">
            <wp:extent cx="2085975" cy="2476500"/>
            <wp:effectExtent l="0" t="0" r="0" b="0"/>
            <wp:docPr id="9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3" descr=""/>
                    <pic:cNvPicPr>
                      <a:picLocks noChangeAspect="1" noChangeArrowheads="1"/>
                    </pic:cNvPicPr>
                  </pic:nvPicPr>
                  <pic:blipFill>
                    <a:blip r:embed="rId34"/>
                    <a:stretch>
                      <a:fillRect/>
                    </a:stretch>
                  </pic:blipFill>
                  <pic:spPr bwMode="auto">
                    <a:xfrm>
                      <a:off x="0" y="0"/>
                      <a:ext cx="2085975" cy="2476500"/>
                    </a:xfrm>
                    <a:prstGeom prst="rect">
                      <a:avLst/>
                    </a:prstGeom>
                  </pic:spPr>
                </pic:pic>
              </a:graphicData>
            </a:graphic>
          </wp:inline>
        </w:drawing>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pStyle w:val="HorizontalLine"/>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692265" cy="363220"/>
                <wp:effectExtent l="0" t="0" r="0" b="0"/>
                <wp:wrapNone/>
                <wp:docPr id="92" name="Frame3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4"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9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4" descr=""/>
                                    <pic:cNvPicPr>
                                      <a:picLocks noChangeAspect="1" noChangeArrowheads="1"/>
                                    </pic:cNvPicPr>
                                  </pic:nvPicPr>
                                  <pic:blipFill>
                                    <a:blip r:embed="rId3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Key Highlights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Welcomed Christine Barone as President of Dutch Bros in February 2023.</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Opened 42 company-operated shops across multiple new operating areas in the three months ended March 31, 2023, an increase of 41.3% over the same period in 2022, bringing total company-operated shops to 61.2% of our total shops.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Raised more than $0.9 million in the three months ended March 31, 2023 for our company-wide give back day, Dutch Luv, that supports local organizations to help feed the communities where we operate.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Impact of Global Events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Inflation and Minimum Wage Increases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Similar to many of our peers in our industry, we continued to experience the effects of current commodities inflation, including in dairy, coffee, fuel, and packaging, and continuing legislated minimum wage increases that took effect this year in certain states. We expect these inflationary pressures to continue to affect our operating results in the foreseeable future.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A continued economic downturn may have a material adverse effect on our business, financial condition or results of operations. Our customers may have or in the future have less money for discretionary purchases and may stop or reduce their purchases of our products.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bank failures and other events affecting financial institutions, the impact of COVID-19, and the impact of the Russia-Ukraine war) have created significant uncertainty in the global economy. While we are not able to fully predict the potential impacts of these conditions, we do not believe any potential impacts of these macroeconomic conditions to be material to our business. </w:t>
      </w:r>
    </w:p>
    <w:p>
      <w:pPr>
        <w:pStyle w:val="TextBody"/>
        <w:spacing w:before="0" w:after="18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692265" cy="363220"/>
                <wp:effectExtent l="0" t="0" r="0" b="0"/>
                <wp:wrapNone/>
                <wp:docPr id="95" name="Frame3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9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5"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Results of Operations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tables provide our operating results and explanation of changes for the periods presented.</w:t>
      </w:r>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Condensed Consolidated Statements of Operations</w:t>
      </w:r>
    </w:p>
    <w:tbl>
      <w:tblPr>
        <w:tblW w:w="9843" w:type="dxa"/>
        <w:jc w:val="left"/>
        <w:tblInd w:w="0" w:type="dxa"/>
        <w:tblCellMar>
          <w:top w:w="28" w:type="dxa"/>
          <w:left w:w="28" w:type="dxa"/>
          <w:bottom w:w="28" w:type="dxa"/>
          <w:right w:w="28" w:type="dxa"/>
        </w:tblCellMar>
      </w:tblPr>
      <w:tblGrid>
        <w:gridCol w:w="1722"/>
        <w:gridCol w:w="1512"/>
        <w:gridCol w:w="1521"/>
        <w:gridCol w:w="109"/>
        <w:gridCol w:w="109"/>
        <w:gridCol w:w="109"/>
        <w:gridCol w:w="202"/>
        <w:gridCol w:w="202"/>
        <w:gridCol w:w="202"/>
        <w:gridCol w:w="202"/>
        <w:gridCol w:w="392"/>
        <w:gridCol w:w="1593"/>
        <w:gridCol w:w="202"/>
        <w:gridCol w:w="109"/>
        <w:gridCol w:w="109"/>
        <w:gridCol w:w="109"/>
        <w:gridCol w:w="211"/>
        <w:gridCol w:w="856"/>
        <w:gridCol w:w="109"/>
        <w:gridCol w:w="109"/>
        <w:gridCol w:w="154"/>
      </w:tblGrid>
      <w:tr>
        <w:trPr/>
        <w:tc>
          <w:tcPr>
            <w:tcW w:w="1722" w:type="dxa"/>
            <w:tcBorders/>
            <w:shd w:fill="auto" w:val="clear"/>
            <w:vAlign w:val="center"/>
          </w:tcPr>
          <w:p>
            <w:pPr>
              <w:pStyle w:val="TableContents"/>
              <w:spacing w:before="0" w:after="283"/>
              <w:rPr>
                <w:sz w:val="4"/>
                <w:szCs w:val="4"/>
              </w:rPr>
            </w:pPr>
            <w:r>
              <w:rPr>
                <w:sz w:val="4"/>
                <w:szCs w:val="4"/>
              </w:rPr>
            </w:r>
          </w:p>
        </w:tc>
        <w:tc>
          <w:tcPr>
            <w:tcW w:w="1512" w:type="dxa"/>
            <w:tcBorders/>
            <w:shd w:fill="auto" w:val="clear"/>
            <w:vAlign w:val="center"/>
          </w:tcPr>
          <w:p>
            <w:pPr>
              <w:pStyle w:val="TableContents"/>
              <w:spacing w:before="0" w:after="283"/>
              <w:rPr>
                <w:sz w:val="4"/>
                <w:szCs w:val="4"/>
              </w:rPr>
            </w:pPr>
            <w:r>
              <w:rPr>
                <w:sz w:val="4"/>
                <w:szCs w:val="4"/>
              </w:rPr>
            </w:r>
          </w:p>
        </w:tc>
        <w:tc>
          <w:tcPr>
            <w:tcW w:w="1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197,267 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151,523 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197,499 </w:t>
            </w:r>
          </w:p>
        </w:tc>
        <w:tc>
          <w:tcPr>
            <w:tcW w:w="20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166,381 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(14,225)</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1,307 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(6,579)</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(6,811)</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2,580 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21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Net loss attributable to 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(5,549)</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(11,332)</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LOSS ATTRIBUTABLE TO DUTCH BROS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(3,842)</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692265" cy="363220"/>
                <wp:effectExtent l="0" t="0" r="0" b="0"/>
                <wp:wrapNone/>
                <wp:docPr id="98" name="Frame3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9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36"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6"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Segment Financials</w:t>
      </w:r>
    </w:p>
    <w:tbl>
      <w:tblPr>
        <w:tblW w:w="8253" w:type="dxa"/>
        <w:jc w:val="left"/>
        <w:tblInd w:w="0" w:type="dxa"/>
        <w:tblCellMar>
          <w:top w:w="28" w:type="dxa"/>
          <w:left w:w="28" w:type="dxa"/>
          <w:bottom w:w="28" w:type="dxa"/>
          <w:right w:w="28" w:type="dxa"/>
        </w:tblCellMar>
      </w:tblPr>
      <w:tblGrid>
        <w:gridCol w:w="1146"/>
        <w:gridCol w:w="1006"/>
        <w:gridCol w:w="1013"/>
        <w:gridCol w:w="109"/>
        <w:gridCol w:w="109"/>
        <w:gridCol w:w="109"/>
        <w:gridCol w:w="202"/>
        <w:gridCol w:w="202"/>
        <w:gridCol w:w="202"/>
        <w:gridCol w:w="202"/>
        <w:gridCol w:w="392"/>
        <w:gridCol w:w="1593"/>
        <w:gridCol w:w="202"/>
        <w:gridCol w:w="109"/>
        <w:gridCol w:w="109"/>
        <w:gridCol w:w="109"/>
        <w:gridCol w:w="211"/>
        <w:gridCol w:w="856"/>
        <w:gridCol w:w="109"/>
        <w:gridCol w:w="109"/>
        <w:gridCol w:w="154"/>
      </w:tblGrid>
      <w:tr>
        <w:trPr/>
        <w:tc>
          <w:tcPr>
            <w:tcW w:w="11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21,969 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197,267 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144,292 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7,231 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7,619 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 of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151,523 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28,872 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16,872 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14,350 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45,744 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13,001 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1,361 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1,342 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All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14,779 </w:t>
            </w:r>
          </w:p>
        </w:tc>
        <w:tc>
          <w:tcPr>
            <w:tcW w:w="20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9,182 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Segment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41,873 </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18,233 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15,692 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segment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60,106 </w:t>
            </w:r>
          </w:p>
        </w:tc>
        <w:tc>
          <w:tcPr>
            <w:tcW w:w="20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39,471 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w:t>
            </w:r>
          </w:p>
        </w:tc>
        <w:tc>
          <w:tcPr>
            <w:tcW w:w="20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w:t>
            </w:r>
          </w:p>
        </w:tc>
        <w:tc>
          <w:tcPr>
            <w:tcW w:w="20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1,307 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0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59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(6,811)</w:t>
            </w:r>
          </w:p>
        </w:tc>
        <w:tc>
          <w:tcPr>
            <w:tcW w:w="20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(16,493)</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692265" cy="363220"/>
                <wp:effectExtent l="0" t="0" r="0" b="0"/>
                <wp:wrapNone/>
                <wp:docPr id="101" name="Frame3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7"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7" descr=""/>
                                    <pic:cNvPicPr>
                                      <a:picLocks noChangeAspect="1" noChangeArrowheads="1"/>
                                    </pic:cNvPicPr>
                                  </pic:nvPicPr>
                                  <pic:blipFill>
                                    <a:blip r:embed="rId3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 xml:space="preserve">Key Performance Indicators </w:t>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(KPIs) that we use to effectively manage and evaluate our business are as follows:</w:t>
      </w:r>
    </w:p>
    <w:tbl>
      <w:tblPr>
        <w:tblW w:w="8720" w:type="dxa"/>
        <w:jc w:val="left"/>
        <w:tblInd w:w="0" w:type="dxa"/>
        <w:tblCellMar>
          <w:top w:w="28" w:type="dxa"/>
          <w:left w:w="28" w:type="dxa"/>
          <w:bottom w:w="28" w:type="dxa"/>
          <w:right w:w="28" w:type="dxa"/>
        </w:tblCellMar>
      </w:tblPr>
      <w:tblGrid>
        <w:gridCol w:w="1363"/>
        <w:gridCol w:w="1197"/>
        <w:gridCol w:w="1205"/>
        <w:gridCol w:w="109"/>
        <w:gridCol w:w="109"/>
        <w:gridCol w:w="109"/>
        <w:gridCol w:w="313"/>
        <w:gridCol w:w="313"/>
        <w:gridCol w:w="313"/>
        <w:gridCol w:w="313"/>
        <w:gridCol w:w="607"/>
        <w:gridCol w:w="313"/>
        <w:gridCol w:w="823"/>
        <w:gridCol w:w="109"/>
        <w:gridCol w:w="109"/>
        <w:gridCol w:w="109"/>
        <w:gridCol w:w="247"/>
        <w:gridCol w:w="245"/>
        <w:gridCol w:w="551"/>
        <w:gridCol w:w="109"/>
        <w:gridCol w:w="154"/>
      </w:tblGrid>
      <w:tr>
        <w:trPr/>
        <w:tc>
          <w:tcPr>
            <w:tcW w:w="1363"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5"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count data;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538</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Acquisition of franchise shops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438</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310</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shop count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Systemwide AUV </w:t>
            </w:r>
            <w:r>
              <w:rPr>
                <w:rFonts w:ascii="Arial;sans-serif" w:hAnsi="Arial;sans-serif"/>
                <w:b w:val="false"/>
                <w:color w:val="131E29"/>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3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1,829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2, 3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w:t>
            </w:r>
          </w:p>
        </w:tc>
        <w:tc>
          <w:tcPr>
            <w:tcW w:w="8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55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w:t>
            </w:r>
          </w:p>
        </w:tc>
        <w:tc>
          <w:tcPr>
            <w:tcW w:w="823"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5.1 </w:t>
            </w:r>
          </w:p>
        </w:tc>
        <w:tc>
          <w:tcPr>
            <w:tcW w:w="55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Systemwide sales </w:t>
            </w:r>
            <w:r>
              <w:rPr>
                <w:rFonts w:ascii="Arial;sans-serif" w:hAnsi="Arial;sans-serif"/>
                <w:b w:val="false"/>
                <w:color w:val="131E29"/>
                <w:sz w:val="13"/>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3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302,782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9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254,565</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Company-operated operating weeks </w:t>
            </w:r>
            <w:r>
              <w:rPr>
                <w:rFonts w:ascii="Arial;sans-serif" w:hAnsi="Arial;sans-serif"/>
                <w:b w:val="false"/>
                <w:color w:val="131E29"/>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3,764</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Franchising and other operating weeks </w:t>
            </w:r>
            <w:r>
              <w:rPr>
                <w:rFonts w:ascii="Arial;sans-serif" w:hAnsi="Arial;sans-serif"/>
                <w:b w:val="false"/>
                <w:color w:val="131E29"/>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3,546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3,363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20"/>
              </w:rPr>
              <w:t xml:space="preserve">Dutch Rewards member registrations </w:t>
            </w:r>
            <w:r>
              <w:rPr>
                <w:rFonts w:ascii="Arial;sans-serif" w:hAnsi="Arial;sans-serif"/>
                <w:b w:val="false"/>
                <w:color w:val="131E29"/>
                <w:sz w:val="13"/>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1297"/>
        <w:gridCol w:w="1139"/>
        <w:gridCol w:w="1045"/>
        <w:gridCol w:w="109"/>
        <w:gridCol w:w="109"/>
        <w:gridCol w:w="109"/>
        <w:gridCol w:w="206"/>
        <w:gridCol w:w="206"/>
        <w:gridCol w:w="272"/>
        <w:gridCol w:w="220"/>
        <w:gridCol w:w="206"/>
        <w:gridCol w:w="206"/>
        <w:gridCol w:w="206"/>
        <w:gridCol w:w="206"/>
        <w:gridCol w:w="428"/>
        <w:gridCol w:w="428"/>
        <w:gridCol w:w="206"/>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58"/>
      </w:tblGrid>
      <w:tr>
        <w:trPr/>
        <w:tc>
          <w:tcPr>
            <w:tcW w:w="1297"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941" w:type="dxa"/>
            <w:gridSpan w:val="22"/>
            <w:tcBorders/>
            <w:shd w:fill="auto" w:val="clear"/>
          </w:tcPr>
          <w:p>
            <w:pPr>
              <w:pStyle w:val="TableContents"/>
              <w:spacing w:before="0" w:after="283"/>
              <w:rPr>
                <w:sz w:val="4"/>
                <w:szCs w:val="4"/>
              </w:rPr>
            </w:pPr>
            <w:r>
              <w:rPr>
                <w:sz w:val="4"/>
                <w:szCs w:val="4"/>
              </w:rPr>
            </w:r>
          </w:p>
        </w:tc>
      </w:tr>
      <w:tr>
        <w:trPr/>
        <w:tc>
          <w:tcPr>
            <w:tcW w:w="3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31E29"/>
              </w:rPr>
            </w:pPr>
            <w:r>
              <w:rPr>
                <w:color w:val="131E29"/>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 ⁷</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1567" w:type="dxa"/>
            <w:gridSpan w:val="10"/>
            <w:tcBorders/>
            <w:shd w:fill="auto" w:val="clear"/>
          </w:tcPr>
          <w:p>
            <w:pPr>
              <w:pStyle w:val="TableContents"/>
              <w:spacing w:before="0" w:after="283"/>
              <w:rPr>
                <w:sz w:val="4"/>
                <w:szCs w:val="4"/>
              </w:rPr>
            </w:pPr>
            <w:r>
              <w:rPr>
                <w:sz w:val="4"/>
                <w:szCs w:val="4"/>
              </w:rPr>
            </w:r>
          </w:p>
        </w:tc>
      </w:tr>
      <w:tr>
        <w:trPr/>
        <w:tc>
          <w:tcPr>
            <w:tcW w:w="34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0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Company-operated shop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18"/>
              </w:rPr>
              <w:t xml:space="preserve">Company-operated shop contribution </w:t>
            </w:r>
            <w:r>
              <w:rPr>
                <w:rFonts w:ascii="Arial;sans-serif" w:hAnsi="Arial;sans-serif"/>
                <w:b w:val="false"/>
                <w:color w:val="131E29"/>
                <w:sz w:val="12"/>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41,873 </w:t>
            </w:r>
          </w:p>
        </w:tc>
        <w:tc>
          <w:tcPr>
            <w:tcW w:w="20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18"/>
              </w:rPr>
              <w:t xml:space="preserve">Adjusted selling, general, and administrative expenses </w:t>
            </w:r>
            <w:r>
              <w:rPr>
                <w:rFonts w:ascii="Arial;sans-serif" w:hAnsi="Arial;sans-serif"/>
                <w:b w:val="false"/>
                <w:color w:val="131E29"/>
                <w:sz w:val="12"/>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36,656 </w:t>
            </w:r>
          </w:p>
        </w:tc>
        <w:tc>
          <w:tcPr>
            <w:tcW w:w="20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31,680 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81"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18"/>
              </w:rPr>
              <w:t xml:space="preserve">Adjusted EBITDA </w:t>
            </w:r>
            <w:r>
              <w:rPr>
                <w:rFonts w:ascii="Arial;sans-serif" w:hAnsi="Arial;sans-serif"/>
                <w:b w:val="false"/>
                <w:color w:val="131E29"/>
                <w:sz w:val="12"/>
              </w:rPr>
              <w:t>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61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23,880 </w:t>
            </w:r>
          </w:p>
        </w:tc>
        <w:tc>
          <w:tcPr>
            <w:tcW w:w="20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9,662 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692265" cy="363220"/>
                <wp:effectExtent l="0" t="0" r="0" b="0"/>
                <wp:wrapNone/>
                <wp:docPr id="104" name="Frame3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38"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this metric as an indicator of shop growth and future expectations of mature locations. </w:t>
      </w:r>
    </w:p>
    <w:p>
      <w:pPr>
        <w:pStyle w:val="TextBody"/>
        <w:spacing w:lineRule="auto" w:line="288" w:before="0" w:after="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Same shop sales reflects the change in year-over-year sales, for the comparable shop base, which we define as shops open for 15 complete months or longer. Management uses this metric as an indicator of shop growth and future expansion strategy. The number of shops included in the systemwide and company-operated comparable bases for the respective periods are presented in the following table. </w:t>
      </w:r>
    </w:p>
    <w:tbl>
      <w:tblPr>
        <w:tblW w:w="6271" w:type="dxa"/>
        <w:jc w:val="left"/>
        <w:tblInd w:w="0" w:type="dxa"/>
        <w:tblCellMar>
          <w:top w:w="28" w:type="dxa"/>
          <w:left w:w="28" w:type="dxa"/>
          <w:bottom w:w="28" w:type="dxa"/>
          <w:right w:w="28" w:type="dxa"/>
        </w:tblCellMar>
      </w:tblPr>
      <w:tblGrid>
        <w:gridCol w:w="847"/>
        <w:gridCol w:w="744"/>
        <w:gridCol w:w="749"/>
        <w:gridCol w:w="109"/>
        <w:gridCol w:w="109"/>
        <w:gridCol w:w="109"/>
        <w:gridCol w:w="364"/>
        <w:gridCol w:w="364"/>
        <w:gridCol w:w="364"/>
        <w:gridCol w:w="364"/>
        <w:gridCol w:w="364"/>
        <w:gridCol w:w="364"/>
        <w:gridCol w:w="364"/>
        <w:gridCol w:w="109"/>
        <w:gridCol w:w="109"/>
        <w:gridCol w:w="109"/>
        <w:gridCol w:w="155"/>
        <w:gridCol w:w="155"/>
        <w:gridCol w:w="156"/>
        <w:gridCol w:w="109"/>
        <w:gridCol w:w="154"/>
      </w:tblGrid>
      <w:tr>
        <w:trPr/>
        <w:tc>
          <w:tcPr>
            <w:tcW w:w="847"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8"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2"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503</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414</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base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hanging="180"/>
        <w:jc w:val="both"/>
        <w:rPr/>
      </w:pPr>
      <w:r>
        <w:rPr>
          <w:rFonts w:ascii="Arial;sans-serif" w:hAnsi="Arial;sans-serif"/>
          <w:b w:val="false"/>
          <w:color w:val="131E29"/>
          <w:sz w:val="10"/>
        </w:rPr>
        <w:t>3    </w:t>
      </w:r>
      <w:r>
        <w:rPr>
          <w:rFonts w:ascii="Arial;sans-serif" w:hAnsi="Arial;sans-serif"/>
          <w:b w:val="false"/>
          <w:color w:val="131E29"/>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spacing w:lineRule="auto" w:line="288" w:before="0" w:after="180"/>
        <w:ind w:left="0" w:right="0" w:hanging="180"/>
        <w:jc w:val="both"/>
        <w:rPr/>
      </w:pPr>
      <w:r>
        <w:rPr>
          <w:rFonts w:ascii="Arial;sans-serif" w:hAnsi="Arial;sans-serif"/>
          <w:b w:val="false"/>
          <w:color w:val="131E29"/>
          <w:sz w:val="10"/>
        </w:rPr>
        <w:t>4</w:t>
      </w:r>
      <w:r>
        <w:rPr>
          <w:color w:val="131E29"/>
        </w:rPr>
        <w:t>    </w:t>
      </w:r>
      <w:r>
        <w:rPr>
          <w:rFonts w:ascii="Arial;sans-serif" w:hAnsi="Arial;sans-serif"/>
          <w:b w:val="false"/>
          <w:color w:val="131E29"/>
          <w:sz w:val="16"/>
        </w:rPr>
        <w:t>Company-operated and franchise shops operating weeks are calculated based on the number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pStyle w:val="TextBody"/>
        <w:spacing w:lineRule="auto" w:line="288" w:before="0" w:after="180"/>
        <w:ind w:left="0" w:right="0" w:hanging="180"/>
        <w:jc w:val="both"/>
        <w:rPr/>
      </w:pPr>
      <w:r>
        <w:rPr>
          <w:rFonts w:ascii="Arial;sans-serif" w:hAnsi="Arial;sans-serif"/>
          <w:b w:val="false"/>
          <w:color w:val="131E29"/>
          <w:sz w:val="10"/>
        </w:rPr>
        <w:t>5    </w:t>
      </w:r>
      <w:r>
        <w:rPr>
          <w:rFonts w:ascii="Arial;sans-serif" w:hAnsi="Arial;sans-serif"/>
          <w:b w:val="false"/>
          <w:color w:val="131E29"/>
          <w:sz w:val="16"/>
        </w:rPr>
        <w:t>Dutch Rewards, a digitally-based rewards program available exclusively through the Dutch Rewards mobile app, was launched February 2021.</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mobile app and future promotional plans. </w:t>
      </w:r>
    </w:p>
    <w:p>
      <w:pPr>
        <w:pStyle w:val="TextBody"/>
        <w:spacing w:lineRule="auto" w:line="288" w:before="0" w:after="180"/>
        <w:ind w:left="0" w:right="0" w:hanging="180"/>
        <w:jc w:val="both"/>
        <w:rPr/>
      </w:pPr>
      <w:r>
        <w:rPr>
          <w:rFonts w:ascii="Arial;sans-serif" w:hAnsi="Arial;sans-serif"/>
          <w:b w:val="false"/>
          <w:color w:val="131E29"/>
          <w:sz w:val="10"/>
        </w:rPr>
        <w:t>6    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Arial;sans-serif" w:hAnsi="Arial;sans-serif"/>
          <w:b/>
          <w:color w:val="00416B"/>
          <w:sz w:val="24"/>
        </w:rPr>
      </w:pPr>
      <w:r>
        <w:rPr>
          <w:rFonts w:ascii="Arial;sans-serif" w:hAnsi="Arial;sans-serif"/>
          <w:b/>
          <w:color w:val="00416B"/>
          <w:sz w:val="24"/>
        </w:rPr>
        <w:t>Company-operated Shop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results for our company-operated shops segment were as follows:</w:t>
      </w:r>
    </w:p>
    <w:tbl>
      <w:tblPr>
        <w:tblW w:w="10539" w:type="dxa"/>
        <w:jc w:val="left"/>
        <w:tblInd w:w="0" w:type="dxa"/>
        <w:tblCellMar>
          <w:top w:w="28" w:type="dxa"/>
          <w:left w:w="28" w:type="dxa"/>
          <w:bottom w:w="28" w:type="dxa"/>
          <w:right w:w="28" w:type="dxa"/>
        </w:tblCellMar>
      </w:tblPr>
      <w:tblGrid>
        <w:gridCol w:w="1237"/>
        <w:gridCol w:w="1087"/>
        <w:gridCol w:w="1030"/>
        <w:gridCol w:w="109"/>
        <w:gridCol w:w="109"/>
        <w:gridCol w:w="109"/>
        <w:gridCol w:w="222"/>
        <w:gridCol w:w="222"/>
        <w:gridCol w:w="272"/>
        <w:gridCol w:w="233"/>
        <w:gridCol w:w="222"/>
        <w:gridCol w:w="222"/>
        <w:gridCol w:w="222"/>
        <w:gridCol w:w="222"/>
        <w:gridCol w:w="428"/>
        <w:gridCol w:w="428"/>
        <w:gridCol w:w="222"/>
        <w:gridCol w:w="109"/>
        <w:gridCol w:w="109"/>
        <w:gridCol w:w="109"/>
        <w:gridCol w:w="323"/>
        <w:gridCol w:w="323"/>
        <w:gridCol w:w="109"/>
        <w:gridCol w:w="109"/>
        <w:gridCol w:w="109"/>
        <w:gridCol w:w="109"/>
        <w:gridCol w:w="428"/>
        <w:gridCol w:w="428"/>
        <w:gridCol w:w="109"/>
        <w:gridCol w:w="109"/>
        <w:gridCol w:w="109"/>
        <w:gridCol w:w="109"/>
        <w:gridCol w:w="323"/>
        <w:gridCol w:w="323"/>
        <w:gridCol w:w="109"/>
        <w:gridCol w:w="109"/>
        <w:gridCol w:w="109"/>
        <w:gridCol w:w="109"/>
        <w:gridCol w:w="160"/>
      </w:tblGrid>
      <w:tr>
        <w:trPr/>
        <w:tc>
          <w:tcPr>
            <w:tcW w:w="1237" w:type="dxa"/>
            <w:tcBorders/>
            <w:shd w:fill="auto" w:val="clear"/>
            <w:vAlign w:val="center"/>
          </w:tcPr>
          <w:p>
            <w:pPr>
              <w:pStyle w:val="TableContents"/>
              <w:spacing w:before="0" w:after="283"/>
              <w:rPr>
                <w:sz w:val="4"/>
                <w:szCs w:val="4"/>
              </w:rPr>
            </w:pPr>
            <w:r>
              <w:rPr>
                <w:sz w:val="4"/>
                <w:szCs w:val="4"/>
              </w:rPr>
            </w:r>
          </w:p>
        </w:tc>
        <w:tc>
          <w:tcPr>
            <w:tcW w:w="1087"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5"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943" w:type="dxa"/>
            <w:gridSpan w:val="22"/>
            <w:tcBorders/>
            <w:shd w:fill="auto" w:val="clear"/>
          </w:tcPr>
          <w:p>
            <w:pPr>
              <w:pStyle w:val="TableContents"/>
              <w:spacing w:before="0" w:after="283"/>
              <w:rPr>
                <w:sz w:val="4"/>
                <w:szCs w:val="4"/>
              </w:rPr>
            </w:pPr>
            <w:r>
              <w:rPr>
                <w:sz w:val="4"/>
                <w:szCs w:val="4"/>
              </w:rPr>
            </w:r>
          </w:p>
        </w:tc>
      </w:tr>
      <w:tr>
        <w:trPr/>
        <w:tc>
          <w:tcPr>
            <w:tcW w:w="3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6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6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1569" w:type="dxa"/>
            <w:gridSpan w:val="10"/>
            <w:tcBorders/>
            <w:shd w:fill="auto" w:val="clear"/>
          </w:tcPr>
          <w:p>
            <w:pPr>
              <w:pStyle w:val="TableContents"/>
              <w:spacing w:before="0" w:after="283"/>
              <w:rPr>
                <w:sz w:val="4"/>
                <w:szCs w:val="4"/>
              </w:rPr>
            </w:pPr>
            <w:r>
              <w:rPr>
                <w:sz w:val="4"/>
                <w:szCs w:val="4"/>
              </w:rPr>
            </w:r>
          </w:p>
        </w:tc>
      </w:tr>
      <w:tr>
        <w:trPr/>
        <w:tc>
          <w:tcPr>
            <w:tcW w:w="33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173,164 </w:t>
            </w:r>
          </w:p>
        </w:tc>
        <w:tc>
          <w:tcPr>
            <w:tcW w:w="22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130,187 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48,952 </w:t>
            </w:r>
          </w:p>
        </w:tc>
        <w:tc>
          <w:tcPr>
            <w:tcW w:w="2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35,622 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48,549 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30,559 </w:t>
            </w:r>
          </w:p>
        </w:tc>
        <w:tc>
          <w:tcPr>
            <w:tcW w:w="2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3,231 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13,001 </w:t>
            </w:r>
          </w:p>
        </w:tc>
        <w:tc>
          <w:tcPr>
            <w:tcW w:w="22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144,292 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354" w:type="dxa"/>
            <w:gridSpan w:val="3"/>
            <w:tcBorders/>
            <w:shd w:fill="D2DCE5"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131E29"/>
                <w:sz w:val="20"/>
              </w:rPr>
              <w:t xml:space="preserve">Company-operated shop contribution </w:t>
            </w:r>
            <w:r>
              <w:rPr>
                <w:rFonts w:ascii="Arial;sans-serif" w:hAnsi="Arial;sans-serif"/>
                <w:b w:val="false"/>
                <w:color w:val="131E29"/>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41,873 </w:t>
            </w:r>
          </w:p>
        </w:tc>
        <w:tc>
          <w:tcPr>
            <w:tcW w:w="222"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24.2 </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doub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top w:val="doub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692265" cy="363220"/>
                <wp:effectExtent l="0" t="0" r="0" b="0"/>
                <wp:wrapNone/>
                <wp:docPr id="107" name="Frame3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0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9"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Company-operated Shops Segment Performance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Revenues</w:t>
      </w:r>
    </w:p>
    <w:tbl>
      <w:tblPr>
        <w:tblW w:w="10539" w:type="dxa"/>
        <w:jc w:val="left"/>
        <w:tblInd w:w="0" w:type="dxa"/>
        <w:tblCellMar>
          <w:top w:w="28" w:type="dxa"/>
          <w:left w:w="28" w:type="dxa"/>
          <w:bottom w:w="28" w:type="dxa"/>
          <w:right w:w="28" w:type="dxa"/>
        </w:tblCellMar>
      </w:tblPr>
      <w:tblGrid>
        <w:gridCol w:w="994"/>
        <w:gridCol w:w="874"/>
        <w:gridCol w:w="816"/>
        <w:gridCol w:w="109"/>
        <w:gridCol w:w="109"/>
        <w:gridCol w:w="109"/>
        <w:gridCol w:w="145"/>
        <w:gridCol w:w="145"/>
        <w:gridCol w:w="145"/>
        <w:gridCol w:w="145"/>
        <w:gridCol w:w="526"/>
        <w:gridCol w:w="145"/>
        <w:gridCol w:w="145"/>
        <w:gridCol w:w="145"/>
        <w:gridCol w:w="282"/>
        <w:gridCol w:w="1105"/>
        <w:gridCol w:w="145"/>
        <w:gridCol w:w="109"/>
        <w:gridCol w:w="109"/>
        <w:gridCol w:w="109"/>
        <w:gridCol w:w="211"/>
        <w:gridCol w:w="826"/>
        <w:gridCol w:w="109"/>
        <w:gridCol w:w="109"/>
        <w:gridCol w:w="109"/>
        <w:gridCol w:w="109"/>
        <w:gridCol w:w="109"/>
        <w:gridCol w:w="109"/>
        <w:gridCol w:w="211"/>
        <w:gridCol w:w="721"/>
        <w:gridCol w:w="109"/>
        <w:gridCol w:w="109"/>
        <w:gridCol w:w="109"/>
        <w:gridCol w:w="109"/>
        <w:gridCol w:w="192"/>
        <w:gridCol w:w="192"/>
        <w:gridCol w:w="194"/>
        <w:gridCol w:w="109"/>
        <w:gridCol w:w="109"/>
        <w:gridCol w:w="109"/>
        <w:gridCol w:w="164"/>
      </w:tblGrid>
      <w:tr>
        <w:trPr/>
        <w:tc>
          <w:tcPr>
            <w:tcW w:w="9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3"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4455" w:type="dxa"/>
            <w:gridSpan w:val="24"/>
            <w:tcBorders/>
            <w:shd w:fill="auto" w:val="clear"/>
          </w:tcPr>
          <w:p>
            <w:pPr>
              <w:pStyle w:val="TableContents"/>
              <w:spacing w:before="0" w:after="283"/>
              <w:rPr>
                <w:sz w:val="4"/>
                <w:szCs w:val="4"/>
              </w:rPr>
            </w:pPr>
            <w:r>
              <w:rPr>
                <w:sz w:val="4"/>
                <w:szCs w:val="4"/>
              </w:rPr>
            </w:r>
          </w:p>
        </w:tc>
      </w:tr>
      <w:tr>
        <w:trPr/>
        <w:tc>
          <w:tcPr>
            <w:tcW w:w="26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8" w:type="dxa"/>
            <w:gridSpan w:val="3"/>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268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3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105"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173,164 </w:t>
            </w:r>
          </w:p>
        </w:tc>
        <w:tc>
          <w:tcPr>
            <w:tcW w:w="145"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2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130,187 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42,977 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57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revenue increase was driven by the following:</w:t>
      </w:r>
    </w:p>
    <w:p>
      <w:pPr>
        <w:pStyle w:val="TextBody"/>
        <w:spacing w:lineRule="auto" w:line="288" w:before="0" w:after="120"/>
        <w:ind w:left="0" w:right="0" w:hanging="360"/>
        <w:jc w:val="both"/>
        <w:rPr/>
      </w:pPr>
      <w:r>
        <w:rPr>
          <w:rFonts w:ascii="Arial;sans-serif" w:hAnsi="Arial;sans-serif"/>
          <w:b/>
          <w:color w:val="006098"/>
          <w:sz w:val="20"/>
        </w:rPr>
        <w:t>+    </w:t>
      </w:r>
      <w:r>
        <w:rPr>
          <w:rFonts w:ascii="Arial;sans-serif" w:hAnsi="Arial;sans-serif"/>
          <w:b w:val="false"/>
          <w:color w:val="131E29"/>
          <w:sz w:val="20"/>
        </w:rPr>
        <w:t xml:space="preserve">$45.5 million from company-operated shops opened during 2023 and 2022. </w:t>
      </w:r>
    </w:p>
    <w:p>
      <w:pPr>
        <w:pStyle w:val="TextBody"/>
        <w:spacing w:lineRule="auto" w:line="288" w:before="0" w:after="120"/>
        <w:ind w:left="0" w:right="0" w:hanging="360"/>
        <w:jc w:val="both"/>
        <w:rPr/>
      </w:pPr>
      <w:r>
        <w:rPr>
          <w:rFonts w:ascii="Arial;sans-serif" w:hAnsi="Arial;sans-serif"/>
          <w:b/>
          <w:color w:val="D7282F"/>
          <w:sz w:val="24"/>
        </w:rPr>
        <w:t>-</w:t>
      </w:r>
      <w:r>
        <w:rPr>
          <w:color w:val="131E29"/>
        </w:rPr>
        <w:t>    </w:t>
      </w:r>
      <w:r>
        <w:rPr>
          <w:rFonts w:ascii="Arial;sans-serif" w:hAnsi="Arial;sans-serif"/>
          <w:b w:val="false"/>
          <w:color w:val="131E29"/>
          <w:sz w:val="20"/>
        </w:rPr>
        <w:t>$3.8 million from decline in same shop sales in the comparable shop base.</w:t>
      </w:r>
      <w:r>
        <w:rPr>
          <w:rFonts w:ascii="Arial;sans-serif" w:hAnsi="Arial;sans-serif"/>
          <w:b w:val="false"/>
          <w:color w:val="131E29"/>
          <w:sz w:val="13"/>
        </w:rPr>
        <w:t>1</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rPr/>
      </w:pPr>
      <w:r>
        <w:rPr>
          <w:rFonts w:ascii="Arial;sans-serif" w:hAnsi="Arial;sans-serif"/>
          <w:b w:val="false"/>
          <w:color w:val="131E29"/>
          <w:sz w:val="10"/>
        </w:rPr>
        <w:t>1    </w:t>
      </w:r>
      <w:r>
        <w:rPr>
          <w:rFonts w:ascii="Arial;sans-serif" w:hAnsi="Arial;sans-serif"/>
          <w:b w:val="false"/>
          <w:color w:val="131E29"/>
          <w:sz w:val="16"/>
        </w:rPr>
        <w:t xml:space="preserve">For purposes of calculating company-operated same shop revenue, the revenue for 246 company-operated shops was included in the comparable shop base.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drawing>
          <wp:inline distT="0" distB="63500" distL="0" distR="0">
            <wp:extent cx="5943600" cy="1143000"/>
            <wp:effectExtent l="0" t="0" r="0" b="0"/>
            <wp:docPr id="1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0" descr=""/>
                    <pic:cNvPicPr>
                      <a:picLocks noChangeAspect="1" noChangeArrowheads="1"/>
                    </pic:cNvPicPr>
                  </pic:nvPicPr>
                  <pic:blipFill>
                    <a:blip r:embed="rId41"/>
                    <a:stretch>
                      <a:fillRect/>
                    </a:stretch>
                  </pic:blipFill>
                  <pic:spPr bwMode="auto">
                    <a:xfrm>
                      <a:off x="0" y="0"/>
                      <a:ext cx="5943600" cy="1143000"/>
                    </a:xfrm>
                    <a:prstGeom prst="rect">
                      <a:avLst/>
                    </a:prstGeom>
                  </pic:spPr>
                </pic:pic>
              </a:graphicData>
            </a:graphic>
          </wp:inline>
        </w:drawing>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rPr/>
      </w:pPr>
      <w:r>
        <w:rPr>
          <w:rFonts w:ascii="Arial;sans-serif" w:hAnsi="Arial;sans-serif"/>
          <w:b w:val="false"/>
          <w:color w:val="131E29"/>
          <w:sz w:val="10"/>
        </w:rPr>
        <w:t>1    </w:t>
      </w:r>
      <w:r>
        <w:rPr>
          <w:rFonts w:ascii="Arial;sans-serif" w:hAnsi="Arial;sans-serif"/>
          <w:b w:val="false"/>
          <w:color w:val="131E29"/>
          <w:sz w:val="16"/>
        </w:rPr>
        <w:t xml:space="preserve">The comparable shop bases were 173 and 246 for the three months ended March 31, 2022, and 2023, respectively. The comparable shop base includes mature shops, which we define as open longer than 15 months.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Beverage, Food, and Packaging Costs</w:t>
      </w:r>
    </w:p>
    <w:tbl>
      <w:tblPr>
        <w:tblW w:w="10539" w:type="dxa"/>
        <w:jc w:val="left"/>
        <w:tblInd w:w="0" w:type="dxa"/>
        <w:tblCellMar>
          <w:top w:w="28" w:type="dxa"/>
          <w:left w:w="28" w:type="dxa"/>
          <w:bottom w:w="28" w:type="dxa"/>
          <w:right w:w="28" w:type="dxa"/>
        </w:tblCellMar>
      </w:tblPr>
      <w:tblGrid>
        <w:gridCol w:w="1331"/>
        <w:gridCol w:w="825"/>
        <w:gridCol w:w="830"/>
        <w:gridCol w:w="109"/>
        <w:gridCol w:w="109"/>
        <w:gridCol w:w="109"/>
        <w:gridCol w:w="136"/>
        <w:gridCol w:w="136"/>
        <w:gridCol w:w="136"/>
        <w:gridCol w:w="136"/>
        <w:gridCol w:w="526"/>
        <w:gridCol w:w="136"/>
        <w:gridCol w:w="136"/>
        <w:gridCol w:w="136"/>
        <w:gridCol w:w="264"/>
        <w:gridCol w:w="941"/>
        <w:gridCol w:w="136"/>
        <w:gridCol w:w="109"/>
        <w:gridCol w:w="109"/>
        <w:gridCol w:w="109"/>
        <w:gridCol w:w="211"/>
        <w:gridCol w:w="751"/>
        <w:gridCol w:w="109"/>
        <w:gridCol w:w="109"/>
        <w:gridCol w:w="109"/>
        <w:gridCol w:w="109"/>
        <w:gridCol w:w="109"/>
        <w:gridCol w:w="109"/>
        <w:gridCol w:w="211"/>
        <w:gridCol w:w="751"/>
        <w:gridCol w:w="109"/>
        <w:gridCol w:w="109"/>
        <w:gridCol w:w="109"/>
        <w:gridCol w:w="109"/>
        <w:gridCol w:w="192"/>
        <w:gridCol w:w="192"/>
        <w:gridCol w:w="193"/>
        <w:gridCol w:w="109"/>
        <w:gridCol w:w="109"/>
        <w:gridCol w:w="109"/>
        <w:gridCol w:w="162"/>
      </w:tblGrid>
      <w:tr>
        <w:trPr/>
        <w:tc>
          <w:tcPr>
            <w:tcW w:w="1331"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9"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gridSpan w:val="16"/>
            <w:tcBorders/>
            <w:shd w:fill="auto" w:val="clear"/>
          </w:tcPr>
          <w:p>
            <w:pPr>
              <w:pStyle w:val="TableContents"/>
              <w:spacing w:before="0" w:after="283"/>
              <w:rPr>
                <w:sz w:val="4"/>
                <w:szCs w:val="4"/>
              </w:rPr>
            </w:pPr>
            <w:r>
              <w:rPr>
                <w:sz w:val="4"/>
                <w:szCs w:val="4"/>
              </w:rPr>
            </w:r>
          </w:p>
        </w:tc>
      </w:tr>
      <w:tr>
        <w:trPr/>
        <w:tc>
          <w:tcPr>
            <w:tcW w:w="29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7"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298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48,952 </w:t>
            </w:r>
          </w:p>
        </w:tc>
        <w:tc>
          <w:tcPr>
            <w:tcW w:w="13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35,622 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13,330 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37.4%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8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food and packaging costs impacts for the year-over-year comparison, in dollars and basis points, were driven by the following:</w:t>
      </w:r>
    </w:p>
    <w:tbl>
      <w:tblPr>
        <w:tblW w:w="5391" w:type="dxa"/>
        <w:jc w:val="left"/>
        <w:tblInd w:w="0" w:type="dxa"/>
        <w:tblCellMar>
          <w:top w:w="28" w:type="dxa"/>
          <w:left w:w="28" w:type="dxa"/>
          <w:bottom w:w="28" w:type="dxa"/>
          <w:right w:w="28" w:type="dxa"/>
        </w:tblCellMar>
      </w:tblPr>
      <w:tblGrid>
        <w:gridCol w:w="1053"/>
        <w:gridCol w:w="925"/>
        <w:gridCol w:w="931"/>
        <w:gridCol w:w="109"/>
        <w:gridCol w:w="109"/>
        <w:gridCol w:w="109"/>
        <w:gridCol w:w="211"/>
        <w:gridCol w:w="736"/>
        <w:gridCol w:w="109"/>
        <w:gridCol w:w="109"/>
        <w:gridCol w:w="109"/>
        <w:gridCol w:w="109"/>
        <w:gridCol w:w="269"/>
        <w:gridCol w:w="271"/>
        <w:gridCol w:w="232"/>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10,619 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Ingredient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(1,858)</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1,103 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60 </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13,330</w:t>
            </w:r>
            <w:r>
              <w:rPr>
                <w:color w:val="131E29"/>
              </w:rPr>
              <w:t> </w:t>
            </w:r>
          </w:p>
        </w:tc>
        <w:tc>
          <w:tcPr>
            <w:tcW w:w="109"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90</w:t>
            </w:r>
            <w:r>
              <w:rPr>
                <w:color w:val="131E29"/>
              </w:rPr>
              <w:t> </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692265" cy="363220"/>
                <wp:effectExtent l="0" t="0" r="0" b="0"/>
                <wp:wrapNone/>
                <wp:docPr id="111" name="Frame3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1"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1"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Labor Costs</w:t>
      </w:r>
    </w:p>
    <w:tbl>
      <w:tblPr>
        <w:tblW w:w="10539" w:type="dxa"/>
        <w:jc w:val="left"/>
        <w:tblInd w:w="0" w:type="dxa"/>
        <w:tblCellMar>
          <w:top w:w="28" w:type="dxa"/>
          <w:left w:w="28" w:type="dxa"/>
          <w:bottom w:w="28" w:type="dxa"/>
          <w:right w:w="28" w:type="dxa"/>
        </w:tblCellMar>
      </w:tblPr>
      <w:tblGrid>
        <w:gridCol w:w="1131"/>
        <w:gridCol w:w="994"/>
        <w:gridCol w:w="839"/>
        <w:gridCol w:w="109"/>
        <w:gridCol w:w="109"/>
        <w:gridCol w:w="109"/>
        <w:gridCol w:w="136"/>
        <w:gridCol w:w="136"/>
        <w:gridCol w:w="136"/>
        <w:gridCol w:w="136"/>
        <w:gridCol w:w="526"/>
        <w:gridCol w:w="136"/>
        <w:gridCol w:w="136"/>
        <w:gridCol w:w="136"/>
        <w:gridCol w:w="263"/>
        <w:gridCol w:w="938"/>
        <w:gridCol w:w="136"/>
        <w:gridCol w:w="109"/>
        <w:gridCol w:w="109"/>
        <w:gridCol w:w="109"/>
        <w:gridCol w:w="211"/>
        <w:gridCol w:w="751"/>
        <w:gridCol w:w="109"/>
        <w:gridCol w:w="109"/>
        <w:gridCol w:w="109"/>
        <w:gridCol w:w="109"/>
        <w:gridCol w:w="109"/>
        <w:gridCol w:w="109"/>
        <w:gridCol w:w="211"/>
        <w:gridCol w:w="646"/>
        <w:gridCol w:w="109"/>
        <w:gridCol w:w="109"/>
        <w:gridCol w:w="109"/>
        <w:gridCol w:w="109"/>
        <w:gridCol w:w="258"/>
        <w:gridCol w:w="226"/>
        <w:gridCol w:w="228"/>
        <w:gridCol w:w="109"/>
        <w:gridCol w:w="109"/>
        <w:gridCol w:w="109"/>
        <w:gridCol w:w="158"/>
      </w:tblGrid>
      <w:tr>
        <w:trPr/>
        <w:tc>
          <w:tcPr>
            <w:tcW w:w="1131"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5"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7" w:type="dxa"/>
            <w:gridSpan w:val="16"/>
            <w:tcBorders/>
            <w:shd w:fill="auto" w:val="clear"/>
          </w:tcPr>
          <w:p>
            <w:pPr>
              <w:pStyle w:val="TableContents"/>
              <w:spacing w:before="0" w:after="283"/>
              <w:rPr>
                <w:sz w:val="4"/>
                <w:szCs w:val="4"/>
              </w:rPr>
            </w:pPr>
            <w:r>
              <w:rPr>
                <w:sz w:val="4"/>
                <w:szCs w:val="4"/>
              </w:rPr>
            </w:r>
          </w:p>
        </w:tc>
      </w:tr>
      <w:tr>
        <w:trPr/>
        <w:tc>
          <w:tcPr>
            <w:tcW w:w="29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2" w:type="dxa"/>
            <w:gridSpan w:val="3"/>
            <w:tcBorders/>
            <w:shd w:fill="auto" w:val="clear"/>
            <w:vAlign w:val="center"/>
          </w:tcPr>
          <w:p>
            <w:pPr>
              <w:pStyle w:val="TableContents"/>
              <w:spacing w:before="0" w:after="283"/>
              <w:rPr>
                <w:sz w:val="4"/>
                <w:szCs w:val="4"/>
              </w:rPr>
            </w:pPr>
            <w:r>
              <w:rPr>
                <w:sz w:val="4"/>
                <w:szCs w:val="4"/>
              </w:rPr>
            </w:r>
          </w:p>
        </w:tc>
        <w:tc>
          <w:tcPr>
            <w:tcW w:w="485" w:type="dxa"/>
            <w:gridSpan w:val="4"/>
            <w:tcBorders/>
            <w:shd w:fill="auto" w:val="clear"/>
          </w:tcPr>
          <w:p>
            <w:pPr>
              <w:pStyle w:val="TableContents"/>
              <w:spacing w:before="0" w:after="283"/>
              <w:rPr>
                <w:sz w:val="4"/>
                <w:szCs w:val="4"/>
              </w:rPr>
            </w:pPr>
            <w:r>
              <w:rPr>
                <w:sz w:val="4"/>
                <w:szCs w:val="4"/>
              </w:rPr>
            </w:r>
          </w:p>
        </w:tc>
      </w:tr>
      <w:tr>
        <w:trPr/>
        <w:tc>
          <w:tcPr>
            <w:tcW w:w="296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38"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48,549 </w:t>
            </w:r>
          </w:p>
        </w:tc>
        <w:tc>
          <w:tcPr>
            <w:tcW w:w="13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41,761 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6,788 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296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(400)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labor costs impacts for the year-over-year comparison, presented in dollars and basis points, were driven by the following:</w:t>
      </w:r>
    </w:p>
    <w:tbl>
      <w:tblPr>
        <w:tblW w:w="5376" w:type="dxa"/>
        <w:jc w:val="left"/>
        <w:tblInd w:w="0" w:type="dxa"/>
        <w:tblCellMar>
          <w:top w:w="28" w:type="dxa"/>
          <w:left w:w="28" w:type="dxa"/>
          <w:bottom w:w="28" w:type="dxa"/>
          <w:right w:w="28" w:type="dxa"/>
        </w:tblCellMar>
      </w:tblPr>
      <w:tblGrid>
        <w:gridCol w:w="1053"/>
        <w:gridCol w:w="925"/>
        <w:gridCol w:w="931"/>
        <w:gridCol w:w="109"/>
        <w:gridCol w:w="109"/>
        <w:gridCol w:w="109"/>
        <w:gridCol w:w="211"/>
        <w:gridCol w:w="721"/>
        <w:gridCol w:w="109"/>
        <w:gridCol w:w="109"/>
        <w:gridCol w:w="109"/>
        <w:gridCol w:w="109"/>
        <w:gridCol w:w="269"/>
        <w:gridCol w:w="271"/>
        <w:gridCol w:w="232"/>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12,654 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Staffing management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(3,121)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Volume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(2,213)</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Leverage/deleverage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2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6,788</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18"/>
              </w:rPr>
            </w:pPr>
            <w:r>
              <w:rPr>
                <w:rFonts w:ascii="Arial;sans-serif" w:hAnsi="Arial;sans-serif"/>
                <w:b/>
                <w:color w:val="131E29"/>
                <w:sz w:val="18"/>
              </w:rPr>
              <w:t>(400)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Occupancy and Other Costs</w:t>
      </w:r>
    </w:p>
    <w:tbl>
      <w:tblPr>
        <w:tblW w:w="10539" w:type="dxa"/>
        <w:jc w:val="left"/>
        <w:tblInd w:w="0" w:type="dxa"/>
        <w:tblCellMar>
          <w:top w:w="28" w:type="dxa"/>
          <w:left w:w="28" w:type="dxa"/>
          <w:bottom w:w="28" w:type="dxa"/>
          <w:right w:w="28" w:type="dxa"/>
        </w:tblCellMar>
      </w:tblPr>
      <w:tblGrid>
        <w:gridCol w:w="1217"/>
        <w:gridCol w:w="959"/>
        <w:gridCol w:w="844"/>
        <w:gridCol w:w="109"/>
        <w:gridCol w:w="109"/>
        <w:gridCol w:w="109"/>
        <w:gridCol w:w="137"/>
        <w:gridCol w:w="137"/>
        <w:gridCol w:w="137"/>
        <w:gridCol w:w="137"/>
        <w:gridCol w:w="526"/>
        <w:gridCol w:w="137"/>
        <w:gridCol w:w="137"/>
        <w:gridCol w:w="137"/>
        <w:gridCol w:w="265"/>
        <w:gridCol w:w="946"/>
        <w:gridCol w:w="137"/>
        <w:gridCol w:w="109"/>
        <w:gridCol w:w="109"/>
        <w:gridCol w:w="109"/>
        <w:gridCol w:w="211"/>
        <w:gridCol w:w="751"/>
        <w:gridCol w:w="109"/>
        <w:gridCol w:w="109"/>
        <w:gridCol w:w="109"/>
        <w:gridCol w:w="109"/>
        <w:gridCol w:w="109"/>
        <w:gridCol w:w="109"/>
        <w:gridCol w:w="211"/>
        <w:gridCol w:w="646"/>
        <w:gridCol w:w="109"/>
        <w:gridCol w:w="109"/>
        <w:gridCol w:w="109"/>
        <w:gridCol w:w="109"/>
        <w:gridCol w:w="212"/>
        <w:gridCol w:w="212"/>
        <w:gridCol w:w="213"/>
        <w:gridCol w:w="109"/>
        <w:gridCol w:w="109"/>
        <w:gridCol w:w="109"/>
        <w:gridCol w:w="159"/>
      </w:tblGrid>
      <w:tr>
        <w:trPr/>
        <w:tc>
          <w:tcPr>
            <w:tcW w:w="1217"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3"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3" w:type="dxa"/>
            <w:gridSpan w:val="16"/>
            <w:tcBorders/>
            <w:shd w:fill="auto" w:val="clear"/>
          </w:tcPr>
          <w:p>
            <w:pPr>
              <w:pStyle w:val="TableContents"/>
              <w:spacing w:before="0" w:after="283"/>
              <w:rPr>
                <w:sz w:val="4"/>
                <w:szCs w:val="4"/>
              </w:rPr>
            </w:pPr>
            <w:r>
              <w:rPr>
                <w:sz w:val="4"/>
                <w:szCs w:val="4"/>
              </w:rPr>
            </w:r>
          </w:p>
        </w:tc>
      </w:tr>
      <w:tr>
        <w:trPr/>
        <w:tc>
          <w:tcPr>
            <w:tcW w:w="30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486" w:type="dxa"/>
            <w:gridSpan w:val="4"/>
            <w:tcBorders/>
            <w:shd w:fill="auto" w:val="clear"/>
          </w:tcPr>
          <w:p>
            <w:pPr>
              <w:pStyle w:val="TableContents"/>
              <w:spacing w:before="0" w:after="283"/>
              <w:rPr>
                <w:sz w:val="4"/>
                <w:szCs w:val="4"/>
              </w:rPr>
            </w:pPr>
            <w:r>
              <w:rPr>
                <w:sz w:val="4"/>
                <w:szCs w:val="4"/>
              </w:rPr>
            </w:r>
          </w:p>
        </w:tc>
      </w:tr>
      <w:tr>
        <w:trPr/>
        <w:tc>
          <w:tcPr>
            <w:tcW w:w="302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30,559 </w:t>
            </w:r>
          </w:p>
        </w:tc>
        <w:tc>
          <w:tcPr>
            <w:tcW w:w="137"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23,003 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7,556 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02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occupancy and other costs impacts for the year-over-year comparison, presented in dollars and basis points, were driven by the following:</w:t>
      </w:r>
    </w:p>
    <w:tbl>
      <w:tblPr>
        <w:tblW w:w="5286" w:type="dxa"/>
        <w:jc w:val="left"/>
        <w:tblInd w:w="0" w:type="dxa"/>
        <w:tblCellMar>
          <w:top w:w="28" w:type="dxa"/>
          <w:left w:w="28" w:type="dxa"/>
          <w:bottom w:w="28" w:type="dxa"/>
          <w:right w:w="28" w:type="dxa"/>
        </w:tblCellMar>
      </w:tblPr>
      <w:tblGrid>
        <w:gridCol w:w="1053"/>
        <w:gridCol w:w="925"/>
        <w:gridCol w:w="931"/>
        <w:gridCol w:w="109"/>
        <w:gridCol w:w="109"/>
        <w:gridCol w:w="109"/>
        <w:gridCol w:w="211"/>
        <w:gridCol w:w="631"/>
        <w:gridCol w:w="109"/>
        <w:gridCol w:w="109"/>
        <w:gridCol w:w="109"/>
        <w:gridCol w:w="109"/>
        <w:gridCol w:w="268"/>
        <w:gridCol w:w="272"/>
        <w:gridCol w:w="232"/>
      </w:tblGrid>
      <w:tr>
        <w:trPr/>
        <w:tc>
          <w:tcPr>
            <w:tcW w:w="1053"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BPS;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290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Shop weeks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6,991 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Leverage/deleverage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Pricing impacts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18"/>
              </w:rPr>
            </w:pPr>
            <w:r>
              <w:rPr>
                <w:rFonts w:ascii="Arial;sans-serif" w:hAnsi="Arial;sans-serif"/>
                <w:b w:val="false"/>
                <w:color w:val="131E29"/>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Total change</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18"/>
              </w:rPr>
              <w:t>7,556</w:t>
            </w:r>
            <w:r>
              <w:rPr>
                <w:color w:val="131E29"/>
              </w:rPr>
              <w:t> </w:t>
            </w:r>
          </w:p>
        </w:tc>
        <w:tc>
          <w:tcPr>
            <w:tcW w:w="109"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color w:val="131E29"/>
                <w:sz w:val="18"/>
              </w:rPr>
            </w:pPr>
            <w:r>
              <w:rPr>
                <w:rFonts w:ascii="Arial;sans-serif" w:hAnsi="Arial;sans-serif"/>
                <w:b/>
                <w:color w:val="131E29"/>
                <w:sz w:val="18"/>
              </w:rPr>
              <w:t>(10)</w:t>
            </w:r>
          </w:p>
        </w:tc>
        <w:tc>
          <w:tcPr>
            <w:tcW w:w="232" w:type="dxa"/>
            <w:tcBorders>
              <w:top w:val="single" w:sz="8" w:space="0" w:color="131E29"/>
              <w:bottom w:val="single" w:sz="8" w:space="0" w:color="131E29"/>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Pre-opening Costs</w:t>
      </w:r>
    </w:p>
    <w:tbl>
      <w:tblPr>
        <w:tblW w:w="10539" w:type="dxa"/>
        <w:jc w:val="left"/>
        <w:tblInd w:w="0" w:type="dxa"/>
        <w:tblCellMar>
          <w:top w:w="28" w:type="dxa"/>
          <w:left w:w="28" w:type="dxa"/>
          <w:bottom w:w="28" w:type="dxa"/>
          <w:right w:w="28" w:type="dxa"/>
        </w:tblCellMar>
      </w:tblPr>
      <w:tblGrid>
        <w:gridCol w:w="1345"/>
        <w:gridCol w:w="853"/>
        <w:gridCol w:w="859"/>
        <w:gridCol w:w="109"/>
        <w:gridCol w:w="109"/>
        <w:gridCol w:w="109"/>
        <w:gridCol w:w="142"/>
        <w:gridCol w:w="142"/>
        <w:gridCol w:w="142"/>
        <w:gridCol w:w="142"/>
        <w:gridCol w:w="526"/>
        <w:gridCol w:w="142"/>
        <w:gridCol w:w="142"/>
        <w:gridCol w:w="142"/>
        <w:gridCol w:w="276"/>
        <w:gridCol w:w="846"/>
        <w:gridCol w:w="142"/>
        <w:gridCol w:w="109"/>
        <w:gridCol w:w="109"/>
        <w:gridCol w:w="109"/>
        <w:gridCol w:w="211"/>
        <w:gridCol w:w="646"/>
        <w:gridCol w:w="109"/>
        <w:gridCol w:w="109"/>
        <w:gridCol w:w="109"/>
        <w:gridCol w:w="109"/>
        <w:gridCol w:w="109"/>
        <w:gridCol w:w="109"/>
        <w:gridCol w:w="211"/>
        <w:gridCol w:w="675"/>
        <w:gridCol w:w="109"/>
        <w:gridCol w:w="109"/>
        <w:gridCol w:w="109"/>
        <w:gridCol w:w="109"/>
        <w:gridCol w:w="240"/>
        <w:gridCol w:w="240"/>
        <w:gridCol w:w="242"/>
        <w:gridCol w:w="109"/>
        <w:gridCol w:w="109"/>
        <w:gridCol w:w="109"/>
        <w:gridCol w:w="162"/>
      </w:tblGrid>
      <w:tr>
        <w:trPr/>
        <w:tc>
          <w:tcPr>
            <w:tcW w:w="1345"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4"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0" w:type="dxa"/>
            <w:gridSpan w:val="16"/>
            <w:tcBorders/>
            <w:shd w:fill="auto" w:val="clear"/>
          </w:tcPr>
          <w:p>
            <w:pPr>
              <w:pStyle w:val="TableContents"/>
              <w:spacing w:before="0" w:after="283"/>
              <w:rPr>
                <w:sz w:val="4"/>
                <w:szCs w:val="4"/>
              </w:rPr>
            </w:pPr>
            <w:r>
              <w:rPr>
                <w:sz w:val="4"/>
                <w:szCs w:val="4"/>
              </w:rPr>
            </w:r>
          </w:p>
        </w:tc>
      </w:tr>
      <w:tr>
        <w:trPr/>
        <w:tc>
          <w:tcPr>
            <w:tcW w:w="305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shop data;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31"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2"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3057"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3,231 </w:t>
            </w:r>
          </w:p>
        </w:tc>
        <w:tc>
          <w:tcPr>
            <w:tcW w:w="14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6,022 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75"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(2,791)</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(46.3)%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(270)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23.5%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305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(56.5)%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692265" cy="363220"/>
                <wp:effectExtent l="0" t="0" r="0" b="0"/>
                <wp:wrapNone/>
                <wp:docPr id="114" name="Frame3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2"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pre-opening costs was primarily driven by opening a higher proportion of shops in existing markets, which do not require as much support, in the three months ended March 31, 2023 as compared to the same period in 2022.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Depreciation and Amortization</w:t>
      </w:r>
    </w:p>
    <w:tbl>
      <w:tblPr>
        <w:tblW w:w="10539" w:type="dxa"/>
        <w:jc w:val="left"/>
        <w:tblInd w:w="0" w:type="dxa"/>
        <w:tblCellMar>
          <w:top w:w="28" w:type="dxa"/>
          <w:left w:w="28" w:type="dxa"/>
          <w:bottom w:w="28" w:type="dxa"/>
          <w:right w:w="28" w:type="dxa"/>
        </w:tblCellMar>
      </w:tblPr>
      <w:tblGrid>
        <w:gridCol w:w="1284"/>
        <w:gridCol w:w="938"/>
        <w:gridCol w:w="875"/>
        <w:gridCol w:w="109"/>
        <w:gridCol w:w="109"/>
        <w:gridCol w:w="109"/>
        <w:gridCol w:w="138"/>
        <w:gridCol w:w="138"/>
        <w:gridCol w:w="138"/>
        <w:gridCol w:w="138"/>
        <w:gridCol w:w="526"/>
        <w:gridCol w:w="138"/>
        <w:gridCol w:w="138"/>
        <w:gridCol w:w="138"/>
        <w:gridCol w:w="268"/>
        <w:gridCol w:w="957"/>
        <w:gridCol w:w="138"/>
        <w:gridCol w:w="109"/>
        <w:gridCol w:w="109"/>
        <w:gridCol w:w="109"/>
        <w:gridCol w:w="211"/>
        <w:gridCol w:w="646"/>
        <w:gridCol w:w="109"/>
        <w:gridCol w:w="109"/>
        <w:gridCol w:w="109"/>
        <w:gridCol w:w="109"/>
        <w:gridCol w:w="109"/>
        <w:gridCol w:w="109"/>
        <w:gridCol w:w="211"/>
        <w:gridCol w:w="646"/>
        <w:gridCol w:w="109"/>
        <w:gridCol w:w="109"/>
        <w:gridCol w:w="109"/>
        <w:gridCol w:w="109"/>
        <w:gridCol w:w="212"/>
        <w:gridCol w:w="212"/>
        <w:gridCol w:w="214"/>
        <w:gridCol w:w="109"/>
        <w:gridCol w:w="109"/>
        <w:gridCol w:w="109"/>
        <w:gridCol w:w="164"/>
      </w:tblGrid>
      <w:tr>
        <w:trPr/>
        <w:tc>
          <w:tcPr>
            <w:tcW w:w="1284"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0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5"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9" w:type="dxa"/>
            <w:gridSpan w:val="16"/>
            <w:tcBorders/>
            <w:shd w:fill="auto" w:val="clear"/>
          </w:tcPr>
          <w:p>
            <w:pPr>
              <w:pStyle w:val="TableContents"/>
              <w:spacing w:before="0" w:after="283"/>
              <w:rPr>
                <w:sz w:val="4"/>
                <w:szCs w:val="4"/>
              </w:rPr>
            </w:pPr>
            <w:r>
              <w:rPr>
                <w:sz w:val="4"/>
                <w:szCs w:val="4"/>
              </w:rPr>
            </w:r>
          </w:p>
        </w:tc>
      </w:tr>
      <w:tr>
        <w:trPr/>
        <w:tc>
          <w:tcPr>
            <w:tcW w:w="309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8" w:type="dxa"/>
            <w:gridSpan w:val="3"/>
            <w:tcBorders/>
            <w:shd w:fill="auto" w:val="clear"/>
            <w:vAlign w:val="center"/>
          </w:tcPr>
          <w:p>
            <w:pPr>
              <w:pStyle w:val="TableContents"/>
              <w:spacing w:before="0" w:after="283"/>
              <w:rPr>
                <w:sz w:val="4"/>
                <w:szCs w:val="4"/>
              </w:rPr>
            </w:pPr>
            <w:r>
              <w:rPr>
                <w:sz w:val="4"/>
                <w:szCs w:val="4"/>
              </w:rPr>
            </w:r>
          </w:p>
        </w:tc>
        <w:tc>
          <w:tcPr>
            <w:tcW w:w="491" w:type="dxa"/>
            <w:gridSpan w:val="4"/>
            <w:tcBorders/>
            <w:shd w:fill="auto" w:val="clear"/>
          </w:tcPr>
          <w:p>
            <w:pPr>
              <w:pStyle w:val="TableContents"/>
              <w:spacing w:before="0" w:after="283"/>
              <w:rPr>
                <w:sz w:val="4"/>
                <w:szCs w:val="4"/>
              </w:rPr>
            </w:pPr>
            <w:r>
              <w:rPr>
                <w:sz w:val="4"/>
                <w:szCs w:val="4"/>
              </w:rPr>
            </w:r>
          </w:p>
        </w:tc>
      </w:tr>
      <w:tr>
        <w:trPr/>
        <w:tc>
          <w:tcPr>
            <w:tcW w:w="3097"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5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13,001 </w:t>
            </w:r>
          </w:p>
        </w:tc>
        <w:tc>
          <w:tcPr>
            <w:tcW w:w="138"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5,861 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82.1%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200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increases in depreciation and amortization were primarily driven by the opening of new company-operated shops during both 2023 and 2022.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pPr>
      <w:r>
        <w:rPr>
          <w:rFonts w:ascii="Arial;sans-serif" w:hAnsi="Arial;sans-serif"/>
          <w:b/>
          <w:i/>
          <w:color w:val="006098"/>
          <w:sz w:val="20"/>
        </w:rPr>
        <w:t>Company-operated Shop Gross Profit and Contribution</w:t>
      </w:r>
      <w:r>
        <w:rPr>
          <w:rFonts w:ascii="Arial;sans-serif" w:hAnsi="Arial;sans-serif"/>
          <w:b/>
          <w:i/>
          <w:color w:val="006098"/>
          <w:sz w:val="13"/>
        </w:rPr>
        <w:t>1</w:t>
      </w:r>
    </w:p>
    <w:tbl>
      <w:tblPr>
        <w:tblW w:w="10539" w:type="dxa"/>
        <w:jc w:val="left"/>
        <w:tblInd w:w="0" w:type="dxa"/>
        <w:tblCellMar>
          <w:top w:w="28" w:type="dxa"/>
          <w:left w:w="28" w:type="dxa"/>
          <w:bottom w:w="28" w:type="dxa"/>
          <w:right w:w="28" w:type="dxa"/>
        </w:tblCellMar>
      </w:tblPr>
      <w:tblGrid>
        <w:gridCol w:w="1130"/>
        <w:gridCol w:w="947"/>
        <w:gridCol w:w="851"/>
        <w:gridCol w:w="109"/>
        <w:gridCol w:w="109"/>
        <w:gridCol w:w="109"/>
        <w:gridCol w:w="142"/>
        <w:gridCol w:w="142"/>
        <w:gridCol w:w="142"/>
        <w:gridCol w:w="142"/>
        <w:gridCol w:w="526"/>
        <w:gridCol w:w="142"/>
        <w:gridCol w:w="142"/>
        <w:gridCol w:w="142"/>
        <w:gridCol w:w="277"/>
        <w:gridCol w:w="947"/>
        <w:gridCol w:w="142"/>
        <w:gridCol w:w="109"/>
        <w:gridCol w:w="109"/>
        <w:gridCol w:w="109"/>
        <w:gridCol w:w="211"/>
        <w:gridCol w:w="721"/>
        <w:gridCol w:w="109"/>
        <w:gridCol w:w="109"/>
        <w:gridCol w:w="109"/>
        <w:gridCol w:w="109"/>
        <w:gridCol w:w="109"/>
        <w:gridCol w:w="109"/>
        <w:gridCol w:w="211"/>
        <w:gridCol w:w="721"/>
        <w:gridCol w:w="109"/>
        <w:gridCol w:w="109"/>
        <w:gridCol w:w="109"/>
        <w:gridCol w:w="109"/>
        <w:gridCol w:w="209"/>
        <w:gridCol w:w="209"/>
        <w:gridCol w:w="211"/>
        <w:gridCol w:w="109"/>
        <w:gridCol w:w="109"/>
        <w:gridCol w:w="109"/>
        <w:gridCol w:w="161"/>
      </w:tblGrid>
      <w:tr>
        <w:trPr/>
        <w:tc>
          <w:tcPr>
            <w:tcW w:w="1130"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86"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4398" w:type="dxa"/>
            <w:gridSpan w:val="24"/>
            <w:tcBorders/>
            <w:shd w:fill="auto" w:val="clear"/>
          </w:tcPr>
          <w:p>
            <w:pPr>
              <w:pStyle w:val="TableContents"/>
              <w:spacing w:before="0" w:after="283"/>
              <w:rPr>
                <w:sz w:val="4"/>
                <w:szCs w:val="4"/>
              </w:rPr>
            </w:pPr>
            <w:r>
              <w:rPr>
                <w:sz w:val="4"/>
                <w:szCs w:val="4"/>
              </w:rPr>
            </w:r>
          </w:p>
        </w:tc>
      </w:tr>
      <w:tr>
        <w:trPr/>
        <w:tc>
          <w:tcPr>
            <w:tcW w:w="292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29" w:type="dxa"/>
            <w:gridSpan w:val="3"/>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292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Company-operated shop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4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28,872 </w:t>
            </w:r>
          </w:p>
        </w:tc>
        <w:tc>
          <w:tcPr>
            <w:tcW w:w="14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16,639 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12,233 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73.5%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390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28"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r>
              <w:rPr>
                <w:rFonts w:ascii="Arial;sans-serif" w:hAnsi="Arial;sans-serif"/>
                <w:b w:val="false"/>
                <w:color w:val="131E29"/>
                <w:sz w:val="16"/>
              </w:rPr>
              <w:t xml:space="preserve">Company-operated shop contribution </w:t>
            </w:r>
            <w:r>
              <w:rPr>
                <w:rFonts w:ascii="Arial;sans-serif" w:hAnsi="Arial;sans-serif"/>
                <w:b w:val="false"/>
                <w:color w:val="131E29"/>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47"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41,873 </w:t>
            </w:r>
          </w:p>
        </w:tc>
        <w:tc>
          <w:tcPr>
            <w:tcW w:w="14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23,779 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18,094 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76.1%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92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6"/>
              </w:rPr>
            </w:pPr>
            <w:r>
              <w:rPr>
                <w:rFonts w:ascii="Arial;sans-serif" w:hAnsi="Arial;sans-serif"/>
                <w:b w:val="false"/>
                <w:i/>
                <w:color w:val="131E29"/>
                <w:sz w:val="16"/>
              </w:rPr>
              <w:t>As a percentage of company-operated shop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590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Reconciliation of GAAP to non-GAAP results is provided in the section “Non-GAAP Financial Measures” in Part II, Item 2 “Management’s Discussion and Analysis of Financial Condition and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 gross profit and contribution impacts for the year-over-year comparison, presented in basis points, were driven by the following:</w:t>
      </w:r>
    </w:p>
    <w:tbl>
      <w:tblPr>
        <w:tblW w:w="6416" w:type="dxa"/>
        <w:jc w:val="left"/>
        <w:tblInd w:w="0" w:type="dxa"/>
        <w:tblCellMar>
          <w:top w:w="28" w:type="dxa"/>
          <w:left w:w="28" w:type="dxa"/>
          <w:bottom w:w="28" w:type="dxa"/>
          <w:right w:w="28" w:type="dxa"/>
        </w:tblCellMar>
      </w:tblPr>
      <w:tblGrid>
        <w:gridCol w:w="1845"/>
        <w:gridCol w:w="1620"/>
        <w:gridCol w:w="1634"/>
        <w:gridCol w:w="109"/>
        <w:gridCol w:w="109"/>
        <w:gridCol w:w="109"/>
        <w:gridCol w:w="109"/>
        <w:gridCol w:w="109"/>
        <w:gridCol w:w="269"/>
        <w:gridCol w:w="271"/>
        <w:gridCol w:w="232"/>
      </w:tblGrid>
      <w:tr>
        <w:trPr/>
        <w:tc>
          <w:tcPr>
            <w:tcW w:w="1845"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c>
          <w:tcPr>
            <w:tcW w:w="1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BPS</w:t>
            </w:r>
          </w:p>
        </w:tc>
      </w:tr>
      <w:tr>
        <w:trPr/>
        <w:tc>
          <w:tcPr>
            <w:tcW w:w="509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Ingredient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Shop operating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180 </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Costs increases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Menu prices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shop related items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270 </w:t>
            </w:r>
          </w:p>
        </w:tc>
        <w:tc>
          <w:tcPr>
            <w:tcW w:w="232"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r>
      <w:tr>
        <w:trPr/>
        <w:tc>
          <w:tcPr>
            <w:tcW w:w="5099" w:type="dxa"/>
            <w:gridSpan w:val="3"/>
            <w:tcBorders/>
            <w:shd w:fill="FFFFFF"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Leverage (deleverage)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(240)</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shd w:fill="D2DCE5" w:val="clear"/>
            <w:tcMar>
              <w:top w:w="0" w:type="dxa"/>
              <w:left w:w="0" w:type="dxa"/>
              <w:bottom w:w="0" w:type="dxa"/>
              <w:right w:w="0" w:type="dxa"/>
            </w:tcMar>
            <w:vAlign w:val="center"/>
          </w:tcPr>
          <w:p>
            <w:pPr>
              <w:pStyle w:val="TableContents"/>
              <w:spacing w:lineRule="auto" w:line="288" w:before="0" w:after="283"/>
              <w:jc w:val="both"/>
              <w:rPr>
                <w:rFonts w:ascii="Arial;sans-serif" w:hAnsi="Arial;sans-serif"/>
                <w:b w:val="false"/>
                <w:color w:val="131E29"/>
                <w:sz w:val="20"/>
              </w:rPr>
            </w:pPr>
            <w:r>
              <w:rPr>
                <w:rFonts w:ascii="Arial;sans-serif" w:hAnsi="Arial;sans-serif"/>
                <w:b w:val="false"/>
                <w:color w:val="131E29"/>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w:t>
            </w:r>
          </w:p>
        </w:tc>
        <w:tc>
          <w:tcPr>
            <w:tcW w:w="232"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pPr>
            <w:r>
              <w:rPr>
                <w:rFonts w:ascii="Arial;sans-serif" w:hAnsi="Arial;sans-serif"/>
                <w:b/>
                <w:color w:val="131E29"/>
                <w:sz w:val="20"/>
              </w:rPr>
              <w:t>390</w:t>
            </w:r>
            <w:r>
              <w:rPr>
                <w:color w:val="131E29"/>
              </w:rPr>
              <w:t> </w:t>
            </w:r>
          </w:p>
        </w:tc>
        <w:tc>
          <w:tcPr>
            <w:tcW w:w="232"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200 </w:t>
            </w:r>
          </w:p>
        </w:tc>
        <w:tc>
          <w:tcPr>
            <w:tcW w:w="232"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99" w:type="dxa"/>
            <w:gridSpan w:val="3"/>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Total change in Company-operated shop contribution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pPr>
            <w:r>
              <w:rPr>
                <w:rFonts w:ascii="Arial;sans-serif" w:hAnsi="Arial;sans-serif"/>
                <w:b/>
                <w:color w:val="131E29"/>
                <w:sz w:val="20"/>
              </w:rPr>
              <w:t>590</w:t>
            </w:r>
            <w:r>
              <w:rPr>
                <w:color w:val="131E29"/>
              </w:rPr>
              <w:t> </w:t>
            </w:r>
          </w:p>
        </w:tc>
        <w:tc>
          <w:tcPr>
            <w:tcW w:w="232" w:type="dxa"/>
            <w:tcBorders>
              <w:top w:val="single" w:sz="8" w:space="0" w:color="131E29"/>
              <w:bottom w:val="sing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692265" cy="363220"/>
                <wp:effectExtent l="0" t="0" r="0" b="0"/>
                <wp:wrapNone/>
                <wp:docPr id="117" name="Frame3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1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3"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Franchising and Other Segment Performance</w:t>
      </w:r>
    </w:p>
    <w:tbl>
      <w:tblPr>
        <w:tblW w:w="10539" w:type="dxa"/>
        <w:jc w:val="left"/>
        <w:tblInd w:w="0" w:type="dxa"/>
        <w:tblCellMar>
          <w:top w:w="28" w:type="dxa"/>
          <w:left w:w="28" w:type="dxa"/>
          <w:bottom w:w="28" w:type="dxa"/>
          <w:right w:w="28" w:type="dxa"/>
        </w:tblCellMar>
      </w:tblPr>
      <w:tblGrid>
        <w:gridCol w:w="1105"/>
        <w:gridCol w:w="920"/>
        <w:gridCol w:w="926"/>
        <w:gridCol w:w="109"/>
        <w:gridCol w:w="109"/>
        <w:gridCol w:w="109"/>
        <w:gridCol w:w="146"/>
        <w:gridCol w:w="146"/>
        <w:gridCol w:w="146"/>
        <w:gridCol w:w="146"/>
        <w:gridCol w:w="526"/>
        <w:gridCol w:w="146"/>
        <w:gridCol w:w="146"/>
        <w:gridCol w:w="146"/>
        <w:gridCol w:w="284"/>
        <w:gridCol w:w="972"/>
        <w:gridCol w:w="146"/>
        <w:gridCol w:w="109"/>
        <w:gridCol w:w="109"/>
        <w:gridCol w:w="109"/>
        <w:gridCol w:w="211"/>
        <w:gridCol w:w="721"/>
        <w:gridCol w:w="109"/>
        <w:gridCol w:w="109"/>
        <w:gridCol w:w="109"/>
        <w:gridCol w:w="109"/>
        <w:gridCol w:w="109"/>
        <w:gridCol w:w="109"/>
        <w:gridCol w:w="211"/>
        <w:gridCol w:w="616"/>
        <w:gridCol w:w="109"/>
        <w:gridCol w:w="109"/>
        <w:gridCol w:w="109"/>
        <w:gridCol w:w="109"/>
        <w:gridCol w:w="222"/>
        <w:gridCol w:w="221"/>
        <w:gridCol w:w="203"/>
        <w:gridCol w:w="109"/>
        <w:gridCol w:w="109"/>
        <w:gridCol w:w="109"/>
        <w:gridCol w:w="162"/>
      </w:tblGrid>
      <w:tr>
        <w:trPr/>
        <w:tc>
          <w:tcPr>
            <w:tcW w:w="1105"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4311" w:type="dxa"/>
            <w:gridSpan w:val="24"/>
            <w:tcBorders/>
            <w:shd w:fill="auto" w:val="clear"/>
          </w:tcPr>
          <w:p>
            <w:pPr>
              <w:pStyle w:val="TableContents"/>
              <w:spacing w:before="0" w:after="283"/>
              <w:rPr>
                <w:sz w:val="4"/>
                <w:szCs w:val="4"/>
              </w:rPr>
            </w:pPr>
            <w:r>
              <w:rPr>
                <w:sz w:val="4"/>
                <w:szCs w:val="4"/>
              </w:rPr>
            </w:r>
          </w:p>
        </w:tc>
      </w:tr>
      <w:tr>
        <w:trPr/>
        <w:tc>
          <w:tcPr>
            <w:tcW w:w="295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46"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295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7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24,103 </w:t>
            </w:r>
          </w:p>
        </w:tc>
        <w:tc>
          <w:tcPr>
            <w:tcW w:w="146"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21,969 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2,134 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97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16,872 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5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70.0%</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65.3%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470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Franchising and other gross profit impacts for the year-over-year comparison, presented in dollars, were driven by the following:</w:t>
      </w:r>
    </w:p>
    <w:p>
      <w:pPr>
        <w:pStyle w:val="TextBody"/>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$2.1 million primarily from products sold to franchisees, net of costs.</w:t>
      </w:r>
    </w:p>
    <w:p>
      <w:pPr>
        <w:pStyle w:val="TextBody"/>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$0.5 million</w:t>
      </w:r>
      <w:r>
        <w:rPr>
          <w:color w:val="000000"/>
        </w:rPr>
        <w:t xml:space="preserve"> </w:t>
      </w:r>
      <w:r>
        <w:rPr>
          <w:rFonts w:ascii="Arial;sans-serif" w:hAnsi="Arial;sans-serif"/>
          <w:b w:val="false"/>
          <w:color w:val="000000"/>
          <w:sz w:val="20"/>
        </w:rPr>
        <w:t>from shop weeks, driven by shop openings during the period.</w:t>
      </w:r>
    </w:p>
    <w:p>
      <w:pPr>
        <w:pStyle w:val="TextBody"/>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 xml:space="preserve">$0.1 million from same shop sales.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Selling, General, and Administrative</w:t>
      </w:r>
    </w:p>
    <w:tbl>
      <w:tblPr>
        <w:tblW w:w="10539" w:type="dxa"/>
        <w:jc w:val="left"/>
        <w:tblInd w:w="0" w:type="dxa"/>
        <w:tblCellMar>
          <w:top w:w="28" w:type="dxa"/>
          <w:left w:w="28" w:type="dxa"/>
          <w:bottom w:w="28" w:type="dxa"/>
          <w:right w:w="28" w:type="dxa"/>
        </w:tblCellMar>
      </w:tblPr>
      <w:tblGrid>
        <w:gridCol w:w="1076"/>
        <w:gridCol w:w="939"/>
        <w:gridCol w:w="945"/>
        <w:gridCol w:w="109"/>
        <w:gridCol w:w="109"/>
        <w:gridCol w:w="109"/>
        <w:gridCol w:w="268"/>
        <w:gridCol w:w="268"/>
        <w:gridCol w:w="268"/>
        <w:gridCol w:w="268"/>
        <w:gridCol w:w="526"/>
        <w:gridCol w:w="268"/>
        <w:gridCol w:w="268"/>
        <w:gridCol w:w="268"/>
        <w:gridCol w:w="272"/>
        <w:gridCol w:w="272"/>
        <w:gridCol w:w="271"/>
        <w:gridCol w:w="109"/>
        <w:gridCol w:w="109"/>
        <w:gridCol w:w="109"/>
        <w:gridCol w:w="211"/>
        <w:gridCol w:w="721"/>
        <w:gridCol w:w="109"/>
        <w:gridCol w:w="109"/>
        <w:gridCol w:w="109"/>
        <w:gridCol w:w="109"/>
        <w:gridCol w:w="109"/>
        <w:gridCol w:w="109"/>
        <w:gridCol w:w="211"/>
        <w:gridCol w:w="468"/>
        <w:gridCol w:w="109"/>
        <w:gridCol w:w="109"/>
        <w:gridCol w:w="109"/>
        <w:gridCol w:w="109"/>
        <w:gridCol w:w="172"/>
        <w:gridCol w:w="172"/>
        <w:gridCol w:w="174"/>
        <w:gridCol w:w="109"/>
        <w:gridCol w:w="109"/>
        <w:gridCol w:w="109"/>
        <w:gridCol w:w="162"/>
      </w:tblGrid>
      <w:tr>
        <w:trPr/>
        <w:tc>
          <w:tcPr>
            <w:tcW w:w="1076"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7"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4035" w:type="dxa"/>
            <w:gridSpan w:val="24"/>
            <w:tcBorders/>
            <w:shd w:fill="auto" w:val="clear"/>
          </w:tcPr>
          <w:p>
            <w:pPr>
              <w:pStyle w:val="TableContents"/>
              <w:spacing w:before="0" w:after="283"/>
              <w:rPr>
                <w:sz w:val="4"/>
                <w:szCs w:val="4"/>
              </w:rPr>
            </w:pPr>
            <w:r>
              <w:rPr>
                <w:sz w:val="4"/>
                <w:szCs w:val="4"/>
              </w:rPr>
            </w:r>
          </w:p>
        </w:tc>
      </w:tr>
      <w:tr>
        <w:trPr/>
        <w:tc>
          <w:tcPr>
            <w:tcW w:w="29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8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489" w:type="dxa"/>
            <w:gridSpan w:val="4"/>
            <w:tcBorders/>
            <w:shd w:fill="auto" w:val="clea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$45,976</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45,214 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468"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762 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29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804" w:type="dxa"/>
            <w:gridSpan w:val="3"/>
            <w:tcBorders/>
            <w:shd w:fill="auto" w:val="clear"/>
            <w:vAlign w:val="center"/>
          </w:tcPr>
          <w:p>
            <w:pPr>
              <w:pStyle w:val="TableContents"/>
              <w:spacing w:before="0" w:after="283"/>
              <w:rPr>
                <w:sz w:val="4"/>
                <w:szCs w:val="4"/>
              </w:rPr>
            </w:pPr>
            <w:r>
              <w:rPr>
                <w:sz w:val="4"/>
                <w:szCs w:val="4"/>
              </w:rPr>
            </w:r>
          </w:p>
        </w:tc>
        <w:tc>
          <w:tcPr>
            <w:tcW w:w="8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impacts for the year-over-year comparison, presented in dollars and basis points, were driven by the following:</w:t>
      </w:r>
    </w:p>
    <w:p>
      <w:pPr>
        <w:pStyle w:val="TextBody"/>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131E29"/>
          <w:sz w:val="20"/>
        </w:rPr>
        <w:t>$5.0 million from investments in human capital, processes, and systems to support our revenue growth.</w:t>
      </w:r>
    </w:p>
    <w:p>
      <w:pPr>
        <w:pStyle w:val="TextBody"/>
        <w:spacing w:lineRule="auto" w:line="288" w:before="0" w:after="180"/>
        <w:ind w:left="0" w:right="0" w:hanging="360"/>
        <w:jc w:val="both"/>
        <w:rPr/>
      </w:pPr>
      <w:r>
        <w:rPr>
          <w:rFonts w:ascii="Arial;sans-serif" w:hAnsi="Arial;sans-serif"/>
          <w:b/>
          <w:color w:val="D7282F"/>
          <w:sz w:val="24"/>
        </w:rPr>
        <w:t>-    </w:t>
      </w:r>
      <w:r>
        <w:rPr>
          <w:rFonts w:ascii="Arial;sans-serif" w:hAnsi="Arial;sans-serif"/>
          <w:b w:val="false"/>
          <w:color w:val="131E29"/>
          <w:sz w:val="20"/>
        </w:rPr>
        <w:t>$2.4 million</w:t>
      </w:r>
      <w:r>
        <w:rPr>
          <w:color w:val="000000"/>
        </w:rPr>
        <w:t xml:space="preserve"> </w:t>
      </w:r>
      <w:r>
        <w:rPr>
          <w:rFonts w:ascii="Arial;sans-serif" w:hAnsi="Arial;sans-serif"/>
          <w:b w:val="false"/>
          <w:color w:val="000000"/>
          <w:sz w:val="20"/>
        </w:rPr>
        <w:t>or 120 bps from prior year company-wide event costs celebrating 30 years serving high QUALITY, hand-crafted beverages with unparalleled SPEED and superior SERVICE to our customers.</w:t>
      </w:r>
    </w:p>
    <w:p>
      <w:pPr>
        <w:pStyle w:val="TextBody"/>
        <w:spacing w:lineRule="auto" w:line="288" w:before="0" w:after="18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 xml:space="preserve">$1.2 million or </w:t>
      </w:r>
      <w:r>
        <w:rPr>
          <w:rFonts w:ascii="Arial;sans-serif" w:hAnsi="Arial;sans-serif"/>
          <w:b w:val="false"/>
          <w:color w:val="000000"/>
          <w:sz w:val="20"/>
        </w:rPr>
        <w:t>60 bps</w:t>
      </w:r>
      <w:r>
        <w:rPr>
          <w:color w:val="131E29"/>
        </w:rPr>
        <w:t xml:space="preserve"> </w:t>
      </w:r>
      <w:r>
        <w:rPr>
          <w:rFonts w:ascii="Arial;sans-serif" w:hAnsi="Arial;sans-serif"/>
          <w:b w:val="false"/>
          <w:color w:val="131E29"/>
          <w:sz w:val="20"/>
        </w:rPr>
        <w:t>from prior year write-off of prepaid expense for our virtual corporate engagement platform built in response to COVID-19 pandemic as a substitute for in person engagement practices pre-pandemic. The platform was determined ineffective, particularly as we shifted back to in person engagement and easing of restrictions related to the COVID-19 pandemic.</w:t>
      </w:r>
    </w:p>
    <w:p>
      <w:pPr>
        <w:pStyle w:val="TextBody"/>
        <w:spacing w:lineRule="auto" w:line="288" w:before="0" w:after="120"/>
        <w:ind w:left="0" w:right="0" w:hanging="360"/>
        <w:jc w:val="both"/>
        <w:rPr/>
      </w:pPr>
      <w:r>
        <w:rPr>
          <w:rFonts w:ascii="Arial;sans-serif" w:hAnsi="Arial;sans-serif"/>
          <w:b/>
          <w:color w:val="D7282F"/>
          <w:sz w:val="24"/>
        </w:rPr>
        <w:t>-</w:t>
      </w:r>
      <w:r>
        <w:rPr>
          <w:color w:val="006098"/>
        </w:rPr>
        <w:t>    </w:t>
      </w:r>
      <w:r>
        <w:rPr>
          <w:rFonts w:ascii="Arial;sans-serif" w:hAnsi="Arial;sans-serif"/>
          <w:b w:val="false"/>
          <w:color w:val="131E29"/>
          <w:sz w:val="20"/>
        </w:rPr>
        <w:t>$0.7 million or 40 bps from lower equity-based compensation charges.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summation of the impact of the specific items above would have decreased selling, general and administrative expenses by 220 bps to be 27.5% of revenue. However, leverage from revenue growth reduces that percentage by 420 bps to be 23.3% of revenue.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692265" cy="363220"/>
                <wp:effectExtent l="0" t="0" r="0" b="0"/>
                <wp:wrapNone/>
                <wp:docPr id="120" name="Frame4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4"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4" descr=""/>
                                    <pic:cNvPicPr>
                                      <a:picLocks noChangeAspect="1" noChangeArrowheads="1"/>
                                    </pic:cNvPicPr>
                                  </pic:nvPicPr>
                                  <pic:blipFill>
                                    <a:blip r:embed="rId4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Other Expense</w:t>
      </w:r>
    </w:p>
    <w:tbl>
      <w:tblPr>
        <w:tblW w:w="10539" w:type="dxa"/>
        <w:jc w:val="left"/>
        <w:tblInd w:w="0" w:type="dxa"/>
        <w:tblCellMar>
          <w:top w:w="28" w:type="dxa"/>
          <w:left w:w="28" w:type="dxa"/>
          <w:bottom w:w="28" w:type="dxa"/>
          <w:right w:w="28" w:type="dxa"/>
        </w:tblCellMar>
      </w:tblPr>
      <w:tblGrid>
        <w:gridCol w:w="967"/>
        <w:gridCol w:w="849"/>
        <w:gridCol w:w="855"/>
        <w:gridCol w:w="109"/>
        <w:gridCol w:w="109"/>
        <w:gridCol w:w="109"/>
        <w:gridCol w:w="158"/>
        <w:gridCol w:w="158"/>
        <w:gridCol w:w="158"/>
        <w:gridCol w:w="158"/>
        <w:gridCol w:w="526"/>
        <w:gridCol w:w="158"/>
        <w:gridCol w:w="158"/>
        <w:gridCol w:w="158"/>
        <w:gridCol w:w="306"/>
        <w:gridCol w:w="1012"/>
        <w:gridCol w:w="158"/>
        <w:gridCol w:w="109"/>
        <w:gridCol w:w="109"/>
        <w:gridCol w:w="109"/>
        <w:gridCol w:w="211"/>
        <w:gridCol w:w="692"/>
        <w:gridCol w:w="109"/>
        <w:gridCol w:w="109"/>
        <w:gridCol w:w="109"/>
        <w:gridCol w:w="109"/>
        <w:gridCol w:w="109"/>
        <w:gridCol w:w="109"/>
        <w:gridCol w:w="211"/>
        <w:gridCol w:w="692"/>
        <w:gridCol w:w="109"/>
        <w:gridCol w:w="109"/>
        <w:gridCol w:w="109"/>
        <w:gridCol w:w="109"/>
        <w:gridCol w:w="241"/>
        <w:gridCol w:w="241"/>
        <w:gridCol w:w="242"/>
        <w:gridCol w:w="109"/>
        <w:gridCol w:w="109"/>
        <w:gridCol w:w="109"/>
        <w:gridCol w:w="159"/>
      </w:tblGrid>
      <w:tr>
        <w:trPr/>
        <w:tc>
          <w:tcPr>
            <w:tcW w:w="96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8"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6" w:type="dxa"/>
            <w:gridSpan w:val="16"/>
            <w:tcBorders/>
            <w:shd w:fill="auto" w:val="clear"/>
          </w:tcPr>
          <w:p>
            <w:pPr>
              <w:pStyle w:val="TableContents"/>
              <w:spacing w:before="0" w:after="283"/>
              <w:rPr>
                <w:sz w:val="4"/>
                <w:szCs w:val="4"/>
              </w:rPr>
            </w:pPr>
            <w:r>
              <w:rPr>
                <w:sz w:val="4"/>
                <w:szCs w:val="4"/>
              </w:rPr>
            </w:r>
          </w:p>
        </w:tc>
      </w:tr>
      <w:tr>
        <w:trPr/>
        <w:tc>
          <w:tcPr>
            <w:tcW w:w="26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4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486" w:type="dxa"/>
            <w:gridSpan w:val="4"/>
            <w:tcBorders/>
            <w:shd w:fill="auto" w:val="clea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on finance leases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(3,455)</w:t>
            </w:r>
          </w:p>
        </w:tc>
        <w:tc>
          <w:tcPr>
            <w:tcW w:w="158"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(1,736)</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101.0%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(4,431)</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475.5%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w:t>
            </w:r>
          </w:p>
        </w:tc>
        <w:tc>
          <w:tcPr>
            <w:tcW w:w="158"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(5,397)</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216.8%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(6,579)</w:t>
            </w:r>
          </w:p>
        </w:tc>
        <w:tc>
          <w:tcPr>
            <w:tcW w:w="15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(2,268)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9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(4,311)</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190.1%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6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474" w:type="dxa"/>
            <w:gridSpan w:val="3"/>
            <w:tcBorders/>
            <w:shd w:fill="auto" w:val="clear"/>
            <w:vAlign w:val="center"/>
          </w:tcPr>
          <w:p>
            <w:pPr>
              <w:pStyle w:val="TableContents"/>
              <w:spacing w:before="0" w:after="283"/>
              <w:rPr>
                <w:sz w:val="4"/>
                <w:szCs w:val="4"/>
              </w:rPr>
            </w:pPr>
            <w:r>
              <w:rPr>
                <w:sz w:val="4"/>
                <w:szCs w:val="4"/>
              </w:rPr>
            </w:r>
          </w:p>
        </w:tc>
        <w:tc>
          <w:tcPr>
            <w:tcW w:w="14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interest expense, net was primarily driven by increased borrowings and higher interest rates associated with our credit facility, and additional finance leases for new shop builds.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other income was primarily driven by the recognition of a remeasurement gain related to the TRAs liability.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Income Tax Expense (Benefit)</w:t>
      </w:r>
    </w:p>
    <w:tbl>
      <w:tblPr>
        <w:tblW w:w="10539" w:type="dxa"/>
        <w:jc w:val="left"/>
        <w:tblInd w:w="0" w:type="dxa"/>
        <w:tblCellMar>
          <w:top w:w="28" w:type="dxa"/>
          <w:left w:w="28" w:type="dxa"/>
          <w:bottom w:w="28" w:type="dxa"/>
          <w:right w:w="28" w:type="dxa"/>
        </w:tblCellMar>
      </w:tblPr>
      <w:tblGrid>
        <w:gridCol w:w="904"/>
        <w:gridCol w:w="794"/>
        <w:gridCol w:w="800"/>
        <w:gridCol w:w="109"/>
        <w:gridCol w:w="109"/>
        <w:gridCol w:w="109"/>
        <w:gridCol w:w="170"/>
        <w:gridCol w:w="170"/>
        <w:gridCol w:w="170"/>
        <w:gridCol w:w="170"/>
        <w:gridCol w:w="526"/>
        <w:gridCol w:w="170"/>
        <w:gridCol w:w="170"/>
        <w:gridCol w:w="170"/>
        <w:gridCol w:w="332"/>
        <w:gridCol w:w="1017"/>
        <w:gridCol w:w="170"/>
        <w:gridCol w:w="109"/>
        <w:gridCol w:w="109"/>
        <w:gridCol w:w="109"/>
        <w:gridCol w:w="211"/>
        <w:gridCol w:w="535"/>
        <w:gridCol w:w="109"/>
        <w:gridCol w:w="109"/>
        <w:gridCol w:w="109"/>
        <w:gridCol w:w="109"/>
        <w:gridCol w:w="109"/>
        <w:gridCol w:w="109"/>
        <w:gridCol w:w="211"/>
        <w:gridCol w:w="646"/>
        <w:gridCol w:w="109"/>
        <w:gridCol w:w="109"/>
        <w:gridCol w:w="109"/>
        <w:gridCol w:w="109"/>
        <w:gridCol w:w="321"/>
        <w:gridCol w:w="321"/>
        <w:gridCol w:w="323"/>
        <w:gridCol w:w="109"/>
        <w:gridCol w:w="109"/>
        <w:gridCol w:w="109"/>
        <w:gridCol w:w="167"/>
      </w:tblGrid>
      <w:tr>
        <w:trPr/>
        <w:tc>
          <w:tcPr>
            <w:tcW w:w="904"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EE2724"/>
              </w:rPr>
            </w:pPr>
            <w:r>
              <w:rPr>
                <w:color w:val="EE2724"/>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5"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9" w:type="dxa"/>
            <w:gridSpan w:val="16"/>
            <w:tcBorders/>
            <w:shd w:fill="auto" w:val="clear"/>
          </w:tcPr>
          <w:p>
            <w:pPr>
              <w:pStyle w:val="TableContents"/>
              <w:spacing w:before="0" w:after="283"/>
              <w:rPr>
                <w:sz w:val="4"/>
                <w:szCs w:val="4"/>
              </w:rPr>
            </w:pPr>
            <w:r>
              <w:rPr>
                <w:sz w:val="4"/>
                <w:szCs w:val="4"/>
              </w:rPr>
            </w:r>
          </w:p>
        </w:tc>
      </w:tr>
      <w:tr>
        <w:trPr/>
        <w:tc>
          <w:tcPr>
            <w:tcW w:w="2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2"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5" w:type="dxa"/>
            <w:gridSpan w:val="3"/>
            <w:tcBorders/>
            <w:shd w:fill="auto" w:val="clear"/>
            <w:vAlign w:val="center"/>
          </w:tcPr>
          <w:p>
            <w:pPr>
              <w:pStyle w:val="TableContents"/>
              <w:spacing w:before="0" w:after="283"/>
              <w:rPr>
                <w:sz w:val="4"/>
                <w:szCs w:val="4"/>
              </w:rPr>
            </w:pPr>
            <w:r>
              <w:rPr>
                <w:sz w:val="4"/>
                <w:szCs w:val="4"/>
              </w:rPr>
            </w:r>
          </w:p>
        </w:tc>
        <w:tc>
          <w:tcPr>
            <w:tcW w:w="494" w:type="dxa"/>
            <w:gridSpan w:val="4"/>
            <w:tcBorders/>
            <w:shd w:fill="auto" w:val="clear"/>
          </w:tcPr>
          <w:p>
            <w:pPr>
              <w:pStyle w:val="TableContents"/>
              <w:spacing w:before="0" w:after="283"/>
              <w:rPr>
                <w:sz w:val="4"/>
                <w:szCs w:val="4"/>
              </w:rPr>
            </w:pPr>
            <w:r>
              <w:rPr>
                <w:sz w:val="4"/>
                <w:szCs w:val="4"/>
              </w:rPr>
            </w:r>
          </w:p>
        </w:tc>
      </w:tr>
      <w:tr>
        <w:trPr/>
        <w:tc>
          <w:tcPr>
            <w:tcW w:w="249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10"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7"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2,580 </w:t>
            </w:r>
          </w:p>
        </w:tc>
        <w:tc>
          <w:tcPr>
            <w:tcW w:w="170"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535"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2,794 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(1305.6)%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(37.9)%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Three Months Ended March 31, 2023 v. 2022</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tax expense was primarily driven by state taxes and adjustments to the outside basis differences as a result of stock-based compensation vested in the quarter.</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Liquidity and Capital Resources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Overview</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$14.3 million and $20.2 million as of March 31, 2023 and December 31, 2022, respectively.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three months ended March 31, 2023, our principal sources of liquidity were cash flows from our revolving credit facility and operations. Our principal uses of liquidity for the three months ended March 31, 2023 were to fund our new shop builds and working capital needs.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Flows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539" w:type="dxa"/>
        <w:jc w:val="left"/>
        <w:tblInd w:w="0" w:type="dxa"/>
        <w:tblCellMar>
          <w:top w:w="28" w:type="dxa"/>
          <w:left w:w="28" w:type="dxa"/>
          <w:bottom w:w="28" w:type="dxa"/>
          <w:right w:w="28" w:type="dxa"/>
        </w:tblCellMar>
      </w:tblPr>
      <w:tblGrid>
        <w:gridCol w:w="1605"/>
        <w:gridCol w:w="1395"/>
        <w:gridCol w:w="1404"/>
        <w:gridCol w:w="109"/>
        <w:gridCol w:w="109"/>
        <w:gridCol w:w="109"/>
        <w:gridCol w:w="211"/>
        <w:gridCol w:w="751"/>
        <w:gridCol w:w="109"/>
        <w:gridCol w:w="109"/>
        <w:gridCol w:w="109"/>
        <w:gridCol w:w="109"/>
        <w:gridCol w:w="211"/>
        <w:gridCol w:w="751"/>
        <w:gridCol w:w="109"/>
        <w:gridCol w:w="109"/>
        <w:gridCol w:w="109"/>
        <w:gridCol w:w="109"/>
        <w:gridCol w:w="109"/>
        <w:gridCol w:w="109"/>
        <w:gridCol w:w="211"/>
        <w:gridCol w:w="804"/>
        <w:gridCol w:w="109"/>
        <w:gridCol w:w="109"/>
        <w:gridCol w:w="109"/>
        <w:gridCol w:w="109"/>
        <w:gridCol w:w="306"/>
        <w:gridCol w:w="300"/>
        <w:gridCol w:w="253"/>
        <w:gridCol w:w="109"/>
        <w:gridCol w:w="109"/>
        <w:gridCol w:w="109"/>
        <w:gridCol w:w="157"/>
      </w:tblGrid>
      <w:tr>
        <w:trPr/>
        <w:tc>
          <w:tcPr>
            <w:tcW w:w="1605"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38" w:type="dxa"/>
            <w:gridSpan w:val="17"/>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1670" w:type="dxa"/>
            <w:gridSpan w:val="10"/>
            <w:tcBorders/>
            <w:shd w:fill="auto" w:val="clear"/>
          </w:tcPr>
          <w:p>
            <w:pPr>
              <w:pStyle w:val="TableContents"/>
              <w:spacing w:before="0" w:after="283"/>
              <w:rPr>
                <w:sz w:val="4"/>
                <w:szCs w:val="4"/>
              </w:rPr>
            </w:pPr>
            <w:r>
              <w:rPr>
                <w:sz w:val="4"/>
                <w:szCs w:val="4"/>
              </w:rPr>
            </w:r>
          </w:p>
        </w:tc>
      </w:tr>
      <w:tr>
        <w:trPr/>
        <w:tc>
          <w:tcPr>
            <w:tcW w:w="44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 v.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gridSpan w:val="2"/>
            <w:tcBorders/>
            <w:shd w:fill="auto" w:val="clear"/>
          </w:tcPr>
          <w:p>
            <w:pPr>
              <w:pStyle w:val="TableContents"/>
              <w:spacing w:before="0" w:after="283"/>
              <w:rPr>
                <w:sz w:val="4"/>
                <w:szCs w:val="4"/>
              </w:rPr>
            </w:pPr>
            <w:r>
              <w:rPr>
                <w:sz w:val="4"/>
                <w:szCs w:val="4"/>
              </w:rPr>
            </w:r>
          </w:p>
        </w:tc>
      </w:tr>
      <w:tr>
        <w:trPr/>
        <w:tc>
          <w:tcPr>
            <w:tcW w:w="440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(used in) operating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3,077 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(756)</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4" w:type="dxa"/>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3,833 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(43,043)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(46,021)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financing activities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34,084 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55,025 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(20,941)</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(38.1)%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(171.3)%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18,506 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1,672 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9.0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4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(46.6)%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692265" cy="363220"/>
                <wp:effectExtent l="0" t="0" r="0" b="0"/>
                <wp:wrapNone/>
                <wp:docPr id="123" name="Frame4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5"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5" descr=""/>
                                    <pic:cNvPicPr>
                                      <a:picLocks noChangeAspect="1" noChangeArrowheads="1"/>
                                    </pic:cNvPicPr>
                                  </pic:nvPicPr>
                                  <pic:blipFill>
                                    <a:blip r:embed="rId4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operating activities cash flows was primarily driven by:</w:t>
      </w:r>
    </w:p>
    <w:p>
      <w:pPr>
        <w:pStyle w:val="TextBody"/>
        <w:spacing w:lineRule="auto" w:line="288" w:before="0" w:after="180"/>
        <w:ind w:left="0" w:right="0" w:hanging="360"/>
        <w:jc w:val="both"/>
        <w:rPr/>
      </w:pPr>
      <w:r>
        <w:rPr>
          <w:rFonts w:ascii="Arial;sans-serif" w:hAnsi="Arial;sans-serif"/>
          <w:b/>
          <w:color w:val="006098"/>
          <w:sz w:val="24"/>
        </w:rPr>
        <w:t>+</w:t>
      </w:r>
      <w:r>
        <w:rPr>
          <w:color w:val="D7282F"/>
        </w:rPr>
        <w:t>    </w:t>
      </w:r>
      <w:r>
        <w:rPr>
          <w:rFonts w:ascii="Arial;sans-serif" w:hAnsi="Arial;sans-serif"/>
          <w:b w:val="false"/>
          <w:color w:val="131E29"/>
          <w:sz w:val="20"/>
        </w:rPr>
        <w:t xml:space="preserve">Efficiencies with new shop openings.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investing activities cash outflows was primarily driven by:</w:t>
      </w:r>
    </w:p>
    <w:p>
      <w:pPr>
        <w:pStyle w:val="TextBody"/>
        <w:spacing w:lineRule="auto" w:line="288" w:before="0" w:after="180"/>
        <w:ind w:left="0" w:right="0" w:hanging="360"/>
        <w:jc w:val="both"/>
        <w:rPr/>
      </w:pPr>
      <w:r>
        <w:rPr>
          <w:rFonts w:ascii="Arial;sans-serif" w:hAnsi="Arial;sans-serif"/>
          <w:b/>
          <w:color w:val="D7282F"/>
          <w:sz w:val="24"/>
        </w:rPr>
        <w:t>-    </w:t>
      </w:r>
      <w:r>
        <w:rPr>
          <w:rFonts w:ascii="Arial;sans-serif" w:hAnsi="Arial;sans-serif"/>
          <w:b w:val="false"/>
          <w:color w:val="000000"/>
          <w:sz w:val="20"/>
        </w:rPr>
        <w:t>Shop acquisitions in the prior year compared to n</w:t>
      </w:r>
      <w:r>
        <w:rPr>
          <w:rFonts w:ascii="Arial;sans-serif" w:hAnsi="Arial;sans-serif"/>
          <w:b w:val="false"/>
          <w:color w:val="242424"/>
          <w:sz w:val="20"/>
        </w:rPr>
        <w:t>o acquisitions in the current quarter.</w:t>
      </w:r>
    </w:p>
    <w:p>
      <w:pPr>
        <w:pStyle w:val="TextBody"/>
        <w:spacing w:lineRule="auto" w:line="288" w:before="0" w:after="180"/>
        <w:ind w:left="0" w:right="0" w:hanging="360"/>
        <w:jc w:val="both"/>
        <w:rPr/>
      </w:pPr>
      <w:r>
        <w:rPr>
          <w:rFonts w:ascii="Arial;sans-serif" w:hAnsi="Arial;sans-serif"/>
          <w:b/>
          <w:color w:val="006098"/>
          <w:sz w:val="24"/>
        </w:rPr>
        <w:t>+    </w:t>
      </w:r>
      <w:r>
        <w:rPr>
          <w:rFonts w:ascii="Arial;sans-serif" w:hAnsi="Arial;sans-serif"/>
          <w:b w:val="false"/>
          <w:color w:val="000000"/>
          <w:sz w:val="20"/>
        </w:rPr>
        <w:t>Investment in capital expenditures as a result of new company-operated shop openings.</w:t>
      </w:r>
      <w:r>
        <w:rPr>
          <w:color w:val="242424"/>
        </w:rPr>
        <w:t xml:space="preserv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financing activities cash flows was primarily driven by: </w:t>
      </w:r>
    </w:p>
    <w:p>
      <w:pPr>
        <w:pStyle w:val="TextBody"/>
        <w:spacing w:lineRule="auto" w:line="288" w:before="0" w:after="180"/>
        <w:ind w:left="0" w:right="0" w:hanging="360"/>
        <w:rPr/>
      </w:pPr>
      <w:r>
        <w:rPr>
          <w:rFonts w:ascii="Arial;sans-serif" w:hAnsi="Arial;sans-serif"/>
          <w:b/>
          <w:color w:val="D7282F"/>
          <w:sz w:val="24"/>
        </w:rPr>
        <w:t>-    </w:t>
      </w:r>
      <w:r>
        <w:rPr>
          <w:rFonts w:ascii="Arial;sans-serif" w:hAnsi="Arial;sans-serif"/>
          <w:b w:val="false"/>
          <w:color w:val="242424"/>
          <w:sz w:val="20"/>
        </w:rPr>
        <w:t>N</w:t>
      </w:r>
      <w:r>
        <w:rPr>
          <w:rFonts w:ascii="Arial;sans-serif" w:hAnsi="Arial;sans-serif"/>
          <w:b w:val="false"/>
          <w:color w:val="000000"/>
          <w:sz w:val="20"/>
        </w:rPr>
        <w:t>et proceeds from our credit facilities.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Cash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cash and cash equivalents, and proceeds from our 2022 Credit Facility are adequate to fund our debt service requirements, lease obligations, and working capital obligations for at least the next 12 months.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future capital requirements may vary materially from period to period and will depend on many factors, primarily our expansion and growth by opening additional company-operated shops and/or reacquiring existing franchised shops. We currently expect to fund our material capital requirements in the long term with additional proceeds from our 2022 Credit Facility, but we may also seek additional debt or equity financing.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As of March 31, 2023, cash requirements for the following items have materially changed from our Annual Report on Form 10-K for the year ended December 31, 2022:</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Operating lease liabilities</w:t>
      </w:r>
      <w:r>
        <w:rPr>
          <w:color w:val="131E29"/>
        </w:rPr>
        <w:t xml:space="preserve"> — </w:t>
      </w:r>
      <w:r>
        <w:rPr>
          <w:rFonts w:ascii="Arial;sans-serif" w:hAnsi="Arial;sans-serif"/>
          <w:b w:val="false"/>
          <w:color w:val="131E29"/>
          <w:sz w:val="20"/>
        </w:rPr>
        <w:t>increased approximately $9 million from newly commenced leases.</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Finance lease liabilities</w:t>
      </w:r>
      <w:r>
        <w:rPr>
          <w:color w:val="131E29"/>
        </w:rPr>
        <w:t xml:space="preserve"> — </w:t>
      </w:r>
      <w:r>
        <w:rPr>
          <w:rFonts w:ascii="Arial;sans-serif" w:hAnsi="Arial;sans-serif"/>
          <w:b w:val="false"/>
          <w:color w:val="131E29"/>
          <w:sz w:val="20"/>
        </w:rPr>
        <w:t>increased approximately $63 million from newly commenced leases.</w:t>
      </w:r>
    </w:p>
    <w:p>
      <w:pPr>
        <w:pStyle w:val="TextBody"/>
        <w:spacing w:lineRule="auto" w:line="288" w:before="0" w:after="180"/>
        <w:ind w:left="0" w:right="0" w:hanging="360"/>
        <w:jc w:val="both"/>
        <w:rPr/>
      </w:pPr>
      <w:r>
        <w:rPr>
          <w:color w:val="131E29"/>
        </w:rPr>
        <w:t>•</w:t>
      </w:r>
      <w:r>
        <w:rPr>
          <w:rFonts w:ascii="Arial;sans-serif" w:hAnsi="Arial;sans-serif"/>
          <w:b w:val="false"/>
          <w:color w:val="006098"/>
          <w:sz w:val="20"/>
        </w:rPr>
        <w:t>Debt obligations</w:t>
      </w:r>
      <w:r>
        <w:rPr>
          <w:color w:val="131E29"/>
        </w:rPr>
        <w:t xml:space="preserve"> — </w:t>
      </w:r>
      <w:r>
        <w:rPr>
          <w:rFonts w:ascii="Arial;sans-serif" w:hAnsi="Arial;sans-serif"/>
          <w:b w:val="false"/>
          <w:color w:val="131E29"/>
          <w:sz w:val="20"/>
        </w:rPr>
        <w:t>increased approximately $39 million on a net basis primarily due to borrowings on our 2022 Credit Facility.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Credit Facility</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JP Morgan Credit Facility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28, 2022 (the Effective Date), we amended our Senior Secured Credit Facility with JPMorgan Chase, N.A. The 2022 Credit Facility has a total capacity of $500 million, consisting of a $250 million revolving credit facility, a term loan facility of up to $100 million, and a delayed draw term loan facility of up to $150 million. The revolving credit facility includes sub-limits for issuance of letters of credit and swing line loans of up to $50 million and $15 million, respectively. It also contains an option allowing Dutch Bros PubCo to increase the size of the 2022 Credit Facility by up to an additional $150 million, with the agreement of the committing lenders. The 2022 Credit Facility expires five years after the Effective Date.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Upon entering into the 2022 Credit Facility, we drew a $100 million term loan and approximately $28 million in revolving loans, and the existing credit facility was repaid and terminated.</w:t>
      </w:r>
    </w:p>
    <w:p>
      <w:pPr>
        <w:pStyle w:val="HorizontalLine"/>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692265" cy="363220"/>
                <wp:effectExtent l="0" t="0" r="0" b="0"/>
                <wp:wrapNone/>
                <wp:docPr id="126" name="Frame4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2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6"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2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6" descr=""/>
                                    <pic:cNvPicPr>
                                      <a:picLocks noChangeAspect="1" noChangeArrowheads="1"/>
                                    </pic:cNvPicPr>
                                  </pic:nvPicPr>
                                  <pic:blipFill>
                                    <a:blip r:embed="rId4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2022 Credit Facility is based on (a) the Alternate Base Rate plus an applicable margin, or (b) the Adjusted Term SOFR Rate plus an applicable margin, and is payable in accordance with the selected interest rate period (at least quarterly) and upon maturity. Principal payments for the term loans are required on a quarterly basis in accordance with an amortization schedule and upon certain disposition of assets.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2022 Credit Facility are guaranteed by Dutch Bros OpCo and its subsidiaries, and secured by a first priority perfected security interest in substantially all of the assets of the guarantors.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April 1, 2022, Dutch Bros PubCo entered into an interest rate swap transaction with JPMorgan Chase Bank, N.A. with respect to $70 million of the term loan under the 2022 Credit Facility. The purpose of the floating-to-fixed interest rate swap was to fix the interest base rate charged on the term loan at 2.67% for the $70 million notional amount. The interest rate swap matures on February 28, 2027.</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Seasonality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company-operated shop gross profit margins. We typically experience higher nominal system sales in the summer months, which impacts revenue and company-operated shop gross profit margins in our second and third quarters of our fiscal year.</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Critical Accounting Estimates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condensed consolidated financial statements. While we believe that our estimates, assumptions, and judgments are reasonable, they are based on information available when the estimate was made.</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There have been no material changes to our critical accounting estimates from those disclosed in Part II, Item 7 of our Annual Report on Form 10-K for the year ended December 31, 2022, as filed with the SEC on February 27,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Non-GAAP Financial Measures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692265" cy="363220"/>
                <wp:effectExtent l="0" t="0" r="0" b="0"/>
                <wp:wrapNone/>
                <wp:docPr id="129" name="Frame4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7"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7"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Company-operated shop contribution (in dollars and as a percentage of revenue)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Company-operated segment gross profit, before company-operated shop depreciation and amortization. Company-operated shop contribution in dollars (as defined), taken as a percentage of company-operated shop revenue.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EBITDA, Adjusted EBITDA (in dollars and as a percentage of revenue)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(loss) before interest expense (net of interest income), income taxes expense (benefit), and depreciation and amortization expense.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(as defined above), excluding equity-based compensation, COVID-19: “Thank You” pay and catastrophic leave expenses, COVID-19: prepaid costs not utilized, costs incurred for company-wide milestone events, executives transitions costs, and (gain) loss on the remeasurement of the liability related to the TRAs. Adjusted EBITDA in dollars (as defined), taken as a percentage of total revenue.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Adjusted selling, general, and administrative (in dollars and as a percentage of revenue)</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excluding equity-based compensation expense, COVID-19: prepaid costs not utilized, costs incurred for company-wide milestone events, and executive transitions costs.</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Non-GAAP adjustments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restricted stock awards and restricted stock units in Dutch Bros PubCo and/or Profit Interest Units in Dutch Bros OpCo to certain eligible employees.</w:t>
      </w:r>
    </w:p>
    <w:p>
      <w:pPr>
        <w:pStyle w:val="HorizontalLine"/>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92265" cy="363220"/>
                <wp:effectExtent l="0" t="0" r="0" b="0"/>
                <wp:wrapNone/>
                <wp:docPr id="132" name="Frame4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8"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8"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COVID-19: “Thank You” pay and catastrophic leave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related to two separate programs established to support employees during the COVID-19 pandemic. We implemented an hourly wage supplement program for shop employees who continued to work while their state or county was under a stay at home order or similar lockdown requirement. This program lasted in various markets until April 2021. We also established a catastrophic leave policy that provided paid leave to employees who were required to quarantine due to in-shop exposures and could not work their regular hours. All COVID-19-related protocols, including catastrophic leave, will remain in effect until the end of the COVID-19 pandemic as determined by the appropriate government agency.</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COVID-19: Prepaid costs not utilized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Milestone events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for company-wide events to celebrate 30 years of serving high QUALITY, hand-crafted beverages with unparalleled SPEED and superior SERVICE to our customers.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Executives transition costs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Employee severance and related benefit costs, as well as sign-on bonus(es) for several executive-level transitions occurring in 2022 and 2023. </w:t>
      </w:r>
    </w:p>
    <w:p>
      <w:pPr>
        <w:pStyle w:val="TextBody"/>
        <w:spacing w:lineRule="auto" w:line="288" w:before="0" w:after="0"/>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on condensed consolidated statements of operations related to adjustments of our TRAs liabilities.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Following are the reconciliations of the most comparable GAAP metric to non-GAAP metrics presented: </w:t>
      </w:r>
    </w:p>
    <w:tbl>
      <w:tblPr>
        <w:tblW w:w="10539" w:type="dxa"/>
        <w:jc w:val="left"/>
        <w:tblInd w:w="0" w:type="dxa"/>
        <w:tblCellMar>
          <w:top w:w="28" w:type="dxa"/>
          <w:left w:w="28" w:type="dxa"/>
          <w:bottom w:w="28" w:type="dxa"/>
          <w:right w:w="28" w:type="dxa"/>
        </w:tblCellMar>
      </w:tblPr>
      <w:tblGrid>
        <w:gridCol w:w="1270"/>
        <w:gridCol w:w="1116"/>
        <w:gridCol w:w="1115"/>
        <w:gridCol w:w="109"/>
        <w:gridCol w:w="109"/>
        <w:gridCol w:w="109"/>
        <w:gridCol w:w="257"/>
        <w:gridCol w:w="257"/>
        <w:gridCol w:w="272"/>
        <w:gridCol w:w="260"/>
        <w:gridCol w:w="257"/>
        <w:gridCol w:w="257"/>
        <w:gridCol w:w="257"/>
        <w:gridCol w:w="257"/>
        <w:gridCol w:w="375"/>
        <w:gridCol w:w="376"/>
        <w:gridCol w:w="257"/>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61"/>
      </w:tblGrid>
      <w:tr>
        <w:trPr/>
        <w:tc>
          <w:tcPr>
            <w:tcW w:w="127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2"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1465" w:type="dxa"/>
            <w:gridSpan w:val="10"/>
            <w:tcBorders/>
            <w:shd w:fill="auto" w:val="clear"/>
          </w:tcPr>
          <w:p>
            <w:pPr>
              <w:pStyle w:val="TableContents"/>
              <w:spacing w:before="0" w:after="283"/>
              <w:rPr>
                <w:sz w:val="4"/>
                <w:szCs w:val="4"/>
              </w:rPr>
            </w:pPr>
            <w:r>
              <w:rPr>
                <w:sz w:val="4"/>
                <w:szCs w:val="4"/>
              </w:rPr>
            </w:r>
          </w:p>
        </w:tc>
      </w:tr>
      <w:tr>
        <w:trPr/>
        <w:tc>
          <w:tcPr>
            <w:tcW w:w="35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31E29"/>
              </w:rPr>
            </w:pPr>
            <w:r>
              <w:rPr>
                <w:color w:val="131E29"/>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8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1465" w:type="dxa"/>
            <w:gridSpan w:val="10"/>
            <w:tcBorders/>
            <w:shd w:fill="auto" w:val="clear"/>
          </w:tcPr>
          <w:p>
            <w:pPr>
              <w:pStyle w:val="TableContents"/>
              <w:spacing w:before="0" w:after="283"/>
              <w:rPr>
                <w:sz w:val="4"/>
                <w:szCs w:val="4"/>
              </w:rPr>
            </w:pPr>
            <w:r>
              <w:rPr>
                <w:sz w:val="4"/>
                <w:szCs w:val="4"/>
              </w:rPr>
            </w:r>
          </w:p>
        </w:tc>
      </w:tr>
      <w:tr>
        <w:trPr/>
        <w:tc>
          <w:tcPr>
            <w:tcW w:w="350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0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gross profit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28,872 </w:t>
            </w:r>
          </w:p>
        </w:tc>
        <w:tc>
          <w:tcPr>
            <w:tcW w:w="25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16,639 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0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13,001 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501"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 xml:space="preserve">Company-operated shop contribution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77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41,873 </w:t>
            </w:r>
          </w:p>
        </w:tc>
        <w:tc>
          <w:tcPr>
            <w:tcW w:w="2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23,779 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692265" cy="363220"/>
                <wp:effectExtent l="0" t="0" r="0" b="0"/>
                <wp:wrapNone/>
                <wp:docPr id="135" name="Frame4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9"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3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9"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tbl>
      <w:tblPr>
        <w:tblW w:w="10539" w:type="dxa"/>
        <w:jc w:val="left"/>
        <w:tblInd w:w="0" w:type="dxa"/>
        <w:tblCellMar>
          <w:top w:w="28" w:type="dxa"/>
          <w:left w:w="28" w:type="dxa"/>
          <w:bottom w:w="28" w:type="dxa"/>
          <w:right w:w="28" w:type="dxa"/>
        </w:tblCellMar>
      </w:tblPr>
      <w:tblGrid>
        <w:gridCol w:w="1415"/>
        <w:gridCol w:w="1114"/>
        <w:gridCol w:w="1121"/>
        <w:gridCol w:w="109"/>
        <w:gridCol w:w="109"/>
        <w:gridCol w:w="109"/>
        <w:gridCol w:w="227"/>
        <w:gridCol w:w="227"/>
        <w:gridCol w:w="272"/>
        <w:gridCol w:w="237"/>
        <w:gridCol w:w="227"/>
        <w:gridCol w:w="227"/>
        <w:gridCol w:w="227"/>
        <w:gridCol w:w="227"/>
        <w:gridCol w:w="375"/>
        <w:gridCol w:w="376"/>
        <w:gridCol w:w="227"/>
        <w:gridCol w:w="109"/>
        <w:gridCol w:w="109"/>
        <w:gridCol w:w="109"/>
        <w:gridCol w:w="270"/>
        <w:gridCol w:w="271"/>
        <w:gridCol w:w="109"/>
        <w:gridCol w:w="109"/>
        <w:gridCol w:w="109"/>
        <w:gridCol w:w="109"/>
        <w:gridCol w:w="396"/>
        <w:gridCol w:w="397"/>
        <w:gridCol w:w="109"/>
        <w:gridCol w:w="109"/>
        <w:gridCol w:w="109"/>
        <w:gridCol w:w="109"/>
        <w:gridCol w:w="291"/>
        <w:gridCol w:w="292"/>
        <w:gridCol w:w="109"/>
        <w:gridCol w:w="109"/>
        <w:gridCol w:w="109"/>
        <w:gridCol w:w="109"/>
        <w:gridCol w:w="161"/>
      </w:tblGrid>
      <w:tr>
        <w:trPr/>
        <w:tc>
          <w:tcPr>
            <w:tcW w:w="1415"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1507" w:type="dxa"/>
            <w:gridSpan w:val="10"/>
            <w:tcBorders/>
            <w:shd w:fill="auto" w:val="clear"/>
          </w:tcPr>
          <w:p>
            <w:pPr>
              <w:pStyle w:val="TableContents"/>
              <w:spacing w:before="0" w:after="283"/>
              <w:rPr>
                <w:sz w:val="4"/>
                <w:szCs w:val="4"/>
              </w:rPr>
            </w:pPr>
            <w:r>
              <w:rPr>
                <w:sz w:val="4"/>
                <w:szCs w:val="4"/>
              </w:rPr>
            </w:r>
          </w:p>
        </w:tc>
      </w:tr>
      <w:tr>
        <w:trPr/>
        <w:tc>
          <w:tcPr>
            <w:tcW w:w="3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131E29"/>
              </w:rPr>
            </w:pPr>
            <w:r>
              <w:rPr>
                <w:color w:val="131E29"/>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6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1507" w:type="dxa"/>
            <w:gridSpan w:val="10"/>
            <w:tcBorders/>
            <w:shd w:fill="auto" w:val="clear"/>
          </w:tcPr>
          <w:p>
            <w:pPr>
              <w:pStyle w:val="TableContents"/>
              <w:spacing w:before="0" w:after="283"/>
              <w:rPr>
                <w:sz w:val="4"/>
                <w:szCs w:val="4"/>
              </w:rPr>
            </w:pPr>
            <w:r>
              <w:rPr>
                <w:sz w:val="4"/>
                <w:szCs w:val="4"/>
              </w:rPr>
            </w:r>
          </w:p>
        </w:tc>
      </w:tr>
      <w:tr>
        <w:trPr/>
        <w:tc>
          <w:tcPr>
            <w:tcW w:w="365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(9,391)</w:t>
            </w:r>
          </w:p>
        </w:tc>
        <w:tc>
          <w:tcPr>
            <w:tcW w:w="227"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(16,279)</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14,779 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7,886 </w:t>
            </w:r>
          </w:p>
        </w:tc>
        <w:tc>
          <w:tcPr>
            <w:tcW w:w="2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2,489 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 (benefit)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2,580 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15,854 </w:t>
            </w:r>
          </w:p>
        </w:tc>
        <w:tc>
          <w:tcPr>
            <w:tcW w:w="227"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8.0 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(4,822)</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top w:val="single" w:sz="8" w:space="0" w:color="131E29"/>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9,170 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top w:val="single" w:sz="8" w:space="0" w:color="131E29"/>
            </w:tcBorders>
            <w:shd w:fill="FFFFFF"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Thank You pay and catastrophic leave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950 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0.7 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prepaid costs not utilized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Milestone events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2,434 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Executives transition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auto" w:val="clear"/>
            <w:vAlign w:val="center"/>
          </w:tcPr>
          <w:p>
            <w:pPr>
              <w:pStyle w:val="TableContents"/>
              <w:spacing w:before="0" w:after="283"/>
              <w:rPr>
                <w:sz w:val="4"/>
                <w:szCs w:val="4"/>
              </w:rPr>
            </w:pPr>
            <w:r>
              <w:rPr>
                <w:sz w:val="4"/>
                <w:szCs w:val="4"/>
              </w:rPr>
            </w:r>
          </w:p>
        </w:tc>
        <w:tc>
          <w:tcPr>
            <w:tcW w:w="9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(1,294)</w:t>
            </w:r>
          </w:p>
        </w:tc>
        <w:tc>
          <w:tcPr>
            <w:tcW w:w="227"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(0.6)</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65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23,880 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131E29"/>
              <w:bottom w:val="doub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12.1 </w:t>
            </w:r>
          </w:p>
        </w:tc>
        <w:tc>
          <w:tcPr>
            <w:tcW w:w="109" w:type="dxa"/>
            <w:tcBorders>
              <w:top w:val="single" w:sz="8" w:space="0" w:color="131E29"/>
              <w:bottom w:val="doub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3" w:type="dxa"/>
            <w:gridSpan w:val="2"/>
            <w:tcBorders>
              <w:top w:val="single" w:sz="8" w:space="0" w:color="131E29"/>
              <w:bottom w:val="double" w:sz="8" w:space="0" w:color="131E29"/>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6.4 </w:t>
            </w:r>
          </w:p>
        </w:tc>
        <w:tc>
          <w:tcPr>
            <w:tcW w:w="109" w:type="dxa"/>
            <w:tcBorders>
              <w:top w:val="single" w:sz="8" w:space="0" w:color="131E29"/>
              <w:bottom w:val="double" w:sz="8" w:space="0" w:color="131E29"/>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1368"/>
        <w:gridCol w:w="1160"/>
        <w:gridCol w:w="1138"/>
        <w:gridCol w:w="109"/>
        <w:gridCol w:w="109"/>
        <w:gridCol w:w="109"/>
        <w:gridCol w:w="236"/>
        <w:gridCol w:w="236"/>
        <w:gridCol w:w="272"/>
        <w:gridCol w:w="244"/>
        <w:gridCol w:w="236"/>
        <w:gridCol w:w="236"/>
        <w:gridCol w:w="236"/>
        <w:gridCol w:w="236"/>
        <w:gridCol w:w="375"/>
        <w:gridCol w:w="376"/>
        <w:gridCol w:w="236"/>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159"/>
      </w:tblGrid>
      <w:tr>
        <w:trPr/>
        <w:tc>
          <w:tcPr>
            <w:tcW w:w="1368"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9" w:type="dxa"/>
            <w:gridSpan w:val="11"/>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Three Months Ended March 31,</w:t>
            </w:r>
          </w:p>
        </w:tc>
        <w:tc>
          <w:tcPr>
            <w:tcW w:w="3627" w:type="dxa"/>
            <w:gridSpan w:val="22"/>
            <w:tcBorders/>
            <w:shd w:fill="auto" w:val="clear"/>
          </w:tcPr>
          <w:p>
            <w:pPr>
              <w:pStyle w:val="TableContents"/>
              <w:spacing w:before="0" w:after="283"/>
              <w:rPr>
                <w:sz w:val="4"/>
                <w:szCs w:val="4"/>
              </w:rPr>
            </w:pPr>
            <w:r>
              <w:rPr>
                <w:sz w:val="4"/>
                <w:szCs w:val="4"/>
              </w:rPr>
            </w:r>
          </w:p>
        </w:tc>
      </w:tr>
      <w:tr>
        <w:trPr/>
        <w:tc>
          <w:tcPr>
            <w:tcW w:w="36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7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1463" w:type="dxa"/>
            <w:gridSpan w:val="10"/>
            <w:tcBorders/>
            <w:shd w:fill="auto" w:val="clear"/>
          </w:tcPr>
          <w:p>
            <w:pPr>
              <w:pStyle w:val="TableContents"/>
              <w:spacing w:before="0" w:after="283"/>
              <w:rPr>
                <w:sz w:val="4"/>
                <w:szCs w:val="4"/>
              </w:rPr>
            </w:pPr>
            <w:r>
              <w:rPr>
                <w:sz w:val="4"/>
                <w:szCs w:val="4"/>
              </w:rPr>
            </w:r>
          </w:p>
        </w:tc>
      </w:tr>
      <w:tr>
        <w:trPr/>
        <w:tc>
          <w:tcPr>
            <w:tcW w:w="36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180"/>
              <w:jc w:val="left"/>
              <w:rPr/>
            </w:pPr>
            <w:r>
              <w:rPr>
                <w:rFonts w:ascii="Arial;sans-serif" w:hAnsi="Arial;sans-serif"/>
                <w:b/>
                <w:color w:val="131E29"/>
                <w:sz w:val="20"/>
              </w:rPr>
              <w:t xml:space="preserve">Selling, general, and administrative </w:t>
            </w:r>
            <w:r>
              <w:rPr>
                <w:rFonts w:ascii="Arial;sans-serif" w:hAnsi="Arial;sans-serif"/>
                <w:b/>
                <w:color w:val="131E29"/>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45,976 </w:t>
            </w:r>
          </w:p>
        </w:tc>
        <w:tc>
          <w:tcPr>
            <w:tcW w:w="236"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45,214 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(9,170)</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COVID-19: prepaid costs not utilized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(1,200)</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auto" w:val="clear"/>
            <w:vAlign w:val="center"/>
          </w:tcPr>
          <w:p>
            <w:pPr>
              <w:pStyle w:val="TableContents"/>
              <w:spacing w:before="0" w:after="283"/>
              <w:rPr>
                <w:sz w:val="4"/>
                <w:szCs w:val="4"/>
              </w:rPr>
            </w:pPr>
            <w:r>
              <w:rPr>
                <w:sz w:val="4"/>
                <w:szCs w:val="4"/>
              </w:rPr>
            </w:r>
          </w:p>
        </w:tc>
        <w:tc>
          <w:tcPr>
            <w:tcW w:w="9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Milestone events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Executives transition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w:t>
            </w:r>
          </w:p>
        </w:tc>
        <w:tc>
          <w:tcPr>
            <w:tcW w:w="236"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36,656 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Arial;sans-serif" w:hAnsi="Arial;sans-serif"/>
          <w:b w:val="false"/>
          <w:color w:val="131E29"/>
          <w:sz w:val="20"/>
        </w:rPr>
        <w:t>_________________</w:t>
      </w:r>
      <w:r>
        <w:rPr>
          <w:color w:val="000000"/>
        </w:rPr>
        <w:t xml:space="preserve"> </w:t>
      </w:r>
    </w:p>
    <w:p>
      <w:pPr>
        <w:pStyle w:val="TextBody"/>
        <w:spacing w:lineRule="auto" w:line="288" w:before="0" w:after="30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Selling, general, and administrative expenses include depreciation and amortization.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3. QUANTITATIVE AND QUALITATIVE DISCLOSURES ABOUT MARKET RISK</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Commodity Risks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adjusting our Dutch Rewards loyalty program, and making operational adjustments that increase productivity. However, sustained inflation of or substantial increases in costs and expenses, including dairy, coffee, fuel, and packaging commodities pricing, as we experienced during the three months ended March 31, 2023,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HorizontalLine"/>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692265" cy="363220"/>
                <wp:effectExtent l="0" t="0" r="0" b="0"/>
                <wp:wrapNone/>
                <wp:docPr id="138" name="Frame4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3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0"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0"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Labor Costs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We have experienced minimum wage increases, which increases directly affect our labor costs, and other upward pressure on wage rates in several states. In the future, we may or may not be able to offset these cost increases with operational efficiencies, menu price increases, or other adjustments. As of March 31, 2023, we employed approximately 14,000 hourly workers in our company-operated shops.</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Interest Rate Risk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March 31, 2023, $97.5 million and $152.7 million were outstanding on our term loan and revolving loans, respectively. A hypothetical increase of interest rates up to 1% on our outstanding term and revolving loans as of March 31, 2023 would result in an increase in our annual interest expense of approximately $2.5 million, excluding any potential impacts of interest rate swaps. </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Impact of Inflation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supplies,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of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692265" cy="363220"/>
                <wp:effectExtent l="0" t="0" r="0" b="0"/>
                <wp:wrapNone/>
                <wp:docPr id="141" name="Frame4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1"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1"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D7282F"/>
          <w:sz w:val="28"/>
        </w:rPr>
      </w:pPr>
      <w:r>
        <w:rPr>
          <w:rFonts w:ascii="Arial;sans-serif" w:hAnsi="Arial;sans-serif"/>
          <w:b/>
          <w:color w:val="D7282F"/>
          <w:sz w:val="28"/>
        </w:rPr>
        <w:t xml:space="preserve">ITEM 4. CONTROLS AND PROCEDURES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Evaluation of Disclosure Controls and Procedures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the end of the period covered by this Form 10-Q, our Chief Executive Officer (principal executive officer) and Chief Financial Officer (principal financial officer), have conducted an evaluation of the effectiveness of the design and operation of our disclosure controls and procedures (as defined in Rules 13a-15(e) and 15d-15(e) under the Securities Exchange Act of 1934, as amended (the Exchange Act)). Our certifying officers concluded that, as a result of the material weaknesses in internal control over financial reporting as described below, our disclosure controls and procedures were not effective at the reasonable assurance level as of March 31, 2023. 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and principal financial officer, or persons performing similar functions, as appropriate to allow timely decisions regarding required disclosure. Our management, including our Chief Executive Officer and Chief Financial Officer, does not expect that our disclosure controls and procedures or our internal control over financial reporting will prevent all errors and all fraud due to inherent limitations of internal controls.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previously identified and disclosed in Part II, Item 9A of our Annual Report on Form 10-K for the year ended December 31, 2022, material weaknesses in our internal control over financial reporting related to: (1) IT system change management issues, including lack of approvals for system configurations within IT environments; and (2) our Dutch Rewards breakage estimates, including the completeness and accuracy of the accounting for breakage.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Notwithstanding the previously identified material weaknesses, management believes the condensed consolidated financial statements included in this Quarterly Report on Form 10-Q fairly present, in all material respects, our financial condition, results of operations and cash flows as of and for the periods presented in accordance with GAAP.</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Remediation Efforts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remedial actions have been taken as of March 31, 2023:</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Purchased and implemented a software tool designed to facilitate the logging of system changes.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Commenced review of the organizational structure supporting systems administration. Recommendations arising from this review will help ensure that we have the necessary expertise and experience to oversee system change management protocols and controls.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Launched a review of system change control design with the assistance of third party consultants. Recommendations arising from this review will help ensure that all system changes to configurations within the IT environments are logged and approved.</w:t>
      </w:r>
    </w:p>
    <w:p>
      <w:pPr>
        <w:pStyle w:val="HorizontalLine"/>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692265" cy="363220"/>
                <wp:effectExtent l="0" t="0" r="0" b="0"/>
                <wp:wrapNone/>
                <wp:docPr id="144" name="Frame4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2"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2"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Designed and implemented reconciliation and review controls to ensure that the accounting for breakage is complete and accurate.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significant progress has been made to enhance our internal control over financial reporting, we are still in the process of implementing and testing these remediated processes, procedures and controls. Additional time is required to complete our assessment. We believe the above actions will be effective in remediating the material weaknesses described above. However, the material weaknesses cannot be considered remediated until controls operate for a sufficient period of time and management has concluded, through testing, that these controls are operating effectively. As such, we were unable to conclude that the material weaknesses have been remediated as of March 31, 2023, and therefore have concluded that our disclosure controls and procedures were not effective as of March 31, 2023.</w:t>
      </w:r>
    </w:p>
    <w:p>
      <w:pPr>
        <w:pStyle w:val="TextBody"/>
        <w:spacing w:lineRule="auto" w:line="288" w:before="0" w:after="180"/>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than as disclosed, there have been no changes during the three months ended March 31, 2023 that have materially affected, or are reasonably likely to materially affect,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363220"/>
                <wp:effectExtent l="0" t="0" r="0" b="0"/>
                <wp:wrapNone/>
                <wp:docPr id="147" name="Frame4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4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3"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4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3"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60"/>
        <w:jc w:val="center"/>
        <w:rPr>
          <w:rFonts w:ascii="Arial;sans-serif" w:hAnsi="Arial;sans-serif"/>
          <w:b/>
          <w:color w:val="006098"/>
          <w:sz w:val="32"/>
        </w:rPr>
      </w:pPr>
      <w:r>
        <w:rPr>
          <w:rFonts w:ascii="Arial;sans-serif" w:hAnsi="Arial;sans-serif"/>
          <w:b/>
          <w:color w:val="006098"/>
          <w:sz w:val="32"/>
        </w:rPr>
        <w:t>PART II. OTHER INFORMATION</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 LEGAL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pStyle w:val="TextBody"/>
        <w:spacing w:lineRule="auto" w:line="288" w:before="0" w:after="60"/>
        <w:rPr>
          <w:rFonts w:ascii="Arial;sans-serif" w:hAnsi="Arial;sans-serif"/>
          <w:b w:val="false"/>
          <w:color w:val="006098"/>
          <w:sz w:val="20"/>
          <w:u w:val="single"/>
        </w:rPr>
      </w:pPr>
      <w:r>
        <w:rPr>
          <w:rFonts w:ascii="Arial;sans-serif" w:hAnsi="Arial;sans-serif"/>
          <w:b w:val="false"/>
          <w:color w:val="006098"/>
          <w:sz w:val="20"/>
          <w:u w:val="single"/>
        </w:rPr>
        <w:t>Litigation Related to Securities Claims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March 1, 2023, plaintiff Jerry Peacock filed a putative class action lawsuit in U.S. District Court for the Southern District of New York against Dutch Bros PubCo and certain of its executive officers for alleged violations of U.S. federal securities laws. The plaintiff purports to bring claims on behalf of a class of acquirers of Dutch Bros PubCo securities between March 1, 2022 and May 11, 2022, and generally alleges that the defendants made false or misleading statements about the impact of commodity inflation on the Company’s financial results for the first quarter of 2022. The plaintiff seeks compensatory damages for all affected members of the purported class. The Company believes these claims are without merit and intends to vigorously defend this lawsuit. Given the nature of the case, including that the proceeding is in its early stages, the Company is unable to predict the ultimate outcome of this case or estimate the range of potential loss, if any.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1A. RISK FACTORS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Summary of Risk Factors</w:t>
      </w:r>
    </w:p>
    <w:p>
      <w:pPr>
        <w:pStyle w:val="TextBody"/>
        <w:spacing w:lineRule="auto" w:line="288" w:before="0" w:after="0"/>
        <w:jc w:val="both"/>
        <w:rPr>
          <w:rFonts w:ascii="Arial;sans-serif" w:hAnsi="Arial;sans-serif"/>
          <w:b w:val="false"/>
          <w:i/>
          <w:color w:val="131E29"/>
          <w:sz w:val="20"/>
        </w:rPr>
      </w:pPr>
      <w:r>
        <w:rPr>
          <w:rFonts w:ascii="Arial;sans-serif" w:hAnsi="Arial;sans-serif"/>
          <w:b w:val="false"/>
          <w:i/>
          <w:color w:val="131E29"/>
          <w:sz w:val="20"/>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10-Q and our other filings with the SEC before making investment decisions regarding our Class A common stock.</w:t>
      </w:r>
    </w:p>
    <w:p>
      <w:pPr>
        <w:pStyle w:val="TextBody"/>
        <w:spacing w:before="0" w:after="0"/>
        <w:jc w:val="both"/>
        <w:rPr/>
      </w:pPr>
      <w:r>
        <w:rPr/>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Evolving consumer preferences and tastes or changes in consumer spending may adversely affect our business.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failure to manage our growth effectively could harm our business and operating results.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inability to identify, recruit and retain qualified individuals for our shops could slow our growth and adversely impact our ability to operate.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shops are geographically concentrated in the Western United States, and we could be negatively affected by conditions specific to that region.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363220"/>
                <wp:effectExtent l="0" t="0" r="0" b="0"/>
                <wp:wrapNone/>
                <wp:docPr id="150" name="Frame5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4"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4"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Pandemics or disease outbreaks have had, and may continue to have, an effect on our business and results of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success depends substantially on the value of our brand and failure to preserve its value could have a negative impact on our financial results.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the availability of and the cost of labor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Co-Founder and Sponsor continue to have significant influence over us, which could limit your ability to influence the outcome of matters submitted to stockholders for a vote.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growth strategy depends in part on opening new shops in existing and new markets. We may be unsuccessful in opening new shops or establishing new markets, which could adversely affect our growth.</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pStyle w:val="TextBody"/>
        <w:spacing w:lineRule="auto" w:line="288" w:before="0" w:after="0"/>
        <w:ind w:left="0" w:right="0" w:hanging="360"/>
        <w:jc w:val="both"/>
        <w:rPr/>
      </w:pPr>
      <w:r>
        <w:rPr>
          <w:color w:val="131E29"/>
        </w:rPr>
        <w:t>•</w:t>
      </w:r>
      <w:r>
        <w:rPr>
          <w:rFonts w:ascii="Arial;sans-serif" w:hAnsi="Arial;sans-serif"/>
          <w:b w:val="false"/>
          <w:color w:val="131E29"/>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363220"/>
                <wp:effectExtent l="0" t="0" r="0" b="0"/>
                <wp:wrapNone/>
                <wp:docPr id="153" name="Frame5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5"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5"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 Factors</w:t>
      </w:r>
    </w:p>
    <w:p>
      <w:pPr>
        <w:pStyle w:val="TextBody"/>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You should carefully consider the risks described below in addition to the other information set forth in this Form 10-Q, including “Management’s Discussion and Analysis of Financial Condition and Results of Operations,” “Quantitative and Qualitative Disclosures about Market Risk,” our consolidated financial statements and related notes in this Form 10-Q,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The risks relating to our business set forth in our Annual Report on Form 10-K for the year ended December 31, 2022, filed with the SEC on February 27, 2023, are set forth below and are unchanged substantively as of the date of this filing, except for those risks designated by an asterisk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Evolving consumer preferences and tastes or changes in consumer spending may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car ownership, which in turn may reduce the usefulness and convenience of our drive-thru shops, or customers reducing their demand for our current offerings as new beverages are introduced. 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financial condition and results of operations are subject to, and may be adversely affected by, a number of factors, many of which are also largely outside our control.</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real estate or labor costs in certain markets;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consumer preferences;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disruptions in our supply chain;</w:t>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363220"/>
                <wp:effectExtent l="0" t="0" r="0" b="0"/>
                <wp:wrapNone/>
                <wp:docPr id="156" name="Frame5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5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6"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58"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6"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impact of shortages or inflation on our cost of goods or labor, including construction labor, which we have recently seen;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governmental laws and rules, including those regarding minimum wage, and approaches to taxation;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severe weather or other natural or man-made disasters affecting a large market or several closely located markets that may temporarily but significantly affect our business in such markets, including the price or availability of goods;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labor discord or disruption, geopolitical events, social unrest, war, including repercussions of the war between Russia and Ukraine, terrorism, political instability, acts of public violence, boycotts, hostilities and social unrest, COVID-19 variants and other epidemics;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adverse outcomes of litigation.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marketing programs may not be successful, and our new menu items and advertising campaigns may not generate increased revenues or profits.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incur costs and expend resources in our marketing efforts on new menu items and advertising campaigns to raise brand awareness and attract and retain customers. These initiatives may not be successful, resulting in expenses incurred without the benefit of higher revenue.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Donuts,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substantially greater financial and other resources,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Any of these competitive factors may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 </w:t>
      </w: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363220"/>
                <wp:effectExtent l="0" t="0" r="0" b="0"/>
                <wp:wrapNone/>
                <wp:docPr id="159" name="Frame5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7"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strategic initiatives and growth strategy may be unsuccessful which could adversely affect our business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March 31, 2023, Dutch Bros had 716 shops across 14 states, of which 438 were company-operated and 278 were franchised. One of the key means to achieving our growth strategy will be through opening new shops and operating those shops on a profitable basis. During the three months ended March 31, 2023, we opened 42 new company-operated shops, across 9 states. Our ability to open new shops is dependent upon a number of factors, many of which are beyond our control, including our and our franchise partners’ ability to: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identify available and suitable sites, specifically for drive-thru locations;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compete for such sites;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reach acceptable agreements regarding the lease of locations;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obtain or have available the financing required to acquire and operate a shop, including construction and opening costs, which includes access to build-to-suit leases and ground lease construction arrangements;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respond to unforeseen engineering or environmental problems with leased premises;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avoid the impact of inclement weather, natural disasters, and other calamities;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hire, train and retain the skilled management and other employees necessary to meet staffing needs;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control construction and equipment cost increases for new shops and secure the services of qualified contractors and subcontractors in an increasingly competitive environment.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part of our longer term growth strategy, we expect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363220"/>
                <wp:effectExtent l="0" t="0" r="0" b="0"/>
                <wp:wrapNone/>
                <wp:docPr id="162" name="Frame5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8"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8"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*New shops, once opened, may not be profitable or may close, and the increases in average per shop revenue and comparable sales that we have experienced in the past may not be indicative of future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Dutch Bros’ shops open with an initial start-up period of higher than 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consumer awareness and understanding of the Dutch Bros brand;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general economic conditions, such as inflation, which can affect shop traffic, local labor costs, and prices we pay for the beverage and other supplies we use;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consumption patterns and beverage preferences that differ from region to region;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consumer preferences and discretionary spending, which we have seen impacted recently by factors such as inflation;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difficulties obtaining or maintaining adequate relationships with distributors or suppliers in new markets;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increases in prices for commodities, including coffee, milk and flavored syrups;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inefficiency in our labor costs as the staff gains experience;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competition, either from our competitors in the food service and restaurant industry or our own shops;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temporary and permanent site characteristics of new shops;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government regulation;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ability to hire, motivate, and retain qualified employees who share our values; and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363220"/>
                <wp:effectExtent l="0" t="0" r="0" b="0"/>
                <wp:wrapNone/>
                <wp:docPr id="165" name="Frame5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9"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9"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other unanticipated increases in costs, including costs of construction materials and trade labor, any of which could give rise to delays or cost overruns.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our new shops do not perform as planned or close, our business and future prospects could be harmed. In addition, an inability to achieve our expected average shop revenue could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opening new shops in existing markets may negatively impact sales at our, and our franchise partners’, existing shops, even if it increases overall AUV in a region.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become significant in the future as we continue to expand our operations, and we expect it will have an impact on our sales growth, which could, in turn,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failure to manage our growth effectively could harm our business and operating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Our ability to manage our growth effectively will require us to continue to enhance our systems, procedures and controls and to locate, hire, train and retain management and broistas, particularly in new markets which may require significant capital expenditures.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Damage to our brand or reputation or negative publicity could negatively impact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363220"/>
                <wp:effectExtent l="0" t="0" r="0" b="0"/>
                <wp:wrapNone/>
                <wp:docPr id="168" name="Frame5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0"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faced with negative publicity,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or other matters. Negative publicity may adversely affect us, regardless of whether the allegations are substantiated or whether we are determined to be responsible.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there has been a marked increase in the use of social media platforms and similar devices, including blogs, social media websites and other forms of internet-based communications that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Information posted may be adverse to our interests or may be inaccurate, each of which may harm our performance, prospects, or business. The harm may be immediate without affording us an opportunity for redress or correction.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Ultimately, the risks associated with any such negative publicity or incorrect information cannot be completely eliminated or mitigated and may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inability to identify, recruit and retain qualified individuals for our shops could slow our growth and adversely impact our ability to operate.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especially if there is improvement in regional or national economic conditions.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363220"/>
                <wp:effectExtent l="0" t="0" r="0" b="0"/>
                <wp:wrapNone/>
                <wp:docPr id="171" name="Frame5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1"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1"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impact our existing shops. Any such inability to retain or recruit qualified employees, increased costs of attracting qualified employees or delays in shop openings could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the risks associated with leasing space subject to long-term non-cancelable leases and, with respect to the real property that we own, owning real estate.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we're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approximately 39%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363220"/>
                <wp:effectExtent l="0" t="0" r="0" b="0"/>
                <wp:wrapNone/>
                <wp:docPr id="174" name="Frame5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2"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are responsible for ensuring the success of our entire system of shops and for taking a longer term view with respect to system improvements, our franchise partners have individual business strategies and objectives, which might conflict with our interests.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shops are geographically concentrated in the Western United States, and we could be negatively affected by conditions specific to that region.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our company-operated and franchised shops in the Western United States represent approximately 80%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national footprint. For example, in recent years, wildfires spread across most western states causing poor air quality which reduced consumers’ willingness to venture outside their homes and reduced our AUVs, and any future wildfires may have a similar impact. If we experience wildfires, such wildfires may also damage shops and the communities in which they operate which could decrease demand for our products. For example, in 2018 a wildfire partially destroyed the town of Surprise, California and damaged one of our shops. In addition to rebuilding costs, prolonged economic recovery within affected communities may have a negative impact on our results of operations. In addition, until our roasting facility in Texas is operational,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material interruption in our supply chain, such as material interruption of the supply of coffee, flavored syrups, dairy, coffee machines, cans for our Dutch Bros. Blue Rebel energy drink, and other restaurant equipment or packaging, including any packaging for our for our proprietary products, for any reason, including: the casualty loss of our roasting facility;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363220"/>
                <wp:effectExtent l="0" t="0" r="0" b="0"/>
                <wp:wrapNone/>
                <wp:docPr id="177" name="Frame5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7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7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3"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most of our beverage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Blue Rebel energy drinks, where we rely on relationships with our co-packers, Portland Bottling Co. and Lieb Foods, LLC to blend, package, label, and warehouse these drinks. Sales of Dutch Bros. Blue Rebel accounted for approximately 25% of our systemwide net sales in the three months ended March 31, 2023.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it will negatively affect or business and profitability. If we are unable to locate sufficient building or construction materials, we may not be able to achieve our stated growth objectives.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continued to increase significantly during the three months ended March 31, 2023. Because of the significance of coffee beans to our operations, combined with our ability to only partially mitigate future price risk through purchasing practices and hedging activities,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also purchase significant amounts of dairy products, particularly milk, to support the needs of our shops. For example, the cost of dairy products remained elevated during the three months ended March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363220"/>
                <wp:effectExtent l="0" t="0" r="0" b="0"/>
                <wp:wrapNone/>
                <wp:docPr id="180" name="Frame6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4"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4"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31, 2023. If these increased dairy costs are sustained or further increased, this could harm our business. Additionally, and although less significant to our operations than coffee or dairy, other commodities, including but not limited to plant-based “milks,” tea, sugar, syrups, energy and packaging material, such as plastics, corrugate, and canning materials, are important to our operations, and may be subject to increased costs, which could negatively impact our margins.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Increases in the cost of other commodities, such as petroleum, may increase the cost of our packing materials, or lack of availability, whether due to supply shortages, delays or interruptions in processing, may impact consumer spending, or could otherwise harm our business. For example, during the year ended December 31, 2022, we believe fluctuating increases in gas prices negatively impacted consumer discretionary spending, particularly in the Western United States where such increases were relatively higher and where our shops are geographically concentrated.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fail to offer high-quality customer experience, our business and reputation will suffer.</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fail to maintain adequate operational and financial resources, particularly if we continue to grow rapidly, we may be unable to execute our business plan or maintain high levels of service and customer satisfaction.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continuous growth and expansion have placed, and may continue to place, significant demands on our management and our operational and financial resources and in connection therewith.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363220"/>
                <wp:effectExtent l="0" t="0" r="0" b="0"/>
                <wp:wrapNone/>
                <wp:docPr id="183" name="Frame6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5"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5"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have a limited history of operating with a substantial remote workforce and the long-term impact on our financial results and business operations are uncertain.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an increasing number of employees who work fully remote or hybrid remote. Remote work has become the primary experience for a large number of our employees, and our intention is for our workforce to continue to have remote work opportunities into the future. However, we have a limited history of operating with a large remote workforce and the impact on our financial results and business operations remains uncertain, particularly in the near term. Additionally, there is no guarantee that we will realize any anticipated benefits to our business from our remote and hybrid remote workforce, such as any cost savings or operational efficiencies.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Our continuing support of a growing remote and hybrid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We may also experience an increased risk of privacy and data security breaches and incidents involving our information technology networks and systems and data processing.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increasingly dependent on information technology and our ability to process data in order to operate and sell our products, and if we (or our vendors) are unable to protect against software and hardware vulnerabilities, service interruptions, data corruption, cyber-based attacks, ransomware, fraud, or security breaches, or if we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and marketing purposes; and to comply with regulatory, legal and tax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(and those of the third parties upon which we rely) information technology networks and systems, and the Processing of Sensitive Information they perform, may be vulnerable to data security and privacy threats, cyber and otherwise. These threats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market, produce, sell, and distribute our products.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risk of unauthorized circumvention of our security measures or those of our third parties on whom we rely has been heightened by advances in computer and software capabilities and the increasing sophistication of actors who employ complex techniques, including, without limitation, “phishing” or social engineering incidents, ransomware, extortion, account takeover attacks, personnel misconduct or error,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363220"/>
                <wp:effectExtent l="0" t="0" r="0" b="0"/>
                <wp:wrapNone/>
                <wp:docPr id="186" name="Frame6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8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6"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88"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6"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denial or degradation of service attacks, malicious code (such as viruses or worms), supply-chain attacks, software bugs, adware, or malware.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our remote workforce poses increased risks to our information technology network and systems and data, as more of our employees work remotely, utilizing network connections outside our premises or network, including working at home, while in transit, and in public locations.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upon third-party service providers and technologies to operate critical business systems to process Sensitive Information in a variety of contexts, including, without limitation, third-party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Sensitive Information or our information technology networks and systems (or those of the third parties upon which we rely).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While we take steps to detect and remediate vulnerabilities, our security measures (and those of the third parties upon which we rely) may not be adequate to prevent or detect service interruption, system failure data loss, fraud or theft, or other material adverse consequences because the threats and techniques used to exploit vulnerabilities change frequently and are often sophisticated in nature. Therefore, such vulnerabilities could be exploited but may not be detected until after a security incident has occurred and we may not be able to anticipate or to implement effective preventative and remedial measures against all vulnerabilities. These vulnerabilities pose material risks to our business. Furthermore, there may be delays in developing and deploying patches and other remedial measures to adequately address vulnerabilities, and taking such remedial steps could adversely impact or disrupt our operations. We expect similar issues to arise in the future as the Dutch Rewards mobile app is more widely adopted, and as we continue to expand the features and functionality of the Dutch Rewards mobile app.</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363220"/>
                <wp:effectExtent l="0" t="0" r="0" b="0"/>
                <wp:wrapNone/>
                <wp:docPr id="189" name="Frame6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7"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7"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Applicable data privacy and security obligations may require us to notify relevant stakeholders of security incidents including affected individuals, customers, and regulators.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upon whom we rely) to process payments, regulatory scrutiny, actions or investigations, a loss of confidence in our business, systems and Processing of Sensitive Information, a diversion of management’s time and attention, and significant fines, penalties, assessments, fees and expenses.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not have adequate insurance coverage for handling security incidents or breaches, including fines, judgments, settlements, penalties, costs, attorney fees and other impacts that arise out of incidents or breaches. If the impacts of a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privacy risks are likely to increase as we continue to expand, grow our customer base, and process, store, and transmit increasingly large amounts of personal and/or Sensitive Information.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Pandemics or disease outbreaks have had, and may continue to have, an effect on our business and results of operations.</w:t>
      </w:r>
    </w:p>
    <w:p>
      <w:pPr>
        <w:pStyle w:val="TextBody"/>
        <w:spacing w:lineRule="auto" w:line="288" w:before="0" w:after="180"/>
        <w:jc w:val="both"/>
        <w:rPr/>
      </w:pPr>
      <w:r>
        <w:rPr>
          <w:rFonts w:ascii="Arial;sans-serif" w:hAnsi="Arial;sans-serif"/>
          <w:b w:val="false"/>
          <w:color w:val="131E29"/>
          <w:sz w:val="20"/>
        </w:rPr>
        <w:t xml:space="preserve">Pandemics or disease outbreaks such as the COVID-19 pandemic have impacted and are likely to continue to impact customer traffic at our Dutch Bros shops and may make it more difficult to staff our shops and, in more severe cases, may cause a temporary inability to obtain supplies and may increase commodity costs. </w:t>
      </w:r>
      <w:r>
        <w:rPr>
          <w:rFonts w:ascii="Arial;sans-serif" w:hAnsi="Arial;sans-serif"/>
          <w:b w:val="false"/>
          <w:color w:val="131E29"/>
          <w:sz w:val="20"/>
          <w:highlight w:val="white"/>
        </w:rPr>
        <w:t xml:space="preserve">The extent of the impact of pandemics or disease outbreaks, including the COVID-19 pandemic, on our business, operations, and development timelines and plans remains uncertain and will depend on future developments that cannot be predicted at this time. Such developments include the potential emergence of variants that may prove especially contagious, virulent, or vaccine-resistant.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operations have been and we expect will be disrupted when employees or employees of our franchise partners were suspected of having COVID-19 or other illnesses since this required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363220"/>
                <wp:effectExtent l="0" t="0" r="0" b="0"/>
                <wp:wrapNone/>
                <wp:docPr id="192" name="Frame6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8"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8"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 xml:space="preserve">Our success is heavily reliant on our franchise partners and the COVID-19 pandemic has caused and may continue to cause financial distress for certain franchise partners that have been or will be impacted. As a result of this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ultimate impact of the COVID-19 pandemic or a similar health epidemic on our business, operations, or the global economy as a whole remains highly uncertain. While we have developed and continue to develop plans to help mitigate the potential negative impact of the COVID-19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this or any other widespread epidemics will not occur, or that the global economy will recover, either of which could seriously harm our business.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Unstable market and economic conditions may have serious adverse consequences on our business and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global credit and financial markets have experienced extreme volatility and disruptions (including as a result of the COVID-19 pandemic and actual or perceived changes in interest rates and continued economic inflation),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Brand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success depends substantially on the value of our brand and failure to preserve its value could have a negative impact on our financial results.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363220"/>
                <wp:effectExtent l="0" t="0" r="0" b="0"/>
                <wp:wrapNone/>
                <wp:docPr id="195" name="Frame6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9"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1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9"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such as COVID-19,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has been an increased public focus, including from the United States federal and state governments, on environmental sustainability matters, including with respect to climate change, greenhouse gases, water resources, packaging and waste, animal health and welfare, deforestation, and land use. We endeavor to conduct our business in a manner which reflects our priority of sustainable stewardship, including with respect to environmental sustainability matters, and we are working to manage the risks and costs to us, our franchise partners and our supply chain associated with these types of environmental sustainability matters. In addition, as the result of such heightened public focus on environmental sustainability matters, we may face increased pressure to provide expanded disclosure, make or expand commitments, set targets, or establish additional goals and take actions to meet such goals, in connection with such environmental sustainability matters. These matters and our efforts to address them could expose us to market, operational, reputational and execution costs or risks.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not be able to adequately protect our intellectual property, including trademarks, trade names, and service marks, which, in turn, could harm the value of our brand and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363220"/>
                <wp:effectExtent l="0" t="0" r="0" b="0"/>
                <wp:wrapNone/>
                <wp:docPr id="198" name="Frame6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19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70"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0"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 party intellectual property that we use or wish to use in our business (whether or not asserted against us in litigation), we may not be able to enter into licensing or other arrangements with the owner of such intellectual property at a reasonable cost or on reasonable terms.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Incidents or reports, whether true or not, of food-borne or water-borne illness or other food safety issues, food contamination or tampering, employee hygiene and cleanliness failures, or improper employee conduct at our shops could lead to product liability or other claims. Such incidents or reports could negatively affect our brand and reputation as well as our business, revenue, and profits. Similar incidents or reports occurring at coffee and convenience shops unrelated to us could likewise create negative publicity, which could negatively impact consumer behavior towards us.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cannot guarantee to customers that our internal controls and training will be fully effective in preventing all food-borne illnesses. New illnesses resistant to our current precautions may develop in the future, or diseases with long incubation periods could arise, that could give rise to claims or allegations on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363220"/>
                <wp:effectExtent l="0" t="0" r="0" b="0"/>
                <wp:wrapNone/>
                <wp:docPr id="201" name="Frame6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71"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71"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Further, our customers and employees have a high expectation that we and our service providers will adequately protect their personal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subject to rules governing electronic funds transfers, including the Payment Card Industry Data Security Standard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those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w:t>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692265" cy="363220"/>
                <wp:effectExtent l="0" t="0" r="0" b="0"/>
                <wp:wrapNone/>
                <wp:docPr id="204" name="Frame6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72"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72"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Risks Related to People and Culture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*Changes in the availability of and the cost of labor could harm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the California Fast Food Accountability and Standards Recovery Act, passed in September 2022, which would create a council to establish, among other things, minimum wages in the broadly-defined fast food industry, the implementation of which has been temporarily halted by a court order pending the results of a California voter referendum scheduled for November 2024.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this is likely to result in lower revenue, and may also reduce margins.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expand to.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692265" cy="363220"/>
                <wp:effectExtent l="0" t="0" r="0" b="0"/>
                <wp:wrapNone/>
                <wp:docPr id="207" name="Frame6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0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3"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0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3"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depend on our executive officers and other key employees, and the loss of one or more of these employees or an inability to attract and retain other highly skilled employees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depends largely upon the continued services of our executive officers and other key employees, and the hiring and retention of additional executives and other key personnel. We rely on our leadership team in the areas of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culture has contributed to our success, and if we cannot maintain this culture as we grow, we could lose the high employee engagement fostered by our culture, which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As we continue to develop the infrastructure to support our growth, we will need to maintain our culture among a larger number of employees dispersed in various geographic regions. Any failure to preserve our culture could negatively affect our future success, including our ability to retain and recruit personnel, and loss of customer loyalty.</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Unionization activities may disrupt our operations and affect our profitability.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692265" cy="363220"/>
                <wp:effectExtent l="0" t="0" r="0" b="0"/>
                <wp:wrapNone/>
                <wp:docPr id="210" name="Frame7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4"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4"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Regulation and Litigation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Changes in statutory, regulatory, accounting, and other legal requirements, including changes in accounting principles generally accepted in the United States, could potentially impact our operating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privacy and information security, wage and hour laws, among others, could potentially impact our operations and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Federal regulators and some state governments in states in which we do business have indicated that they will be imposing vaccination and testing mandates for employers. While the exact contours of these rules and regulations are not yet known, if vaccinations are mandated it will negatively impact our ability to recruit and retain sufficient employees to meet our growth goals and operate existing shops in some areas. In addition, if these mandates impose the cost of testing of wages for time spent testing on employers this will have a material impact on our business and profitability.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COVID-19 pandemic is ongoing, and we may be made subject to additional burdensome employment and health and safety laws and regulations passed or adopted by legislatures and regulators in an effort to mitigate its effects. Any future pandemics could have similar impacts.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Fluctuations in our tax obligations and effective tax rate and realization of our deferred tax assets may result in volatility of our operating results and adversely affect our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the valuation of our deferred tax assets and liabilities;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expected timing and amount of the release of any tax valuation allowance;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tax laws, regulations, or interpretations thereof; or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future earnings being lower than anticipated in jurisdictions where we have lower statutory tax rates and higher than anticipated earnings in jurisdictions where we have higher statutory tax rates.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effective tax rate in a given financial statement period may be materially impacted by a variety of factors including but not limited to changes in the mix and level of earnings, varying tax rates in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692265" cy="363220"/>
                <wp:effectExtent l="0" t="0" r="0" b="0"/>
                <wp:wrapNone/>
                <wp:docPr id="213" name="Frame7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5"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5"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subject to many federal, state, and local laws with which compliance is both costly and complex.</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The failure to comply with these laws and regulations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development and operation of a shop depends, to a significant extent, on the selection of suitable sites for drive-thrus, which are subject to unique permitting, zoning, land use, environmental, traffic, and other regulations and requirements. We are also subject to licensing and regulation by state and local authorities relating to health, sanitation, safety, and fire standards.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we will need to continue to increase our compliance efforts in these areas, which may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w:t>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92265" cy="363220"/>
                <wp:effectExtent l="0" t="0" r="0" b="0"/>
                <wp:wrapNone/>
                <wp:docPr id="216" name="Frame7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1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6"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1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6"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(and our vendors) are subject to stringent and changing laws, regulations, industry standards, contractual obligations, policies, and other obligations related to data privacy and security. The actual or perceived failure by us or our vendors to comply with such obligations, may harm our business, financial condition and results of operations, and prospects.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Process Sensitive Information necessary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on our behalf.</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these include the Telephone Consumer Protection Act (TCPA), the Electronic Communications Privacy Act, the Computer Fraud and Abuse Act, the California Consumer Privacy Act (the CCPA), other state, local, and federal laws relating to data privacy and security, and rules and regulations promulgated under the authority of the Federal Trade Commission. The CCPA provides individual privacy rights for California residents and places increased privacy and security obligations on covered businesses Processing personal information. The CCPA requires covered businesses to provide new disclosures to California residents and provide such individuals with ways to opt-out of certain sales of personal information. The CCPA also provides a private right of action and statutory damages for violations (up to $7,500 per violation), including for data breaches. In addition, the California Privacy Rights Act of 2020 (CPRA) applies to personal information of consumers, business representatives and employees and establishes a new California Privacy Protection Agency to implement and enforce the law.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Moreover, across the United States, laws and regulations governing data privacy and security continue to develop and evolve. For example, Virginia passed the Consumer Data Protection Act (CDPA), Colorado </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692265" cy="363220"/>
                <wp:effectExtent l="0" t="0" r="0" b="0"/>
                <wp:wrapNone/>
                <wp:docPr id="219" name="Frame7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7"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7"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passed the Colorado Privacy Act (CPA), Connecticut passed the Connecticut Data Privacy Act (CTDPA), and Utah passed the Utah Consumer Privacy Act (UCPA), all of which become effective in 2023. In addition, data privacy and security laws have been proposed at the federal, state, and local levels in recent years, which could further complicate compliance efforts. Compliance with data privacy and security laws or regulations may be challenging and cost- and time-intensive, and may require us to modify our data processing practices and policies and to incur substantial costs and potential liability in an effort to comply with such legislation.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contractually subject to data privacy and security obligations, including contractual obligations to indemnify and hold harmless third parties from the costs or consequences of non-compliance with data privacy laws or other obligations and to comply with industry standards adopted by industry groups. We may become subject to new data privacy and security contractual obligations in the future. Additionally, because we accept payments using credit cards and debit cards,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 (or perceived noncompliance).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we rely on a variety of marketing techniques and practices, including email and social media marketing, online targeted advertising, and cookie-based Processing, to sell our products and services and to attract new customers. We, and our vendors,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strive to comply with applicable data privacy and security obligations to the extent possible, but we may at times fail to do so, or may be perceived to have failed to do so. Moreover, despite our efforts, we may not be successful in achieving compliance if our employees, partners or vendors do not comply with applicable data privacy and security obligations. Any failure by us or a third-party processor to comply with applicable data privacy and security obligations could subject us to litigation, claims, proceedings, actions or investigations by governmental entities, authorities, private parties, or regulators; additional reporting requirements and/or oversight; bans on Processing personal data; and orders to destroy or not use personal data, which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92265" cy="363220"/>
                <wp:effectExtent l="0" t="0" r="0" b="0"/>
                <wp:wrapNone/>
                <wp:docPr id="222" name="Frame7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8"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8"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and our franchise partners are subject to extensive government regulations that could result in claims leading to increased costs and restrict our ability to operate franchises.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governmental authorities may adopt broad standards for determining when two or more entities may be deemed joint employers of the same employees. For example, Congress has a legislation proposal in process that could shift more liability for franchise partner employment practices onto franchisors. The federal PROAct would codify the Browning-Ferris decision that redefined joint employment to include a broader category of conduct by the franchisor. In addition, the National Labor Relations Board proposed a rule in September 2022 that could broaden the standards applicable to establishing a joint employer relationship. If these or similar laws or rules come into effect, it could increase the possibility of Dutch Bros being held liable for our franchise partners’ employment practices.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*Beverage and restaurant companies have been the target of class action lawsuits and other proceedings that are costly, divert management attention and, if successful, could result in our payment of substantial damages or settlement costs.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PubCo and certain of its executive officers made false or misleading statements about the impact of commodity inflation on our financial results for the first quarter of 2022.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pStyle w:val="HorizontalLine"/>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692265" cy="363220"/>
                <wp:effectExtent l="0" t="0" r="0" b="0"/>
                <wp:wrapNone/>
                <wp:docPr id="225" name="Frame7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9"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2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9"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Legislation and regulations requiring the display and provision of nutritional information for our menu offerings, and new information or attitudes regarding diet and health or adverse opinions about the health effects of consuming our menu offerings, could affect consumer preferences and negatively impact our business, financial condition, and results of operations.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consumer eating habits may impact our business as a result of changes in attitudes regarding diet and health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FDA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consumer health perceptions or our ability to successfully implement the nutrient content disclosure requirements and to adapt our menu offerings to trends in drinking and consumption habits. The imposition of menu-labeling laws could have an adverse effect on our results of operations and financial position, as well as the food service and restaurant industry in general.</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Our Organizational Structure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363220"/>
                <wp:effectExtent l="0" t="0" r="0" b="0"/>
                <wp:wrapNone/>
                <wp:docPr id="228" name="Frame7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2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80"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0"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allocable share of Dutch Bros OpCo’s net taxable income will increase over time as the Continuing Members redeem or exchange their Dutch Bros OpCo Class A common units for shares of Class A common stock or cash.</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through Dutch Bros Inc.’s role as managing member, to cause Dutch Bros OpCo to make cash distributions to the holders of Dutch Bros OpCo Class A common units, including Dutch Bros Inc., in an amount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its ability to make distributions to us.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Dutch Bros OpCo may make distributions of cash to Dutch Bros Inc. in excess of the amounts used by Dutch Bros Inc. to make distributions to its stockholders and pay its expenses (including taxes and payments under the Tax Receivable Agreements). To the extent Dutch Bros Inc. does not distribute such excess cash as dividends on Class A and Class D common stock, the Continuing Members would benefit from any value attributable to such cash as a result of their ownership of Class A common stock upon a redemption or exchange of their Dutch Bros OpCo Class A common units.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Distributions from Dutch Bros OpCo may in certain periods exceed Dutch Bros Inc.’s liabilities, including tax liabilities, obligations to make payments under the Tax Receivable Agreements, and other expenses. Dutch Bros Inc.’s board of directors, in its sole discretion, will make any determination from time to time with respect to the use of any such excess cash so accumulated, which may include, among other uses, to pay dividends on its Class A common stock and Class D common stock. Dutch Bros Inc. will have no obligation to distribute such cash (or other available cash other than any declared dividend) to its stockholders.</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692265" cy="363220"/>
                <wp:effectExtent l="0" t="0" r="0" b="0"/>
                <wp:wrapNone/>
                <wp:docPr id="231" name="Frame7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81"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3"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81"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No adjustments to the exchange ratio of Dutch Bros OpCo Class A common units for shares of Class A common stock will be made as a result of either (i) any cash distribution by Dutch Bros Inc. or (ii) any cash that Dutch Bros Inc. retains and does not distribute to its stockholders. To the extent Dutch Bros Inc. does not distribute such cash as dividends on Class A and Class D common stock and instead, for example, holds such cash balances, buys additional Dutch Bros OpCo Class A common units or lends such cash to Dutch Bros OpCo, this may result in shares of Class A common stock increasing in value relative to the Dutch Bros OpCo Class A common units. The holders of Dutch Bros OpCo Class A common units may benefit from any value attributable to such cash balances if they receive shares of Class A common stock on redemption or exchange of their Dutch Bros OpCo Class A common units or if Dutch Bros Inc. acquires additional Dutch Bros OpCo Class A common units (whether from Dutch Bros OpCo or from holders of Dutch Bros OpCo Class A common units) at a price based on the market price of our Class A common stock at the time.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The Tax Receivable Agreements with the Continuing Members and Pre-IPO Blocker Holders require Dutch Bros Inc. to make cash payments to them in respect of certain tax benefits to which it may become entitled, and such payments may be substantial.</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the IPO, Dutch Bros Inc. entered into the Tax Receivable Agreements with the Continuing Members and the Pre-IPO Blocker Holders, as applicable. These Tax Receivable Agreements provide for the payment by Dutch Bros Inc. to such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w:t>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692265" cy="363220"/>
                <wp:effectExtent l="0" t="0" r="0" b="0"/>
                <wp:wrapNone/>
                <wp:docPr id="234" name="Frame7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82"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82"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In certain cases, payments under the Tax Receivable Agreements may be accelerated and/or significantly exceed the actual benefits Dutch Bros Inc. realizes in respect of the tax attributes subject to the Tax Receivable Agreements.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w:t>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692265" cy="363220"/>
                <wp:effectExtent l="0" t="0" r="0" b="0"/>
                <wp:wrapNone/>
                <wp:docPr id="237" name="Frame7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3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3"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3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3"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statutory expiration period for such net operating losses and the five-year period after the early termination or change of control.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The acceleration of payments under the Tax Receivable Agreements in the case of certain changes of control may impair our ability to consummate change of control transactions or negatively impact the value received by owners of our Class A common stock.</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t>
      </w: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692265" cy="363220"/>
                <wp:effectExtent l="0" t="0" r="0" b="0"/>
                <wp:wrapNone/>
                <wp:docPr id="240" name="Frame8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4"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4"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Risks Related to Ownership of Our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*Additional stock issuances (including pursuant to the redemption of Dutch Bros OpCo Class A common units from our Continuing Members) could result in significant dilution to our stockholders and cause the trading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issue our capital stock or securities convertible into our capital stock from time to time in connection with financing our business operations and growth, to repay debt, or for acquisitions, investments, or otherwise (including pursuant to the redemption of Dutch Bros OpCo Class A common units from our Continuing Members). Additional issuances of our stock will result in dilution to existing holders of our stock. Any such issuances could result in substantial dilution to our existing stockholders and cause the trading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particular, following the issuance of shares of Class A common stock in connection with the redemption of Dutch Bros OpCo Class A common units from our Continuing Members and the related cancellation of shares of our Class B common stock or Class C common stock, such shares of Class A common stock will have the same economic rights as other shares of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trading price of our Class A common stock may be volatile, and you could lose all or part of your investment.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price and volume fluctuations in the overall stock market from time to time;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volatility in the trading prices and trading volumes of competitors’ stocks;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operating performance and stock market valuations of other companies generally, or those in our industry in particular;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sales of shares of our Class A common stock by us or our stockholders, including the Continuing Members;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announcements by us or our competitors of new products or services;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the public’s reaction to our press releases, other public announcements, and filings with the SEC; </w:t>
      </w: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692265" cy="363220"/>
                <wp:effectExtent l="0" t="0" r="0" b="0"/>
                <wp:wrapNone/>
                <wp:docPr id="243" name="Frame8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5"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5"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rumors and market speculation involving us or other companies in our industry;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changes in our results of operations or fluctuations in our results of operations;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actual or anticipated developments in our business, our competitors’ businesses, or the competitive landscape generally;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litigation involving us, our industry or both, or investigations by regulators into our operations or those of our competitors;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actual or perceived privacy or data security incidents;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developments or disputes concerning our intellectual property or other proprietary rights;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announced or completed acquisitions of businesses, franchises or other assets by us or our competitors;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new laws or regulations or new interpretations of existing laws or regulations applicable to our business;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changes in accounting standards, policies, guidelines, interpretations or principles;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any significant change in our management; and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general political and economic conditions and slow or negative growth of our markets.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PubCo and certain of its executive officers made false or misleading statements about the impact of commodity inflation on our financial results for the first quarter of 2022. This litigation, and other litigation, if instituted against us, could result in substantial costs and a diversion of our management’s attention and resources.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The multi-class structure of our common stock has the effect of concentrating voting control with Continuing Members, limiting your ability to influence corporate matters.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Each share of our Class A common stock entitles its holder to one vote on all matters on which stockholders are entitled to vote generally. Our shares of Class B common stock have no economic rights but each share will entitle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Our shares of Class C common stock and Class D common stock entitle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Our shares of Class C common stock have no economic rights but Class D common stock have the same economic rights as shares of Class A common stock. All of our Class C common stock are held by certain Continuing Members affiliated with our Sponsor and all our Class D common stock are held by the Pre-IPO Blocker 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Class C common stock and </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692265" cy="363220"/>
                <wp:effectExtent l="0" t="0" r="0" b="0"/>
                <wp:wrapNone/>
                <wp:docPr id="246" name="Frame8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4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6"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48"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6"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Class D common stock to have value. Because of the ten-to-one voting ratio between our Class B common stock and our Class A common stock, and the three-to-one voting ratio between our Class C common stock and Class D common stock, on the one hand, and our Class A common stock on the other hand, the holders of our Class B common stock, Class C common stock and Class D common stock collectively will continue to control a majority of the combined voting power of our common stock and therefore be able to control all matters submitted to our stockholders so long as they collectively represent at least a majority of the total voting power. This concentrated control will limit or preclude the ability of holders of Class A common stock to influence corporate matters for the foreseeable future.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Our Co-Founder and Sponsor have significant influence over us, which could limit your ability to influence the outcome of matters submitted to stockholders for a vote.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affiliates of our Co-Founder beneficially own approximately 75.8% of the combined voting power of our Class A common stock, Class B common stock, Class C common stock and Class D common stock, and our Sponsor, directly and through affiliated investment funds, beneficially owns approximately 18.8% of the combined voting power of our Class A common stock, Class B common stock, Class C common stock and Class D common stock. Each share of Class A common stock entitles the holder to one vote,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and each share of Class C common stock and Class D common stock entitles the holder to three votes (for so long as the aggregate number of outstanding shares of our Class C common stock and Class D common stock represents at least 5% of the total outstanding common stock, and thereafter, one vote per share) on all matters on which stockholders are entitled to vote generally. Thus our Co-Founder and our Sponsor exercise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amended and restated certificate of incorporation provides that the holders of Class C common stock, which our Sponsor and its affiliates hold all of, are entitled to elect up to two members of our board of directors, voting as a separate class. The Stockholders Agreement similarly provides that we will agree to nominate to our board of directors individuals designated by our Sponsor, which will retain the right to designate up to two members of the board of directors for so long as the holders of shares of Class C common stock are entitled to elect one or more members to the board of directors pursuant to our amended and restated certificate of incorporation. Our Sponsor may therefore have influence over management and substantial control over matters requiring stockholder approval, including the annual election of directors and significant corporate transactions, such as a merger or other sale of our company or its assets, for the foreseeable future. It is possible that our Co-Founder’s and our Sponsor’s interests may not align with the interests of our other stockholders.</w:t>
      </w: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692265" cy="363220"/>
                <wp:effectExtent l="0" t="0" r="0" b="0"/>
                <wp:wrapNone/>
                <wp:docPr id="249" name="Frame8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7"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 xml:space="preserve">Our Co-Founder and Sponsor own approximately 64.6% of the Dutch Bros OpCo Class A common units. Because they hold their ownership interest in our business directly in Dutch Bros OpCo, rather than through Dutch Bros Inc., the Continuing Members may have conflicting interests with holders of shares of our Class A common stock. For example, if Dutch Bros OpCo makes distributions to us,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The Continuing Members may also have different tax positions from Dutch Bros Inc. that could influence their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a “controlled company” within the meaning of the New York Stock Exchange rules and, as a result, qualify for, and rely on, exemptions and relief from certain corporate governance requirements. You do not have the same protections afforded to stockholders of companies that are subject to such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Certain affiliates of our Co-Founder beneficially own approximately 75.8% of the combined voting power of our Class A common stock, Class B common stock, Class C common stock and Class D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 board that is composed of a majority of “independent directors,” as defined under the New York Stock Exchange rules;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 compensation committee that is composed entirely of independent directors;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director nominations be made, or recommended to the full board of directors, by its independent directors, or by a nominations/governance committee that is composed entirely of independent directors.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intend to continue to utilize these exemptions until we are no longer eligible for them. Accordingly, you do not have the same protections afforded to stockholders of companies that are subject to all the corporate governance requirements of the New York Stock Exchange.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Certain of our directors have relationships with our Sponsor, which may cause conflicts of interest with respect to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One of our directors is affiliated with our Sponsor. Our Sponsor-affiliated director has fiduciary duties to us and, in addition, has duties to our Sponsor. As a result, this director may face real or apparent conflicts of interest with respect to matters affecting both us and our Sponsor, whose interests may be adverse to ours in some circumstances.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363220"/>
                <wp:effectExtent l="0" t="0" r="0" b="0"/>
                <wp:wrapNone/>
                <wp:docPr id="252" name="Frame8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8"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Future sales of shares of our Class A or Class D common stock cause the market price of our Class A common stock to decline.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Sales of a substantial number of shares of our Class A or Class D common stock (after converting to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Subject to the terms of the Amended and Restated Limited Liability Company Agreement of Dutch Bros OpCo, an aggregate of 105,755,565 Dutch Bros OpCo Class A common units may be redeemed in exchange for shares of our Class A common stock and an aggregate of 12,411,419 shares of Class D common stock may be converted into shares of our Class A common stock. Any shares we issue upon redemption or exchange of Dutch Bros OpCo Class A common units or upon the conversion of shares of Class D common stock, as applicable, will be “restricted securities” as defined in Rule 144 and may not be sold in the absence of registration under the Securities Act of 1933, as amended (Securities Act) unless an exemption from registration is available, including the exemptions contained in Rule 144.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However, all such shares are now eligible for resale in the public market, subject, in the case of shares held by our affiliates, to volume, manner of sale, and other limitations under Rule 144.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trading price and trading volume could decline if securities or industry analysts do not publish research about our business, or if they publish unfavorable research.</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are no longer qualified as an “emerging growth company” as of December 31, 2022, and, as a result, we will no longer be able to avail ourselves of certain reduced reporting and disclosure requirements.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Based on the market value of our Class A common stock held by non-affiliates as of June 30, 2022, we ceased to qualify, effective as of December 31, 2022, as an “emerging growth company,” as defined in the Jumpstart Our Business Startups Act (the JOBS Act). We previously have taken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no longer able to take advantage of any of the exemptions from various reporting requirements that are applicable to other public companies that are not “emerging growth companies” as described above, and we are no longer able to use the extended transition period for complying with new or revised accounting standards. We expect that the loss of our “emerging growth company” status and compliance with these additional requirements will substantially increase our legal and financial compliance costs. In addition, any failure to comply with these additional requirements in a timely manner, or at all, could have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363220"/>
                <wp:effectExtent l="0" t="0" r="0" b="0"/>
                <wp:wrapNone/>
                <wp:docPr id="255" name="Frame8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9"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5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9"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 adverse effect on our business and results of operations and could cause a decline in the price of our Class A common stock.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 xml:space="preserve">General Risks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results may fluctuate significantly and may not meet our expectations or those of investors or securities analysts.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changes in consumer tastes and nutritional and dietary trends;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successful identification and acquisition of appropriate sites to timely develop and expand our number of profitable shops;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protection of our brand and reputation;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dependence on a small number of suppliers, including for roasting;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expectations regarding our future operating and financial performance;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size of our addressable markets, market share, and market trends;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effective management and continued growth of our workforce and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attract, retain, and motivate skilled personnel, including key members of our senior management;</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generation of projected same shop sales growth;</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sufficiency of our cash, cash equivalents, and investments to meet our liquidity needs;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dependence on long-term non-cancelable leases;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employees and the status of our workers;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inability to maintain good relationships with our franchising partners;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timing and amount of deferred expenses related to the maintenance of company-operated shops;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the effects of seasonal trends on our results of operations;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vulnerability to global financial market conditions, including the continuing effects from the recent recession;</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adverse weather conditions in local or regional areas where our shops are located;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our realization of any benefit from our organizational structure net of expenses associated with the same (including our obligations under the Tax Receivable Agreements).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363220"/>
                <wp:effectExtent l="0" t="0" r="0" b="0"/>
                <wp:wrapNone/>
                <wp:docPr id="258" name="Frame8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5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90"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90"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outstanding indebtedness could materially adversely affect our financial condition and our ability to operate our business, pursue our growth strategy, and react to changes in the economy or industry.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March 31, 2023, we had $97.5 million and $152.7 million in term loan and revolving loans outstanding, respectively. In addition, subject to certain restrictions under the 2022 Credit Facility (as defined in NOTE 9 — Debt to the consolidated financial statements included elsewhere in this Form 10-Q), we may incur additional debt.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debt could have important consequences to you, including the following:</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it may be difficult for us to satisfy our obligations, including debt service requirements under our outstanding debt, resulting in possible defaults on and acceleration of such indebtedness;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may need to issue additional Class A common stock to fund the repayment of our debt, which would result in additional dilution to existing investors and may cause our stock price to decline;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obtain additional financing for working capital, capital expenditures, debt service requirements, or other general corporate purposes may be impaired;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we are more vulnerable to economic downturns and adverse industry conditions and our flexibility to plan for, or react to, changes in our business or industry is more limited;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capitalize on business opportunities and to react to competitive pressures, as compared to our competitors, may be compromised due to our level of debt;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ability to borrow additional funds or to refinance debt may be limited.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all of our debt under our 2022 Credit Facility bears interest at variable rates, which may increase from time to time, for example, we experienced such an increase during the three months ended March 31, 2023. If these rates were to increase significantly, whether because of an increase in market interest rates or a decrease in our creditworthiness, our ability to borrow additional funds may be reduced and the risks related to our substantial debt would intensify.</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covenants under our 2022 Credit Facility restrict our ability, among other things, to:</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incur additional debt;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grant liens on assets;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sell or dispose of assets;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merge with or acquire other companies, or make other investments;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enter into sale and leaseback transactions and swap agreements;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liquidate or dissolve ourselves;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engage in businesses that are not in a related line of business; or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pay dividends or make other distributions.</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363220"/>
                <wp:effectExtent l="0" t="0" r="0" b="0"/>
                <wp:wrapNone/>
                <wp:docPr id="261" name="Frame8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91"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91"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result of these restrictions, we may be: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limited in how we conduct our business;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unable to raise additional debt or equity financing to operate during general economic or business downturns; or</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unable to compete effectively or to take advantage of new business opportunities.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restrictions may affect our ability to grow in accordance with our strategy.</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pStyle w:val="TextBody"/>
        <w:spacing w:lineRule="auto" w:line="276" w:before="0" w:after="180"/>
        <w:jc w:val="both"/>
        <w:rPr>
          <w:rFonts w:ascii="Arial;sans-serif" w:hAnsi="Arial;sans-serif"/>
          <w:b/>
          <w:i/>
          <w:color w:val="006098"/>
          <w:sz w:val="20"/>
        </w:rPr>
      </w:pPr>
      <w:r>
        <w:rPr>
          <w:rFonts w:ascii="Arial;sans-serif" w:hAnsi="Arial;sans-serif"/>
          <w:b/>
          <w:i/>
          <w:color w:val="006098"/>
          <w:sz w:val="20"/>
        </w:rPr>
        <w:t>We are vulnerable to interest rate risk with respect to our debt, and swap agreements entered into to manage such risk may not effectively limit our exposure.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363220"/>
                <wp:effectExtent l="0" t="0" r="0" b="0"/>
                <wp:wrapNone/>
                <wp:docPr id="264" name="Frame8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92"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92"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have identified material weaknesses in our internal control over financial reporting. If we are unable to remedy our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connection with the audit of our consolidated financial statements as of and for the year ended December 31, 2022, our management and auditors determined that material weaknesses existed in the internal control over financial reporting because we do not have effective controls over (1) change management of system configurations in two IT environments, and (2) the accounting for breakage estimates related to our Dutch Rewards loyalty program.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We are in the process of implementing measures designed to improve our internal control over financial reporting to remediate these material weaknesses.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assure you that the measures we have taken to date, and are continuing to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If we fail to remediate our existing material weaknesses or identify new material weaknesses in our internal control over financial reporting, if we are unable to comply with the requirements of Section 404 of the Sarbanes-Oxley Act in a timely manner,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For example, as we prepared to become a public company, we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363220"/>
                <wp:effectExtent l="0" t="0" r="0" b="0"/>
                <wp:wrapNone/>
                <wp:docPr id="267" name="Frame8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6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3"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6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3"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independent registered public accounting firm is required to formally attest to the effectiveness of our internal control over financial reporting. Our independent registered public accounting firm has issued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363220"/>
                <wp:effectExtent l="0" t="0" r="0" b="0"/>
                <wp:wrapNone/>
                <wp:docPr id="270" name="Frame9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4"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4"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*We may need additional capital, and we cannot be sure that additional financing will be available.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Historically, we have financed our operations and capital expenditures primarily through sales of OpCo Units that are convertible into our capital stock and debt financing.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363220"/>
                <wp:effectExtent l="0" t="0" r="0" b="0"/>
                <wp:wrapNone/>
                <wp:docPr id="273" name="Frame91"/>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5"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5"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before="0" w:after="180"/>
        <w:jc w:val="both"/>
        <w:rPr/>
      </w:pPr>
      <w:r>
        <w:rPr/>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derivative claim or cause of action brought on our behalf;</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for a breach of fiduciary duty owed by any of our current or former directors, officers, or other employees to us or our stockholders;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as to which the Delaware General Corporation Law confers jurisdiction to the Court of Chancery of the State of Delaware;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governed by the internal-affairs doctrine.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363220"/>
                <wp:effectExtent l="0" t="0" r="0" b="0"/>
                <wp:wrapNone/>
                <wp:docPr id="276" name="Frame92"/>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7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6"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6"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 xml:space="preserve">Provisions in our corporate charter documents and under Delaware law may prevent or frustrate attempts by our stockholders to change our management or hinder efforts to acquire a controlling interest in us, and the market price of our Class A common stock may be lower as a result.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 </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charter documents also contain other provisions that could have an anti-takeover effect, such as:</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permitting the board of directors to establish the number of directors and fill any vacancies and newly created directorships;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providing that directors may only be removed pursuant to the provisions of Section 141(k) of the Delaware General Corporation Law;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prohibiting cumulative voting for directors;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the ability of the holders of our Class C common stock, voting as a separate class, to elect up to two directors, subject to the limitations set forth in our amended and restated certificate;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requiring super-majority voting to amend some provisions in our amended and restated bylaws;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 xml:space="preserve">authorizing the issuance of “blank check” preferred stock that our board of directors could use to implement a stockholder rights plan; </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eliminating the ability of stockholders to call special meetings of stockholders; and</w:t>
      </w:r>
    </w:p>
    <w:p>
      <w:pPr>
        <w:pStyle w:val="TextBody"/>
        <w:spacing w:lineRule="auto" w:line="288" w:before="0" w:after="180"/>
        <w:ind w:left="0" w:right="0" w:hanging="360"/>
        <w:jc w:val="both"/>
        <w:rPr/>
      </w:pPr>
      <w:r>
        <w:rPr>
          <w:color w:val="131E29"/>
        </w:rPr>
        <w:t>•</w:t>
      </w:r>
      <w:r>
        <w:rPr>
          <w:rFonts w:ascii="Arial;sans-serif" w:hAnsi="Arial;sans-serif"/>
          <w:b w:val="false"/>
          <w:color w:val="131E29"/>
          <w:sz w:val="20"/>
        </w:rPr>
        <w:t>our multi-class common stock structure as described above.</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Catastrophic events may disrupt our business.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Labor discord or disruption, geopolitical events, social unrest, war, including repercussions of the recent war between Russia and Ukraine, terrorism, political instability, acts of public violence, boycotts, hostilities and social unrest, and other health pandemics that lead to avoidance of public places or cause people to stay at home could harm our business. Additionally, natural disasters or other catastrophic events may cause damage or disruption to our operations, international commerce, and the global economy, and thus could harm our business. In particular, the west coast wildfires and extreme weather conditions in other areas in which we operate, such as hurricanes and flooding in Texas, water scarcity or drought in California and other states, and the COVID-19 pandemic,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363220"/>
                <wp:effectExtent l="0" t="0" r="0" b="0"/>
                <wp:wrapNone/>
                <wp:docPr id="279" name="Frame93"/>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7"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7"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reputational harm, breaches of data security, and loss of critical data, all of which would harm our business, results of operations, and financial condition. In addition, the insurance we maintain would likely not be adequate to cover our losses resulting from disasters or other business interruptions.</w:t>
      </w:r>
    </w:p>
    <w:p>
      <w:pPr>
        <w:pStyle w:val="TextBody"/>
        <w:spacing w:lineRule="auto" w:line="288" w:before="0" w:after="180"/>
        <w:jc w:val="both"/>
        <w:rPr>
          <w:rFonts w:ascii="Arial;sans-serif" w:hAnsi="Arial;sans-serif"/>
          <w:b/>
          <w:i/>
          <w:color w:val="006098"/>
          <w:sz w:val="20"/>
        </w:rPr>
      </w:pPr>
      <w:r>
        <w:rPr>
          <w:rFonts w:ascii="Arial;sans-serif" w:hAnsi="Arial;sans-serif"/>
          <w:b/>
          <w:i/>
          <w:color w:val="006098"/>
          <w:sz w:val="20"/>
        </w:rPr>
        <w:t>Economic and business factors that are largely beyond our control may adversely affect consumer behavior and the results of our operations.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or divisions may have a negative effect on consumer confidence and discretionary spending. A significant decrease in our customer traffic or average value per transaction without a corresponding decrease in costs would put downward pressure on margins and would negatively impact our financial results.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2. UNREGISTERED SALES OF EQUITY SECURITIES AND USE OF PROCEEDS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00416B"/>
          <w:sz w:val="24"/>
        </w:rPr>
      </w:pPr>
      <w:r>
        <w:rPr>
          <w:rFonts w:ascii="Arial;sans-serif" w:hAnsi="Arial;sans-serif"/>
          <w:b/>
          <w:color w:val="00416B"/>
          <w:sz w:val="24"/>
        </w:rPr>
        <w:t>Issuer Purchases of Equity Securities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purchases of Class A common stock during the three months ended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10539" w:type="dxa"/>
        <w:jc w:val="left"/>
        <w:tblInd w:w="0" w:type="dxa"/>
        <w:tblCellMar>
          <w:top w:w="28" w:type="dxa"/>
          <w:left w:w="28" w:type="dxa"/>
          <w:bottom w:w="28" w:type="dxa"/>
          <w:right w:w="28" w:type="dxa"/>
        </w:tblCellMar>
      </w:tblPr>
      <w:tblGrid>
        <w:gridCol w:w="414"/>
        <w:gridCol w:w="306"/>
        <w:gridCol w:w="311"/>
        <w:gridCol w:w="109"/>
        <w:gridCol w:w="109"/>
        <w:gridCol w:w="109"/>
        <w:gridCol w:w="489"/>
        <w:gridCol w:w="471"/>
        <w:gridCol w:w="472"/>
        <w:gridCol w:w="109"/>
        <w:gridCol w:w="109"/>
        <w:gridCol w:w="109"/>
        <w:gridCol w:w="448"/>
        <w:gridCol w:w="1372"/>
        <w:gridCol w:w="232"/>
        <w:gridCol w:w="109"/>
        <w:gridCol w:w="109"/>
        <w:gridCol w:w="109"/>
        <w:gridCol w:w="696"/>
        <w:gridCol w:w="696"/>
        <w:gridCol w:w="698"/>
        <w:gridCol w:w="109"/>
        <w:gridCol w:w="109"/>
        <w:gridCol w:w="109"/>
        <w:gridCol w:w="766"/>
        <w:gridCol w:w="766"/>
        <w:gridCol w:w="1094"/>
      </w:tblGrid>
      <w:tr>
        <w:trPr/>
        <w:tc>
          <w:tcPr>
            <w:tcW w:w="41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Arial;sans-serif" w:hAnsi="Arial;sans-serif"/>
                <w:b/>
                <w:color w:val="131E29"/>
                <w:sz w:val="20"/>
              </w:rPr>
              <w:t xml:space="preserve">Total Number of Shares Purchased </w:t>
            </w:r>
            <w:r>
              <w:rPr>
                <w:rFonts w:ascii="Arial;sans-serif" w:hAnsi="Arial;sans-serif"/>
                <w:b/>
                <w:color w:val="131E29"/>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Weighted-Average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Total Number of Shares Purchased as Part of Publicly Announced Plans or Programs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Maximum Number (or Approximate Dollar Value) of Shares that May Yet Be Purchased Under the Plans or Programs</w:t>
            </w:r>
          </w:p>
        </w:tc>
      </w:tr>
      <w:tr>
        <w:trPr/>
        <w:tc>
          <w:tcPr>
            <w:tcW w:w="1031"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January 1 - 31, 2023</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69,801 </w:t>
            </w:r>
          </w:p>
        </w:tc>
        <w:tc>
          <w:tcPr>
            <w:tcW w:w="472" w:type="dxa"/>
            <w:tcBorders>
              <w:top w:val="single" w:sz="8" w:space="0" w:color="131E29"/>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72" w:type="dxa"/>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27.16 </w:t>
            </w:r>
          </w:p>
        </w:tc>
        <w:tc>
          <w:tcPr>
            <w:tcW w:w="232" w:type="dxa"/>
            <w:tcBorders>
              <w:top w:val="single" w:sz="8" w:space="0" w:color="131E29"/>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top w:val="single" w:sz="8" w:space="0" w:color="131E29"/>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6" w:type="dxa"/>
            <w:gridSpan w:val="3"/>
            <w:tcBorders>
              <w:top w:val="single" w:sz="8" w:space="0" w:color="131E29"/>
            </w:tcBorders>
            <w:shd w:fill="auto" w:val="clear"/>
            <w:tcMar>
              <w:top w:w="3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February 1 - 28,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4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March 1 - 31,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4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131E29"/>
              </w:rPr>
            </w:pPr>
            <w:r>
              <w:rPr>
                <w:color w:val="131E29"/>
              </w:rPr>
              <w:t>— </w:t>
            </w:r>
          </w:p>
        </w:tc>
        <w:tc>
          <w:tcPr>
            <w:tcW w:w="23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N/A</w:t>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2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_________________</w:t>
      </w:r>
    </w:p>
    <w:p>
      <w:pPr>
        <w:pStyle w:val="TextBody"/>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restricted stock units granted pursuant to the Dutch Bros Inc. 2021 Equity Incentive Plan, as amended, shares of Class A common stock are delivered to Dutch Bros by employees to satisfy tax withholding obligations.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363220"/>
                <wp:effectExtent l="0" t="0" r="0" b="0"/>
                <wp:wrapNone/>
                <wp:docPr id="282" name="Frame94"/>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8"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8"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3. DEFAULTS UPON SENIOR SECURITIES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4. MINE SAFETY DISCLOSURES</w:t>
      </w:r>
    </w:p>
    <w:p>
      <w:pPr>
        <w:pStyle w:val="TextBody"/>
        <w:spacing w:lineRule="auto" w:line="288" w:before="0" w:after="180"/>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Arial;sans-serif" w:hAnsi="Arial;sans-serif"/>
          <w:b/>
          <w:color w:val="D7282F"/>
          <w:sz w:val="28"/>
        </w:rPr>
      </w:pPr>
      <w:r>
        <w:rPr>
          <w:rFonts w:ascii="Arial;sans-serif" w:hAnsi="Arial;sans-serif"/>
          <w:b/>
          <w:color w:val="D7282F"/>
          <w:sz w:val="28"/>
        </w:rPr>
        <w:t>ITEM 5. OTHER INFORMATION</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363220"/>
                <wp:effectExtent l="0" t="0" r="0" b="0"/>
                <wp:wrapNone/>
                <wp:docPr id="285" name="Frame95"/>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8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9"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8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9"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v:textbox>
              </v:rect>
            </w:pict>
          </mc:Fallback>
        </mc:AlternateContent>
      </w:r>
    </w:p>
    <w:p>
      <w:pPr>
        <w:pStyle w:val="TextBody"/>
        <w:spacing w:lineRule="auto" w:line="288" w:before="0" w:after="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0"/>
        <w:rPr>
          <w:rFonts w:ascii="Arial;sans-serif" w:hAnsi="Arial;sans-serif"/>
          <w:b/>
          <w:color w:val="D7282F"/>
          <w:sz w:val="28"/>
        </w:rPr>
      </w:pPr>
      <w:r>
        <w:rPr>
          <w:rFonts w:ascii="Arial;sans-serif" w:hAnsi="Arial;sans-serif"/>
          <w:b/>
          <w:color w:val="D7282F"/>
          <w:sz w:val="28"/>
        </w:rPr>
        <w:t>ITEM 6. EXHIBITS</w:t>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spacing w:lineRule="auto" w:line="288" w:before="0" w:after="60"/>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539" w:type="dxa"/>
        <w:jc w:val="left"/>
        <w:tblInd w:w="0" w:type="dxa"/>
        <w:tblCellMar>
          <w:top w:w="28" w:type="dxa"/>
          <w:left w:w="28" w:type="dxa"/>
          <w:bottom w:w="28" w:type="dxa"/>
          <w:right w:w="28" w:type="dxa"/>
        </w:tblCellMar>
      </w:tblPr>
      <w:tblGrid>
        <w:gridCol w:w="314"/>
        <w:gridCol w:w="276"/>
        <w:gridCol w:w="277"/>
        <w:gridCol w:w="109"/>
        <w:gridCol w:w="109"/>
        <w:gridCol w:w="109"/>
        <w:gridCol w:w="1539"/>
        <w:gridCol w:w="1346"/>
        <w:gridCol w:w="1360"/>
        <w:gridCol w:w="111"/>
        <w:gridCol w:w="111"/>
        <w:gridCol w:w="111"/>
        <w:gridCol w:w="176"/>
        <w:gridCol w:w="176"/>
        <w:gridCol w:w="177"/>
        <w:gridCol w:w="340"/>
        <w:gridCol w:w="264"/>
        <w:gridCol w:w="204"/>
        <w:gridCol w:w="220"/>
        <w:gridCol w:w="220"/>
        <w:gridCol w:w="221"/>
        <w:gridCol w:w="111"/>
        <w:gridCol w:w="111"/>
        <w:gridCol w:w="111"/>
        <w:gridCol w:w="383"/>
        <w:gridCol w:w="383"/>
        <w:gridCol w:w="388"/>
        <w:gridCol w:w="109"/>
        <w:gridCol w:w="109"/>
        <w:gridCol w:w="109"/>
        <w:gridCol w:w="275"/>
        <w:gridCol w:w="275"/>
        <w:gridCol w:w="405"/>
      </w:tblGrid>
      <w:tr>
        <w:trPr/>
        <w:tc>
          <w:tcPr>
            <w:tcW w:w="31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8" w:type="dxa"/>
            <w:gridSpan w:val="18"/>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16"/>
              </w:rPr>
            </w:pPr>
            <w:r>
              <w:rPr>
                <w:rFonts w:ascii="Arial;sans-serif" w:hAnsi="Arial;sans-serif"/>
                <w:b/>
                <w:color w:val="131E29"/>
                <w:sz w:val="16"/>
              </w:rPr>
              <w:t>Description</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8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67"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180"/>
              <w:jc w:val="left"/>
              <w:rPr/>
            </w:pPr>
            <w:hyperlink r:id="rId101">
              <w:r>
                <w:rPr>
                  <w:rStyle w:val="InternetLink"/>
                  <w:rFonts w:ascii="Arial;sans-serif" w:hAnsi="Arial;sans-serif"/>
                  <w:b w:val="false"/>
                  <w:color w:val="0000FF"/>
                  <w:sz w:val="18"/>
                  <w:u w:val="single"/>
                </w:rPr>
                <w:t>Amended and Restated Certificate of Incorporation of Registrant</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808"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D2DCE5"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top w:val="single" w:sz="8" w:space="0" w:color="000000"/>
            </w:tcBorders>
            <w:shd w:fill="D2DCE5"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r:id="rId102">
              <w:r>
                <w:rPr>
                  <w:rStyle w:val="InternetLink"/>
                  <w:rFonts w:ascii="Arial;sans-serif" w:hAnsi="Arial;sans-serif"/>
                  <w:b w:val="false"/>
                  <w:color w:val="0000FF"/>
                  <w:sz w:val="18"/>
                  <w:u w:val="single"/>
                </w:rPr>
                <w:t>Amended and Restated Bylaws of Registrant</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80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hyperlink r:id="rId103">
              <w:r>
                <w:rPr>
                  <w:rStyle w:val="InternetLink"/>
                  <w:rFonts w:ascii="Arial;sans-serif" w:hAnsi="Arial;sans-serif"/>
                  <w:b w:val="false"/>
                  <w:color w:val="0000FF"/>
                  <w:sz w:val="18"/>
                  <w:u w:val="single"/>
                </w:rPr>
                <w:t>Form of Common Stock Certificate</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808"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13, 2021</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w:anchor="exh311-2023q1.htm">
              <w:r>
                <w:rPr>
                  <w:rStyle w:val="InternetLink"/>
                  <w:rFonts w:ascii="Arial;sans-serif" w:hAnsi="Arial;sans-serif"/>
                  <w:b w:val="false"/>
                  <w:color w:val="0000FF"/>
                  <w:sz w:val="18"/>
                  <w:u w:val="single"/>
                </w:rPr>
                <w:t>Certification of Chief Executive Officer Pursuant to Rules 13a-14(a) and 15d-14(a) of the Securities Exchange Act of 1934, as Adopted Pursuant to Section 302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88" w:before="0" w:after="180"/>
              <w:jc w:val="left"/>
              <w:rPr/>
            </w:pPr>
            <w:hyperlink w:anchor="exh312-2023q1.htm">
              <w:r>
                <w:rPr>
                  <w:rStyle w:val="InternetLink"/>
                  <w:rFonts w:ascii="Arial;sans-serif" w:hAnsi="Arial;sans-serif"/>
                  <w:b w:val="false"/>
                  <w:color w:val="0000FF"/>
                  <w:sz w:val="18"/>
                  <w:u w:val="single"/>
                </w:rPr>
                <w:t>Certification of Chief Financial Officer Pursuant to Rules 13a-14(a) and 15d-14(a) of the Securities Exchange Act of 1934, as Adopted Pursuant to Section 302 of the Sarbanes-Oxley Act of 2002</w:t>
              </w:r>
            </w:hyperlink>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hyperlink w:anchor="exh321-2023q1.htm">
              <w:r>
                <w:rPr>
                  <w:rStyle w:val="InternetLink"/>
                  <w:rFonts w:ascii="Arial;sans-serif" w:hAnsi="Arial;sans-serif"/>
                  <w:b w:val="false"/>
                  <w:color w:val="0000FF"/>
                  <w:sz w:val="18"/>
                  <w:u w:val="single"/>
                </w:rPr>
                <w:t>Certifications of Chief Executive Officer and Chief Financial Officer Pursuant to 18 U.S.C. Section 1350, as Adopted Pursuant to Section 906 of the Sarbanes-Oxley Act of 2002</w:t>
              </w:r>
            </w:hyperlink>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7"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5" w:type="dxa"/>
            <w:gridSpan w:val="3"/>
            <w:tcBorders/>
            <w:shd w:fill="D2DCE5"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5" w:type="dxa"/>
            <w:gridSpan w:val="3"/>
            <w:tcBorders/>
            <w:shd w:fill="D2DCE5"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spacing w:lineRule="auto" w:line="288" w:before="0" w:after="180"/>
        <w:rPr>
          <w:rFonts w:ascii="Arial;sans-serif" w:hAnsi="Arial;sans-serif"/>
          <w:b w:val="false"/>
          <w:color w:val="131E29"/>
          <w:sz w:val="16"/>
        </w:rPr>
      </w:pPr>
      <w:r>
        <w:rPr>
          <w:rFonts w:ascii="Arial;sans-serif" w:hAnsi="Arial;sans-serif"/>
          <w:b w:val="false"/>
          <w:color w:val="131E29"/>
          <w:sz w:val="16"/>
        </w:rPr>
        <w:t>_______________________</w:t>
      </w:r>
    </w:p>
    <w:p>
      <w:pPr>
        <w:pStyle w:val="TextBody"/>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363220"/>
                <wp:effectExtent l="0" t="0" r="0" b="0"/>
                <wp:wrapNone/>
                <wp:docPr id="288" name="Frame96"/>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rPr/>
                            </w:pPr>
                            <w:r>
                              <w:rPr/>
                              <w:drawing>
                                <wp:inline distT="0" distB="63500" distL="0" distR="0">
                                  <wp:extent cx="190500" cy="266700"/>
                                  <wp:effectExtent l="0" t="0" r="0" b="0"/>
                                  <wp:docPr id="28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00"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pPr>
                      <w:r>
                        <w:rPr/>
                        <w:drawing>
                          <wp:inline distT="0" distB="63500" distL="0" distR="0">
                            <wp:extent cx="190500" cy="266700"/>
                            <wp:effectExtent l="0" t="0" r="0" b="0"/>
                            <wp:docPr id="29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00"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v:textbox>
              </v:rect>
            </w:pict>
          </mc:Fallback>
        </mc:AlternateContent>
      </w:r>
    </w:p>
    <w:p>
      <w:pPr>
        <w:pStyle w:val="TextBody"/>
        <w:spacing w:lineRule="auto" w:line="288" w:before="0" w:after="180"/>
        <w:rPr/>
      </w:pPr>
      <w:hyperlink w:anchor="i9d17d679e8a944b29dbd8577bcf2de08_16">
        <w:r>
          <w:rPr>
            <w:rStyle w:val="InternetLink"/>
          </w:rPr>
          <w:t xml:space="preserve">Table </w:t>
        </w:r>
      </w:hyperlink>
      <w:hyperlink w:anchor="i9d17d679e8a944b29dbd8577bcf2de08_16">
        <w:r>
          <w:rPr>
            <w:rStyle w:val="InternetLink"/>
          </w:rPr>
          <w:t>of</w:t>
        </w:r>
      </w:hyperlink>
      <w:hyperlink w:anchor="i9d17d679e8a944b29dbd8577bcf2de08_16">
        <w:r>
          <w:rPr>
            <w:rStyle w:val="InternetLink"/>
          </w:rPr>
          <w:t xml:space="preserve"> Contents</w:t>
        </w:r>
      </w:hyperlink>
    </w:p>
    <w:p>
      <w:pPr>
        <w:pStyle w:val="TextBody"/>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Pursuant to the requirements of the Securities Exchange Act of 1934, the Registrant has duly caused this report to be signed on its behalf by the undersigned thereunto duly authorized. </w:t>
      </w:r>
    </w:p>
    <w:tbl>
      <w:tblPr>
        <w:tblW w:w="6419" w:type="dxa"/>
        <w:jc w:val="right"/>
        <w:tblInd w:w="0" w:type="dxa"/>
        <w:tblCellMar>
          <w:top w:w="28" w:type="dxa"/>
          <w:left w:w="28" w:type="dxa"/>
          <w:bottom w:w="28" w:type="dxa"/>
          <w:right w:w="28" w:type="dxa"/>
        </w:tblCellMar>
      </w:tblPr>
      <w:tblGrid>
        <w:gridCol w:w="471"/>
        <w:gridCol w:w="416"/>
        <w:gridCol w:w="418"/>
        <w:gridCol w:w="109"/>
        <w:gridCol w:w="109"/>
        <w:gridCol w:w="109"/>
        <w:gridCol w:w="291"/>
        <w:gridCol w:w="291"/>
        <w:gridCol w:w="291"/>
        <w:gridCol w:w="1139"/>
        <w:gridCol w:w="1139"/>
        <w:gridCol w:w="1636"/>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7"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(Registrant)</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131E29"/>
              </w:rPr>
            </w:pPr>
            <w:r>
              <w:rPr>
                <w:color w:val="131E29"/>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By:</w:t>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color w:val="131E29"/>
                <w:sz w:val="20"/>
              </w:rPr>
            </w:pPr>
            <w:r>
              <w:rPr>
                <w:rFonts w:ascii="Arial;sans-serif" w:hAnsi="Arial;sans-serif"/>
                <w:b/>
                <w:color w:val="131E29"/>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Arial;sans-serif" w:hAnsi="Arial;sans-serif"/>
                <w:b w:val="false"/>
                <w:i/>
                <w:color w:val="131E29"/>
                <w:sz w:val="20"/>
              </w:rPr>
            </w:pPr>
            <w:r>
              <w:rPr>
                <w:rFonts w:ascii="Arial;sans-serif" w:hAnsi="Arial;sans-serif"/>
                <w:b w:val="false"/>
                <w:i/>
                <w:color w:val="131E29"/>
                <w:sz w:val="20"/>
              </w:rPr>
              <w:t>(Principal Financial and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31.1</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363220"/>
                <wp:effectExtent l="0" t="0" r="0" b="0"/>
                <wp:wrapNone/>
                <wp:docPr id="291" name="Frame97"/>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9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01"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448.6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93"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01"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10-Q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Jonathan Ricci, certify that:</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March 31, 2023 of Dutch Bros Inc.;</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tbl>
      <w:tblPr>
        <w:tblW w:w="4554"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758"/>
        <w:gridCol w:w="758"/>
        <w:gridCol w:w="1079"/>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31.2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363220"/>
                <wp:effectExtent l="0" t="0" r="0" b="0"/>
                <wp:wrapNone/>
                <wp:docPr id="294" name="Frame98"/>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9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02"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448.6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9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02"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31.1</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I, Charles L. Jemley, certify that:</w:t>
      </w:r>
    </w:p>
    <w:p>
      <w:pPr>
        <w:pStyle w:val="TextBody"/>
        <w:spacing w:before="0" w:after="0"/>
        <w:jc w:val="both"/>
        <w:rPr/>
      </w:pPr>
      <w:r>
        <w:rPr/>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Quarterly Report on Form 10-Q for the period ended March 31, 2023 of Dutch Bros Inc.;</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spacing w:before="0" w:after="0"/>
        <w:jc w:val="both"/>
        <w:rPr/>
      </w:pPr>
      <w:r>
        <w:rPr/>
      </w:r>
    </w:p>
    <w:tbl>
      <w:tblPr>
        <w:tblW w:w="5873"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1143"/>
        <w:gridCol w:w="1143"/>
        <w:gridCol w:w="162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131E29"/>
          <w:sz w:val="18"/>
        </w:rPr>
      </w:pPr>
      <w:r>
        <w:rPr>
          <w:rFonts w:ascii="Arial;sans-serif" w:hAnsi="Arial;sans-serif"/>
          <w:b/>
          <w:color w:val="131E29"/>
          <w:sz w:val="18"/>
        </w:rPr>
        <w:t>E</w:t>
      </w:r>
      <w:r>
        <w:rPr>
          <w:rFonts w:ascii="Arial;sans-serif" w:hAnsi="Arial;sans-serif"/>
          <w:b/>
          <w:color w:val="131E29"/>
          <w:sz w:val="18"/>
        </w:rPr>
        <w:t>xhibit 32.1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363220"/>
                <wp:effectExtent l="0" t="0" r="0" b="0"/>
                <wp:wrapNone/>
                <wp:docPr id="297" name="Frame99"/>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29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3"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448.65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29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3"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31.2</w:t>
                      </w:r>
                    </w:p>
                  </w:txbxContent>
                </v:textbox>
              </v:rect>
            </w:pict>
          </mc:Fallback>
        </mc:AlternateContent>
      </w:r>
    </w:p>
    <w:p>
      <w:pPr>
        <w:pStyle w:val="TextBody"/>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Quarterly Report of Dutch Bros Inc. (the Company) on Form 10-Q for the period ended March 31, 2023, as filed with the Securities and Exchange Commission on the date of the signatures below (the Report), Jonathan Ricci, Chief Executive Officer of the Company, and Charles L. Jemley, Chief Financial Officer of the Company, each hereby certifies, pursuant to 18 U.S.C. Section 1350, as adopted pursuant to Section 906 of the Sarbanes-Oxley Act of 2002, that, to the best of their respective knowledge:</w:t>
      </w:r>
    </w:p>
    <w:p>
      <w:pPr>
        <w:pStyle w:val="TextBody"/>
        <w:spacing w:before="0" w:after="0"/>
        <w:rPr/>
      </w:pPr>
      <w:r>
        <w:rPr/>
      </w:r>
    </w:p>
    <w:p>
      <w:pPr>
        <w:pStyle w:val="TextBody"/>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spacing w:before="0" w:after="0"/>
        <w:jc w:val="both"/>
        <w:rPr/>
      </w:pPr>
      <w:r>
        <w:rPr/>
      </w:r>
    </w:p>
    <w:p>
      <w:pPr>
        <w:pStyle w:val="TextBody"/>
        <w:spacing w:before="0" w:after="0"/>
        <w:rPr/>
      </w:pPr>
      <w:r>
        <w:rPr/>
      </w:r>
    </w:p>
    <w:tbl>
      <w:tblPr>
        <w:tblW w:w="5873" w:type="dxa"/>
        <w:jc w:val="left"/>
        <w:tblInd w:w="0" w:type="dxa"/>
        <w:tblCellMar>
          <w:top w:w="28" w:type="dxa"/>
          <w:left w:w="28" w:type="dxa"/>
          <w:bottom w:w="28" w:type="dxa"/>
          <w:right w:w="28" w:type="dxa"/>
        </w:tblCellMar>
      </w:tblPr>
      <w:tblGrid>
        <w:gridCol w:w="471"/>
        <w:gridCol w:w="416"/>
        <w:gridCol w:w="418"/>
        <w:gridCol w:w="109"/>
        <w:gridCol w:w="109"/>
        <w:gridCol w:w="109"/>
        <w:gridCol w:w="109"/>
        <w:gridCol w:w="109"/>
        <w:gridCol w:w="109"/>
        <w:gridCol w:w="1143"/>
        <w:gridCol w:w="1143"/>
        <w:gridCol w:w="1628"/>
      </w:tblGrid>
      <w:tr>
        <w:trPr/>
        <w:tc>
          <w:tcPr>
            <w:tcW w:w="47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62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Jonathan Ricci</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Jonathan Ricci</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May 10,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 Charles L. Jemley</w:t>
            </w:r>
          </w:p>
        </w:tc>
      </w:tr>
      <w:tr>
        <w:trPr/>
        <w:tc>
          <w:tcPr>
            <w:tcW w:w="13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Charles L. Jemley</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spacing w:before="0" w:after="0"/>
        <w:rPr/>
      </w:pPr>
      <w:r>
        <w:rPr/>
      </w:r>
    </w:p>
    <w:p>
      <w:pPr>
        <w:pStyle w:val="TextBody"/>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363220"/>
                <wp:effectExtent l="0" t="0" r="0" b="0"/>
                <wp:wrapNone/>
                <wp:docPr id="300" name="Frame100"/>
                <a:graphic xmlns:a="http://schemas.openxmlformats.org/drawingml/2006/main">
                  <a:graphicData uri="http://schemas.microsoft.com/office/word/2010/wordprocessingShape">
                    <wps:wsp>
                      <wps:cNvSpPr txBox="1"/>
                      <wps:spPr>
                        <a:xfrm>
                          <a:off x="0" y="0"/>
                          <a:ext cx="6692265" cy="363220"/>
                        </a:xfrm>
                        <a:prstGeom prst="rect"/>
                      </wps:spPr>
                      <wps:txbx>
                        <w:txbxContent>
                          <w:p>
                            <w:pPr>
                              <w:pStyle w:val="TextBody"/>
                              <w:spacing w:lineRule="auto" w:line="288" w:before="0" w:after="0"/>
                              <w:jc w:val="right"/>
                              <w:rPr/>
                            </w:pPr>
                            <w:r>
                              <w:rPr/>
                              <w:drawing>
                                <wp:inline distT="0" distB="63500" distL="0" distR="0">
                                  <wp:extent cx="190500" cy="266700"/>
                                  <wp:effectExtent l="0" t="0" r="0" b="0"/>
                                  <wp:docPr id="30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4"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pPr>
                      <w:r>
                        <w:rPr/>
                        <w:drawing>
                          <wp:inline distT="0" distB="63500" distL="0" distR="0">
                            <wp:extent cx="190500" cy="266700"/>
                            <wp:effectExtent l="0" t="0" r="0" b="0"/>
                            <wp:docPr id="30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4"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32.1</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hyperlink" Target="https://www.sec.gov/Archives/edgar/data/0001866581/000162828021018861/exhibit31-8xk.htm" TargetMode="External"/><Relationship Id="rId102" Type="http://schemas.openxmlformats.org/officeDocument/2006/relationships/hyperlink" Target="https://www.sec.gov/Archives/edgar/data/1866581/000162828021017441/exhibit34-sx1.htm" TargetMode="External"/><Relationship Id="rId103" Type="http://schemas.openxmlformats.org/officeDocument/2006/relationships/hyperlink" Target="http://www.sec.gov/Archives/edgar/data/0001866581/000162828021018116/exhibit41.htm" TargetMode="External"/><Relationship Id="rId104" Type="http://schemas.openxmlformats.org/officeDocument/2006/relationships/image" Target="media/image100.jpeg"/><Relationship Id="rId105" Type="http://schemas.openxmlformats.org/officeDocument/2006/relationships/image" Target="media/image101.jpeg"/><Relationship Id="rId106" Type="http://schemas.openxmlformats.org/officeDocument/2006/relationships/image" Target="media/image102.jpeg"/><Relationship Id="rId107" Type="http://schemas.openxmlformats.org/officeDocument/2006/relationships/image" Target="media/image103.jpeg"/><Relationship Id="rId108" Type="http://schemas.openxmlformats.org/officeDocument/2006/relationships/image" Target="media/image104.jpeg"/><Relationship Id="rId109" Type="http://schemas.openxmlformats.org/officeDocument/2006/relationships/fontTable" Target="fontTable.xml"/><Relationship Id="rId1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47449</Words>
  <CharactersWithSpaces>304830</CharactersWithSpaces>
  <Paragraphs>3639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