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7" w:lineRule="exact"/>
        <w:rPr>
          <w:sz w:val="24"/>
          <w:szCs w:val="24"/>
          <w:color w:val="auto"/>
        </w:rPr>
      </w:pPr>
    </w:p>
    <w:p>
      <w:pPr>
        <w:ind w:left="3980"/>
        <w:spacing w:after="0"/>
        <w:rPr>
          <w:sz w:val="20"/>
          <w:szCs w:val="20"/>
          <w:color w:val="auto"/>
        </w:rPr>
      </w:pPr>
      <w:r>
        <w:rPr>
          <w:rFonts w:ascii="Arial" w:cs="Arial" w:eastAsia="Arial" w:hAnsi="Arial"/>
          <w:sz w:val="11"/>
          <w:szCs w:val="11"/>
          <w:b w:val="1"/>
          <w:bCs w:val="1"/>
          <w:color w:val="auto"/>
        </w:rPr>
        <w:t>_______________________________________________________</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51" w:lineRule="exact"/>
        <w:rPr>
          <w:sz w:val="24"/>
          <w:szCs w:val="24"/>
          <w:color w:val="auto"/>
        </w:rPr>
      </w:pPr>
    </w:p>
    <w:p>
      <w:pPr>
        <w:ind w:left="3980"/>
        <w:spacing w:after="0"/>
        <w:rPr>
          <w:sz w:val="20"/>
          <w:szCs w:val="20"/>
          <w:color w:val="auto"/>
        </w:rPr>
      </w:pPr>
      <w:r>
        <w:rPr>
          <w:rFonts w:ascii="Arial" w:cs="Arial" w:eastAsia="Arial" w:hAnsi="Arial"/>
          <w:sz w:val="11"/>
          <w:szCs w:val="11"/>
          <w:b w:val="1"/>
          <w:bCs w:val="1"/>
          <w:color w:val="auto"/>
        </w:rPr>
        <w:t>_______________________________________________________</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Pursuant to Section 13 OR 15(d) of The Securities Exchange Act of 1934</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Date of Report (Date of earliest event reported): November 4, 2026</w:t>
      </w:r>
    </w:p>
    <w:p>
      <w:pPr>
        <w:spacing w:after="0" w:line="13" w:lineRule="exact"/>
        <w:rPr>
          <w:sz w:val="24"/>
          <w:szCs w:val="24"/>
          <w:color w:val="auto"/>
        </w:rPr>
      </w:pPr>
    </w:p>
    <w:p>
      <w:pPr>
        <w:ind w:left="3980"/>
        <w:spacing w:after="0"/>
        <w:rPr>
          <w:sz w:val="20"/>
          <w:szCs w:val="20"/>
          <w:color w:val="auto"/>
        </w:rPr>
      </w:pPr>
      <w:r>
        <w:rPr>
          <w:rFonts w:ascii="Arial" w:cs="Arial" w:eastAsia="Arial" w:hAnsi="Arial"/>
          <w:sz w:val="11"/>
          <w:szCs w:val="11"/>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7620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DUTCH BROS INC.</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980"/>
        <w:spacing w:after="0"/>
        <w:rPr>
          <w:sz w:val="20"/>
          <w:szCs w:val="20"/>
          <w:color w:val="auto"/>
        </w:rPr>
      </w:pPr>
      <w:r>
        <w:rPr>
          <w:rFonts w:ascii="Arial" w:cs="Arial" w:eastAsia="Arial" w:hAnsi="Arial"/>
          <w:sz w:val="11"/>
          <w:szCs w:val="11"/>
          <w:b w:val="1"/>
          <w:bCs w:val="1"/>
          <w:color w:val="auto"/>
        </w:rPr>
        <w:t>_______________________________________________________</w:t>
      </w:r>
    </w:p>
    <w:p>
      <w:pPr>
        <w:spacing w:after="0" w:line="209" w:lineRule="exact"/>
        <w:rPr>
          <w:sz w:val="24"/>
          <w:szCs w:val="24"/>
          <w:color w:val="auto"/>
        </w:rPr>
      </w:pPr>
    </w:p>
    <w:tbl>
      <w:tblPr>
        <w:tblLayout w:type="fixed"/>
        <w:tblInd w:w="1840" w:type="dxa"/>
        <w:tblCellMar>
          <w:top w:w="0" w:type="dxa"/>
          <w:left w:w="0" w:type="dxa"/>
          <w:bottom w:w="0" w:type="dxa"/>
          <w:right w:w="0" w:type="dxa"/>
        </w:tblCellMar>
      </w:tblPr>
      <w:tr>
        <w:trPr>
          <w:trHeight w:val="247"/>
        </w:trPr>
        <w:tc>
          <w:tcPr>
            <w:tcW w:w="2780" w:type="dxa"/>
            <w:vAlign w:val="bottom"/>
          </w:tcPr>
          <w:p>
            <w:pPr>
              <w:jc w:val="center"/>
              <w:ind w:right="580"/>
              <w:spacing w:after="0"/>
              <w:rPr>
                <w:sz w:val="20"/>
                <w:szCs w:val="20"/>
                <w:color w:val="auto"/>
              </w:rPr>
            </w:pPr>
            <w:r>
              <w:rPr>
                <w:rFonts w:ascii="Arial" w:cs="Arial" w:eastAsia="Arial" w:hAnsi="Arial"/>
                <w:sz w:val="18"/>
                <w:szCs w:val="18"/>
                <w:b w:val="1"/>
                <w:bCs w:val="1"/>
                <w:color w:val="auto"/>
              </w:rPr>
              <w:t>Delaware</w:t>
            </w:r>
          </w:p>
        </w:tc>
        <w:tc>
          <w:tcPr>
            <w:tcW w:w="2420" w:type="dxa"/>
            <w:vAlign w:val="bottom"/>
          </w:tcPr>
          <w:p>
            <w:pPr>
              <w:ind w:left="680"/>
              <w:spacing w:after="0"/>
              <w:rPr>
                <w:sz w:val="20"/>
                <w:szCs w:val="20"/>
                <w:color w:val="auto"/>
              </w:rPr>
            </w:pPr>
            <w:r>
              <w:rPr>
                <w:rFonts w:ascii="Arial" w:cs="Arial" w:eastAsia="Arial" w:hAnsi="Arial"/>
                <w:sz w:val="18"/>
                <w:szCs w:val="18"/>
                <w:b w:val="1"/>
                <w:bCs w:val="1"/>
                <w:color w:val="auto"/>
              </w:rPr>
              <w:t>001-40798</w:t>
            </w:r>
          </w:p>
        </w:tc>
        <w:tc>
          <w:tcPr>
            <w:tcW w:w="1980" w:type="dxa"/>
            <w:vAlign w:val="bottom"/>
          </w:tcPr>
          <w:p>
            <w:pPr>
              <w:jc w:val="right"/>
              <w:ind w:right="1"/>
              <w:spacing w:after="0"/>
              <w:rPr>
                <w:sz w:val="20"/>
                <w:szCs w:val="20"/>
                <w:color w:val="auto"/>
              </w:rPr>
            </w:pPr>
            <w:r>
              <w:rPr>
                <w:rFonts w:ascii="Arial" w:cs="Arial" w:eastAsia="Arial" w:hAnsi="Arial"/>
                <w:sz w:val="18"/>
                <w:szCs w:val="18"/>
                <w:b w:val="1"/>
                <w:bCs w:val="1"/>
                <w:color w:val="auto"/>
              </w:rPr>
              <w:t>87-1041305</w:t>
            </w:r>
          </w:p>
        </w:tc>
        <w:tc>
          <w:tcPr>
            <w:tcW w:w="0" w:type="dxa"/>
            <w:vAlign w:val="bottom"/>
          </w:tcPr>
          <w:p>
            <w:pPr>
              <w:spacing w:after="0"/>
              <w:rPr>
                <w:sz w:val="1"/>
                <w:szCs w:val="1"/>
                <w:color w:val="auto"/>
              </w:rPr>
            </w:pPr>
          </w:p>
        </w:tc>
      </w:tr>
      <w:tr>
        <w:trPr>
          <w:trHeight w:val="181"/>
        </w:trPr>
        <w:tc>
          <w:tcPr>
            <w:tcW w:w="2780" w:type="dxa"/>
            <w:vAlign w:val="bottom"/>
          </w:tcPr>
          <w:p>
            <w:pPr>
              <w:jc w:val="center"/>
              <w:ind w:right="580"/>
              <w:spacing w:after="0"/>
              <w:rPr>
                <w:sz w:val="20"/>
                <w:szCs w:val="20"/>
                <w:color w:val="auto"/>
              </w:rPr>
            </w:pPr>
            <w:r>
              <w:rPr>
                <w:rFonts w:ascii="Arial" w:cs="Arial" w:eastAsia="Arial" w:hAnsi="Arial"/>
                <w:sz w:val="14"/>
                <w:szCs w:val="14"/>
                <w:color w:val="auto"/>
              </w:rPr>
              <w:t>(State or other jurisdiction of</w:t>
            </w:r>
          </w:p>
        </w:tc>
        <w:tc>
          <w:tcPr>
            <w:tcW w:w="2420" w:type="dxa"/>
            <w:vAlign w:val="bottom"/>
            <w:vMerge w:val="restart"/>
          </w:tcPr>
          <w:p>
            <w:pPr>
              <w:ind w:left="700"/>
              <w:spacing w:after="0"/>
              <w:rPr>
                <w:sz w:val="20"/>
                <w:szCs w:val="20"/>
                <w:color w:val="auto"/>
              </w:rPr>
            </w:pPr>
            <w:r>
              <w:rPr>
                <w:rFonts w:ascii="Arial" w:cs="Arial" w:eastAsia="Arial" w:hAnsi="Arial"/>
                <w:sz w:val="14"/>
                <w:szCs w:val="14"/>
                <w:color w:val="auto"/>
              </w:rPr>
              <w:t>(Commission</w:t>
            </w:r>
          </w:p>
        </w:tc>
        <w:tc>
          <w:tcPr>
            <w:tcW w:w="1980" w:type="dxa"/>
            <w:vAlign w:val="bottom"/>
          </w:tcPr>
          <w:p>
            <w:pPr>
              <w:jc w:val="center"/>
              <w:ind w:left="781"/>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27"/>
        </w:trPr>
        <w:tc>
          <w:tcPr>
            <w:tcW w:w="2780" w:type="dxa"/>
            <w:vAlign w:val="bottom"/>
            <w:vMerge w:val="restart"/>
          </w:tcPr>
          <w:p>
            <w:pPr>
              <w:jc w:val="center"/>
              <w:ind w:right="580"/>
              <w:spacing w:after="0"/>
              <w:rPr>
                <w:sz w:val="20"/>
                <w:szCs w:val="20"/>
                <w:color w:val="auto"/>
              </w:rPr>
            </w:pPr>
            <w:r>
              <w:rPr>
                <w:rFonts w:ascii="Arial" w:cs="Arial" w:eastAsia="Arial" w:hAnsi="Arial"/>
                <w:sz w:val="14"/>
                <w:szCs w:val="14"/>
                <w:color w:val="auto"/>
              </w:rPr>
              <w:t>incorporation)</w:t>
            </w:r>
          </w:p>
        </w:tc>
        <w:tc>
          <w:tcPr>
            <w:tcW w:w="2420" w:type="dxa"/>
            <w:vAlign w:val="bottom"/>
            <w:vMerge w:val="continue"/>
          </w:tcPr>
          <w:p>
            <w:pPr>
              <w:spacing w:after="0"/>
              <w:rPr>
                <w:sz w:val="2"/>
                <w:szCs w:val="2"/>
                <w:color w:val="auto"/>
              </w:rPr>
            </w:pPr>
          </w:p>
        </w:tc>
        <w:tc>
          <w:tcPr>
            <w:tcW w:w="1980" w:type="dxa"/>
            <w:vAlign w:val="bottom"/>
            <w:vMerge w:val="restart"/>
          </w:tcPr>
          <w:p>
            <w:pPr>
              <w:jc w:val="center"/>
              <w:ind w:left="781"/>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line="20" w:lineRule="exact"/>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2420" w:type="dxa"/>
            <w:vAlign w:val="bottom"/>
          </w:tcPr>
          <w:p>
            <w:pPr>
              <w:ind w:left="700"/>
              <w:spacing w:after="0"/>
              <w:rPr>
                <w:sz w:val="20"/>
                <w:szCs w:val="20"/>
                <w:color w:val="auto"/>
              </w:rPr>
            </w:pPr>
            <w:r>
              <w:rPr>
                <w:rFonts w:ascii="Arial" w:cs="Arial" w:eastAsia="Arial" w:hAnsi="Arial"/>
                <w:sz w:val="14"/>
                <w:szCs w:val="14"/>
                <w:color w:val="auto"/>
              </w:rPr>
              <w:t>File Number)</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780" w:type="dxa"/>
            <w:vAlign w:val="bottom"/>
          </w:tcPr>
          <w:p>
            <w:pPr>
              <w:jc w:val="center"/>
              <w:ind w:right="580"/>
              <w:spacing w:after="0"/>
              <w:rPr>
                <w:sz w:val="20"/>
                <w:szCs w:val="20"/>
                <w:color w:val="auto"/>
              </w:rPr>
            </w:pPr>
            <w:r>
              <w:rPr>
                <w:rFonts w:ascii="Arial" w:cs="Arial" w:eastAsia="Arial" w:hAnsi="Arial"/>
                <w:sz w:val="18"/>
                <w:szCs w:val="18"/>
                <w:b w:val="1"/>
                <w:bCs w:val="1"/>
                <w:color w:val="auto"/>
              </w:rPr>
              <w:t>1930 W Rio Salado Pkwy</w:t>
            </w:r>
          </w:p>
        </w:tc>
        <w:tc>
          <w:tcPr>
            <w:tcW w:w="24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780" w:type="dxa"/>
            <w:vAlign w:val="bottom"/>
          </w:tcPr>
          <w:p>
            <w:pPr>
              <w:jc w:val="center"/>
              <w:ind w:right="580"/>
              <w:spacing w:after="0"/>
              <w:rPr>
                <w:sz w:val="20"/>
                <w:szCs w:val="20"/>
                <w:color w:val="auto"/>
              </w:rPr>
            </w:pPr>
            <w:r>
              <w:rPr>
                <w:rFonts w:ascii="Arial" w:cs="Arial" w:eastAsia="Arial" w:hAnsi="Arial"/>
                <w:sz w:val="18"/>
                <w:szCs w:val="18"/>
                <w:b w:val="1"/>
                <w:bCs w:val="1"/>
                <w:color w:val="auto"/>
                <w:w w:val="98"/>
              </w:rPr>
              <w:t>Tempe, Arizona</w:t>
            </w:r>
          </w:p>
        </w:tc>
        <w:tc>
          <w:tcPr>
            <w:tcW w:w="2420" w:type="dxa"/>
            <w:vAlign w:val="bottom"/>
          </w:tcPr>
          <w:p>
            <w:pPr>
              <w:spacing w:after="0"/>
              <w:rPr>
                <w:sz w:val="23"/>
                <w:szCs w:val="23"/>
                <w:color w:val="auto"/>
              </w:rPr>
            </w:pPr>
          </w:p>
        </w:tc>
        <w:tc>
          <w:tcPr>
            <w:tcW w:w="1980" w:type="dxa"/>
            <w:vAlign w:val="bottom"/>
          </w:tcPr>
          <w:p>
            <w:pPr>
              <w:jc w:val="right"/>
              <w:ind w:right="241"/>
              <w:spacing w:after="0"/>
              <w:rPr>
                <w:sz w:val="20"/>
                <w:szCs w:val="20"/>
                <w:color w:val="auto"/>
              </w:rPr>
            </w:pPr>
            <w:r>
              <w:rPr>
                <w:rFonts w:ascii="Arial" w:cs="Arial" w:eastAsia="Arial" w:hAnsi="Arial"/>
                <w:sz w:val="18"/>
                <w:szCs w:val="18"/>
                <w:b w:val="1"/>
                <w:bCs w:val="1"/>
                <w:color w:val="auto"/>
              </w:rPr>
              <w:t>85281</w:t>
            </w:r>
          </w:p>
        </w:tc>
        <w:tc>
          <w:tcPr>
            <w:tcW w:w="0" w:type="dxa"/>
            <w:vAlign w:val="bottom"/>
          </w:tcPr>
          <w:p>
            <w:pPr>
              <w:spacing w:after="0"/>
              <w:rPr>
                <w:sz w:val="1"/>
                <w:szCs w:val="1"/>
                <w:color w:val="auto"/>
              </w:rPr>
            </w:pPr>
          </w:p>
        </w:tc>
      </w:tr>
      <w:tr>
        <w:trPr>
          <w:trHeight w:val="148"/>
        </w:trPr>
        <w:tc>
          <w:tcPr>
            <w:tcW w:w="2780" w:type="dxa"/>
            <w:vAlign w:val="bottom"/>
          </w:tcPr>
          <w:p>
            <w:pPr>
              <w:jc w:val="center"/>
              <w:ind w:right="620"/>
              <w:spacing w:after="0" w:line="149" w:lineRule="exact"/>
              <w:rPr>
                <w:sz w:val="20"/>
                <w:szCs w:val="20"/>
                <w:color w:val="auto"/>
              </w:rPr>
            </w:pPr>
            <w:r>
              <w:rPr>
                <w:rFonts w:ascii="Arial" w:cs="Arial" w:eastAsia="Arial" w:hAnsi="Arial"/>
                <w:sz w:val="14"/>
                <w:szCs w:val="14"/>
                <w:color w:val="auto"/>
              </w:rPr>
              <w:t>(Address of principal</w:t>
            </w:r>
          </w:p>
        </w:tc>
        <w:tc>
          <w:tcPr>
            <w:tcW w:w="2420" w:type="dxa"/>
            <w:vAlign w:val="bottom"/>
          </w:tcPr>
          <w:p>
            <w:pPr>
              <w:spacing w:after="0"/>
              <w:rPr>
                <w:sz w:val="12"/>
                <w:szCs w:val="12"/>
                <w:color w:val="auto"/>
              </w:rPr>
            </w:pPr>
          </w:p>
        </w:tc>
        <w:tc>
          <w:tcPr>
            <w:tcW w:w="1980" w:type="dxa"/>
            <w:vAlign w:val="bottom"/>
            <w:vMerge w:val="restart"/>
          </w:tcPr>
          <w:p>
            <w:pPr>
              <w:jc w:val="center"/>
              <w:ind w:left="781"/>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90"/>
        </w:trPr>
        <w:tc>
          <w:tcPr>
            <w:tcW w:w="2780" w:type="dxa"/>
            <w:vAlign w:val="bottom"/>
          </w:tcPr>
          <w:p>
            <w:pPr>
              <w:jc w:val="center"/>
              <w:ind w:right="580"/>
              <w:spacing w:after="0"/>
              <w:rPr>
                <w:sz w:val="20"/>
                <w:szCs w:val="20"/>
                <w:color w:val="auto"/>
              </w:rPr>
            </w:pPr>
            <w:r>
              <w:rPr>
                <w:rFonts w:ascii="Arial" w:cs="Arial" w:eastAsia="Arial" w:hAnsi="Arial"/>
                <w:sz w:val="14"/>
                <w:szCs w:val="14"/>
                <w:color w:val="auto"/>
              </w:rPr>
              <w:t>executive offices)</w:t>
            </w:r>
          </w:p>
        </w:tc>
        <w:tc>
          <w:tcPr>
            <w:tcW w:w="242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(877) 899-2767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7"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560" w:hanging="534"/>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560" w:hanging="534"/>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560" w:hanging="534"/>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Exchange on which Registered</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8"/>
                <w:szCs w:val="18"/>
                <w:color w:val="auto"/>
              </w:rPr>
              <w:t>Class A Common Stock,</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BROS</w:t>
            </w: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The New York Stock Exchange</w:t>
            </w:r>
          </w:p>
        </w:tc>
        <w:tc>
          <w:tcPr>
            <w:tcW w:w="0" w:type="dxa"/>
            <w:vAlign w:val="bottom"/>
          </w:tcPr>
          <w:p>
            <w:pPr>
              <w:spacing w:after="0"/>
              <w:rPr>
                <w:sz w:val="1"/>
                <w:szCs w:val="1"/>
                <w:color w:val="auto"/>
              </w:rPr>
            </w:pPr>
          </w:p>
        </w:tc>
      </w:tr>
      <w:tr>
        <w:trPr>
          <w:trHeight w:val="24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3740" w:type="dxa"/>
            <w:vAlign w:val="bottom"/>
            <w:tcBorders>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4"/>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21" w:right="319" w:bottom="1440" w:gutter="0" w:footer="0" w:header="0"/>
        </w:sectPr>
      </w:pPr>
    </w:p>
    <w:bookmarkStart w:id="1" w:name="page2"/>
    <w:bookmarkEnd w:id="1"/>
    <w:p>
      <w:pPr>
        <w:jc w:val="both"/>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130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83" w:lineRule="exact"/>
        <w:rPr>
          <w:sz w:val="20"/>
          <w:szCs w:val="20"/>
          <w:color w:val="auto"/>
        </w:rPr>
      </w:pPr>
    </w:p>
    <w:p>
      <w:pPr>
        <w:jc w:val="both"/>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4, 2026, Dutch Bros Inc., a Delaware corporation (the “Company”), announced its financial results for the third quarter ended September 30, 2026. A copy of the press release issued in connection with the announcement is furnished as Exhibit 99.1 to this Current Report on Form 8-K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included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by the Company under the Securities Act of 1933, as amended, or the Exchange Act, except as expressly set forth by specific reference in such a filing.</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71"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9"/>
        </w:trPr>
        <w:tc>
          <w:tcPr>
            <w:tcW w:w="2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0000FF"/>
            </w:tcBorders>
            <w:shd w:val="clear" w:color="auto" w:fill="D2DCE5"/>
          </w:tcPr>
          <w:p>
            <w:pPr>
              <w:spacing w:after="0" w:line="189" w:lineRule="exact"/>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820" w:type="dxa"/>
            <w:vAlign w:val="bottom"/>
            <w:tcBorders>
              <w:bottom w:val="single" w:sz="8" w:color="D2DCE5"/>
            </w:tcBorders>
            <w:shd w:val="clear" w:color="auto" w:fill="D2DCE5"/>
          </w:tcPr>
          <w:p>
            <w:pPr>
              <w:spacing w:after="0"/>
              <w:rPr>
                <w:sz w:val="18"/>
                <w:szCs w:val="18"/>
                <w:color w:val="auto"/>
              </w:rPr>
            </w:pPr>
          </w:p>
        </w:tc>
        <w:tc>
          <w:tcPr>
            <w:tcW w:w="10040" w:type="dxa"/>
            <w:vAlign w:val="bottom"/>
            <w:tcBorders>
              <w:bottom w:val="single" w:sz="8" w:color="D2DCE5"/>
            </w:tcBorders>
            <w:shd w:val="clear" w:color="auto" w:fill="D2DCE5"/>
          </w:tcPr>
          <w:p>
            <w:pPr>
              <w:ind w:left="240"/>
              <w:spacing w:after="0" w:line="189" w:lineRule="exact"/>
              <w:rPr>
                <w:sz w:val="20"/>
                <w:szCs w:val="20"/>
                <w:color w:val="auto"/>
              </w:rPr>
            </w:pPr>
            <w:r>
              <w:rPr>
                <w:rFonts w:ascii="Arial" w:cs="Arial" w:eastAsia="Arial" w:hAnsi="Arial"/>
                <w:sz w:val="18"/>
                <w:szCs w:val="18"/>
                <w:color w:val="auto"/>
              </w:rPr>
              <w:t>Earnings Release issued by Dutch Bros Inc. on November 4, 2026</w:t>
            </w:r>
          </w:p>
        </w:tc>
        <w:tc>
          <w:tcPr>
            <w:tcW w:w="0" w:type="dxa"/>
            <w:vAlign w:val="bottom"/>
          </w:tcPr>
          <w:p>
            <w:pPr>
              <w:spacing w:after="0"/>
              <w:rPr>
                <w:sz w:val="1"/>
                <w:szCs w:val="1"/>
                <w:color w:val="auto"/>
              </w:rPr>
            </w:pPr>
          </w:p>
        </w:tc>
      </w:tr>
      <w:tr>
        <w:trPr>
          <w:trHeight w:val="176"/>
        </w:trPr>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15"/>
                <w:szCs w:val="15"/>
                <w:color w:val="auto"/>
              </w:rPr>
            </w:pPr>
          </w:p>
        </w:tc>
        <w:tc>
          <w:tcPr>
            <w:tcW w:w="10040" w:type="dxa"/>
            <w:vAlign w:val="bottom"/>
          </w:tcPr>
          <w:p>
            <w:pPr>
              <w:ind w:left="240"/>
              <w:spacing w:after="0" w:line="176" w:lineRule="exact"/>
              <w:rPr>
                <w:sz w:val="20"/>
                <w:szCs w:val="20"/>
                <w:color w:val="auto"/>
              </w:rPr>
            </w:pPr>
            <w:r>
              <w:rPr>
                <w:rFonts w:ascii="Arial" w:cs="Arial" w:eastAsia="Arial" w:hAnsi="Arial"/>
                <w:sz w:val="18"/>
                <w:szCs w:val="18"/>
                <w:color w:val="auto"/>
              </w:rPr>
              <w:t>Cover Page with Interactive Data File (formatted as Inline XBRL with applicable taxonomy extension information contained</w:t>
            </w:r>
          </w:p>
        </w:tc>
        <w:tc>
          <w:tcPr>
            <w:tcW w:w="0" w:type="dxa"/>
            <w:vAlign w:val="bottom"/>
          </w:tcPr>
          <w:p>
            <w:pPr>
              <w:spacing w:after="0"/>
              <w:rPr>
                <w:sz w:val="1"/>
                <w:szCs w:val="1"/>
                <w:color w:val="auto"/>
              </w:rPr>
            </w:pPr>
          </w:p>
        </w:tc>
      </w:tr>
      <w:tr>
        <w:trPr>
          <w:trHeight w:val="247"/>
        </w:trPr>
        <w:tc>
          <w:tcPr>
            <w:tcW w:w="380" w:type="dxa"/>
            <w:vAlign w:val="bottom"/>
            <w:gridSpan w:val="2"/>
            <w:vMerge w:val="continue"/>
          </w:tcPr>
          <w:p>
            <w:pPr>
              <w:spacing w:after="0"/>
              <w:rPr>
                <w:sz w:val="21"/>
                <w:szCs w:val="21"/>
                <w:color w:val="auto"/>
              </w:rPr>
            </w:pPr>
          </w:p>
        </w:tc>
        <w:tc>
          <w:tcPr>
            <w:tcW w:w="820" w:type="dxa"/>
            <w:vAlign w:val="bottom"/>
          </w:tcPr>
          <w:p>
            <w:pPr>
              <w:spacing w:after="0"/>
              <w:rPr>
                <w:sz w:val="21"/>
                <w:szCs w:val="21"/>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in Exhibits 101)</w:t>
            </w:r>
          </w:p>
        </w:tc>
        <w:tc>
          <w:tcPr>
            <w:tcW w:w="0" w:type="dxa"/>
            <w:vAlign w:val="bottom"/>
          </w:tcPr>
          <w:p>
            <w:pPr>
              <w:spacing w:after="0"/>
              <w:rPr>
                <w:sz w:val="1"/>
                <w:szCs w:val="1"/>
                <w:color w:val="auto"/>
              </w:rPr>
            </w:pPr>
          </w:p>
        </w:tc>
      </w:tr>
      <w:tr>
        <w:trPr>
          <w:trHeight w:val="101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DUTCH BROS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34925</wp:posOffset>
            </wp:positionV>
            <wp:extent cx="3522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20"/>
        <w:spacing w:after="0"/>
        <w:tabs>
          <w:tab w:leader="none" w:pos="640" w:val="left"/>
          <w:tab w:leader="none" w:pos="5240" w:val="left"/>
          <w:tab w:leader="none" w:pos="7620" w:val="left"/>
        </w:tabs>
        <w:rPr>
          <w:sz w:val="20"/>
          <w:szCs w:val="20"/>
          <w:color w:val="auto"/>
        </w:rPr>
      </w:pPr>
      <w:r>
        <w:rPr>
          <w:rFonts w:ascii="Arial" w:cs="Arial" w:eastAsia="Arial" w:hAnsi="Arial"/>
          <w:sz w:val="18"/>
          <w:szCs w:val="18"/>
          <w:color w:val="auto"/>
        </w:rPr>
        <w:t>Date:</w:t>
        <w:tab/>
        <w:t>November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b w:val="1"/>
          <w:bCs w:val="1"/>
          <w:color w:val="auto"/>
        </w:rPr>
        <w:t>/s/ Joshua Guenser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34925</wp:posOffset>
            </wp:positionV>
            <wp:extent cx="6729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57"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Joshua Guenser</w:t>
      </w:r>
    </w:p>
    <w:p>
      <w:pPr>
        <w:spacing w:after="0" w:line="6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20"/>
          </w:cols>
          <w:pgMar w:left="320" w:top="111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131E29"/>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120015</wp:posOffset>
            </wp:positionV>
            <wp:extent cx="1259840"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98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131E29"/>
        </w:rPr>
        <w:t>Dutch Bros Inc. Reports Third Quarter 2026 Financial Results</w:t>
      </w:r>
    </w:p>
    <w:p>
      <w:pPr>
        <w:spacing w:after="0" w:line="177"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b w:val="1"/>
          <w:bCs w:val="1"/>
          <w:color w:val="131E29"/>
        </w:rPr>
        <w:t>Achieves 30% Revenue Growth Year-Over-Year Delivers 5.4% Company-Operated and 4.4% Systemwide Same Shop Sales Growth Announces Accelerated 2027 System Shop Opening Goal of 250 Shops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131E29"/>
        </w:rPr>
        <w:t xml:space="preserve">TEMPE, Ariz. </w:t>
      </w:r>
      <w:r>
        <w:rPr>
          <w:rFonts w:ascii="Arial" w:cs="Arial" w:eastAsia="Arial" w:hAnsi="Arial"/>
          <w:sz w:val="18"/>
          <w:szCs w:val="18"/>
          <w:color w:val="131E29"/>
        </w:rPr>
        <w:t>- November 4, 2026 - Dutch Bros Inc. (NYSE: BROS; “Dutch Bros” or the “Company”), one of the fastest-growing brands in the</w:t>
      </w:r>
      <w:r>
        <w:rPr>
          <w:rFonts w:ascii="Arial" w:cs="Arial" w:eastAsia="Arial" w:hAnsi="Arial"/>
          <w:sz w:val="18"/>
          <w:szCs w:val="18"/>
          <w:b w:val="1"/>
          <w:bCs w:val="1"/>
          <w:color w:val="131E29"/>
        </w:rPr>
        <w:t xml:space="preserve"> </w:t>
      </w:r>
      <w:r>
        <w:rPr>
          <w:rFonts w:ascii="Arial" w:cs="Arial" w:eastAsia="Arial" w:hAnsi="Arial"/>
          <w:sz w:val="18"/>
          <w:szCs w:val="18"/>
          <w:color w:val="131E29"/>
        </w:rPr>
        <w:t>U.S. quick service beverage industry, today reported financial results for the third quarter ended September 30, 2026.</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Third Quarter 2026 Highlights</w:t>
      </w:r>
    </w:p>
    <w:p>
      <w:pPr>
        <w:spacing w:after="0" w:line="17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Opened </w:t>
      </w:r>
      <w:r>
        <w:rPr>
          <w:rFonts w:ascii="Arial" w:cs="Arial" w:eastAsia="Arial" w:hAnsi="Arial"/>
          <w:sz w:val="18"/>
          <w:szCs w:val="18"/>
          <w:color w:val="131E29"/>
        </w:rPr>
        <w:t>48 new shops, 42 of which were company-operated.</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Total revenues </w:t>
      </w:r>
      <w:r>
        <w:rPr>
          <w:rFonts w:ascii="Arial" w:cs="Arial" w:eastAsia="Arial" w:hAnsi="Arial"/>
          <w:sz w:val="18"/>
          <w:szCs w:val="18"/>
          <w:color w:val="131E29"/>
        </w:rPr>
        <w:t>grew 29.8% to</w:t>
      </w:r>
      <w:r>
        <w:rPr>
          <w:rFonts w:ascii="Arial" w:cs="Arial" w:eastAsia="Arial" w:hAnsi="Arial"/>
          <w:sz w:val="18"/>
          <w:szCs w:val="18"/>
          <w:b w:val="1"/>
          <w:bCs w:val="1"/>
          <w:color w:val="131E29"/>
        </w:rPr>
        <w:t xml:space="preserve"> </w:t>
      </w:r>
      <w:r>
        <w:rPr>
          <w:rFonts w:ascii="Arial" w:cs="Arial" w:eastAsia="Arial" w:hAnsi="Arial"/>
          <w:sz w:val="18"/>
          <w:szCs w:val="18"/>
          <w:color w:val="000000"/>
        </w:rPr>
        <w:t>$549.8 million</w:t>
      </w:r>
      <w:r>
        <w:rPr>
          <w:rFonts w:ascii="Arial" w:cs="Arial" w:eastAsia="Arial" w:hAnsi="Arial"/>
          <w:sz w:val="18"/>
          <w:szCs w:val="18"/>
          <w:b w:val="1"/>
          <w:bCs w:val="1"/>
          <w:color w:val="131E29"/>
        </w:rPr>
        <w:t xml:space="preserve"> </w:t>
      </w:r>
      <w:r>
        <w:rPr>
          <w:rFonts w:ascii="Arial" w:cs="Arial" w:eastAsia="Arial" w:hAnsi="Arial"/>
          <w:sz w:val="18"/>
          <w:szCs w:val="18"/>
          <w:color w:val="131E29"/>
        </w:rPr>
        <w:t>as compared to $423.6 million in the same period of 2025.</w:t>
      </w:r>
    </w:p>
    <w:p>
      <w:pPr>
        <w:spacing w:after="0" w:line="117"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Company-operated same shop sales </w:t>
      </w:r>
      <w:r>
        <w:rPr>
          <w:rFonts w:ascii="Arial" w:cs="Arial" w:eastAsia="Arial" w:hAnsi="Arial"/>
          <w:sz w:val="18"/>
          <w:szCs w:val="18"/>
          <w:color w:val="131E29"/>
        </w:rPr>
        <w:t>increased 5.4% and company-operated same shop customer visits increased 1.0% relative to</w:t>
      </w:r>
      <w:r>
        <w:rPr>
          <w:rFonts w:ascii="Arial" w:cs="Arial" w:eastAsia="Arial" w:hAnsi="Arial"/>
          <w:sz w:val="18"/>
          <w:szCs w:val="18"/>
          <w:b w:val="1"/>
          <w:bCs w:val="1"/>
          <w:color w:val="131E29"/>
        </w:rPr>
        <w:t xml:space="preserve"> </w:t>
      </w:r>
      <w:r>
        <w:rPr>
          <w:rFonts w:ascii="Arial" w:cs="Arial" w:eastAsia="Arial" w:hAnsi="Arial"/>
          <w:sz w:val="18"/>
          <w:szCs w:val="18"/>
          <w:color w:val="131E29"/>
        </w:rPr>
        <w:t xml:space="preserve">the same period of 2025. </w:t>
      </w:r>
      <w:r>
        <w:rPr>
          <w:rFonts w:ascii="Arial" w:cs="Arial" w:eastAsia="Arial" w:hAnsi="Arial"/>
          <w:sz w:val="18"/>
          <w:szCs w:val="18"/>
          <w:b w:val="1"/>
          <w:bCs w:val="1"/>
          <w:color w:val="131E29"/>
        </w:rPr>
        <w:t>Systemwide same shop sales</w:t>
      </w:r>
      <w:r>
        <w:rPr>
          <w:rFonts w:ascii="Arial" w:cs="Arial" w:eastAsia="Arial" w:hAnsi="Arial"/>
          <w:sz w:val="18"/>
          <w:szCs w:val="18"/>
          <w:color w:val="131E29"/>
        </w:rPr>
        <w:t xml:space="preserve"> increased 4.4% and systemwide same shop customer visits increased 0.4% relative to the same period in 2025.</w:t>
      </w:r>
    </w:p>
    <w:p>
      <w:pPr>
        <w:spacing w:after="0" w:line="62"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Net income </w:t>
      </w:r>
      <w:r>
        <w:rPr>
          <w:rFonts w:ascii="Arial" w:cs="Arial" w:eastAsia="Arial" w:hAnsi="Arial"/>
          <w:sz w:val="18"/>
          <w:szCs w:val="18"/>
          <w:color w:val="131E29"/>
        </w:rPr>
        <w:t>was $37.2 million as compared to $27.3 million in the same period of 2025.</w:t>
      </w:r>
    </w:p>
    <w:p>
      <w:pPr>
        <w:spacing w:after="0" w:line="112"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Adjusted EBITDA</w:t>
      </w:r>
      <w:r>
        <w:rPr>
          <w:rFonts w:ascii="Arial" w:cs="Arial" w:eastAsia="Arial" w:hAnsi="Arial"/>
          <w:sz w:val="23"/>
          <w:szCs w:val="23"/>
          <w:b w:val="1"/>
          <w:bCs w:val="1"/>
          <w:color w:val="131E29"/>
          <w:vertAlign w:val="superscript"/>
        </w:rPr>
        <w:t>1</w:t>
      </w:r>
      <w:r>
        <w:rPr>
          <w:rFonts w:ascii="Arial" w:cs="Arial" w:eastAsia="Arial" w:hAnsi="Arial"/>
          <w:sz w:val="18"/>
          <w:szCs w:val="18"/>
          <w:b w:val="1"/>
          <w:bCs w:val="1"/>
          <w:color w:val="131E29"/>
        </w:rPr>
        <w:t xml:space="preserve"> </w:t>
      </w:r>
      <w:r>
        <w:rPr>
          <w:rFonts w:ascii="Arial" w:cs="Arial" w:eastAsia="Arial" w:hAnsi="Arial"/>
          <w:sz w:val="18"/>
          <w:szCs w:val="18"/>
          <w:color w:val="131E29"/>
        </w:rPr>
        <w:t>grew 29.6% to $101.1 million as compared to $78.0 million in the same period of 2025.</w:t>
      </w:r>
    </w:p>
    <w:p>
      <w:pPr>
        <w:spacing w:after="0" w:line="63" w:lineRule="exact"/>
        <w:rPr>
          <w:rFonts w:ascii="Arial" w:cs="Arial" w:eastAsia="Arial" w:hAnsi="Arial"/>
          <w:sz w:val="18"/>
          <w:szCs w:val="18"/>
          <w:color w:val="131E29"/>
        </w:rPr>
      </w:pPr>
    </w:p>
    <w:p>
      <w:pPr>
        <w:ind w:left="340" w:right="2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Completed </w:t>
      </w:r>
      <w:r>
        <w:rPr>
          <w:rFonts w:ascii="Arial" w:cs="Arial" w:eastAsia="Arial" w:hAnsi="Arial"/>
          <w:sz w:val="18"/>
          <w:szCs w:val="18"/>
          <w:color w:val="131E29"/>
        </w:rPr>
        <w:t>the reacquisition of franchise rights and assets of the Phoenix East Valley franchise consisting of 32 locations on July 27,</w:t>
      </w:r>
      <w:r>
        <w:rPr>
          <w:rFonts w:ascii="Arial" w:cs="Arial" w:eastAsia="Arial" w:hAnsi="Arial"/>
          <w:sz w:val="18"/>
          <w:szCs w:val="18"/>
          <w:b w:val="1"/>
          <w:bCs w:val="1"/>
          <w:color w:val="131E29"/>
        </w:rPr>
        <w:t xml:space="preserve"> </w:t>
      </w:r>
      <w:r>
        <w:rPr>
          <w:rFonts w:ascii="Arial" w:cs="Arial" w:eastAsia="Arial" w:hAnsi="Arial"/>
          <w:sz w:val="18"/>
          <w:szCs w:val="18"/>
          <w:color w:val="131E29"/>
        </w:rPr>
        <w:t>2026.</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Christine Barone, Chief Executive Officer and President of Dutch Bros, said, “Dutch Bros continues to gain share in the high-growth beverage category. In the third quarter, we achieved our fourteenth consecutive quarter of positive same shop sales and ninth consecutive quarter of same shop customer visit growth. This is a testament to the strength of our brand, our differentiated people-led culture, and our strategic focus on expanding customer occasions.”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Barone concluded, “The investments we’ve made in our people, tools, and processes over the past several years have enabled seamless execution by our teams and strengthened the foundation of our business. As we look ahead to 2027, we’re building on that foundation and unlocking new growth opportunities across the business. From accelerating our pace of beverage innovation to testing new hot food platforms, enhancing digital capabilities and piloting delivery, we’re creating more reasons for new and existing customers to choose Dutch Bros.”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580"/>
        <w:spacing w:after="0"/>
        <w:rPr>
          <w:sz w:val="20"/>
          <w:szCs w:val="20"/>
          <w:color w:val="auto"/>
        </w:rPr>
      </w:pPr>
      <w:r>
        <w:rPr>
          <w:sz w:val="1"/>
          <w:szCs w:val="1"/>
          <w:color w:val="auto"/>
        </w:rPr>
        <w:drawing>
          <wp:inline distT="0" distB="0" distL="0" distR="0">
            <wp:extent cx="171450" cy="2400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2026 Guidance</w:t>
      </w:r>
    </w:p>
    <w:p>
      <w:pPr>
        <w:spacing w:after="0" w:line="16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131E29"/>
        </w:rPr>
      </w:pPr>
      <w:r>
        <w:rPr>
          <w:rFonts w:ascii="Arial" w:cs="Arial" w:eastAsia="Arial" w:hAnsi="Arial"/>
          <w:sz w:val="18"/>
          <w:szCs w:val="18"/>
          <w:b w:val="1"/>
          <w:bCs w:val="1"/>
          <w:color w:val="131E29"/>
        </w:rPr>
        <w:t xml:space="preserve">Total revenues </w:t>
      </w:r>
      <w:r>
        <w:rPr>
          <w:rFonts w:ascii="Arial" w:cs="Arial" w:eastAsia="Arial" w:hAnsi="Arial"/>
          <w:sz w:val="18"/>
          <w:szCs w:val="18"/>
          <w:color w:val="131E29"/>
        </w:rPr>
        <w:t>are now projected to be at least $2.1 billion.</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4"/>
        </w:numPr>
        <w:rPr>
          <w:rFonts w:ascii="Arial" w:cs="Arial" w:eastAsia="Arial" w:hAnsi="Arial"/>
          <w:sz w:val="18"/>
          <w:szCs w:val="18"/>
          <w:color w:val="131E29"/>
        </w:rPr>
      </w:pPr>
      <w:r>
        <w:rPr>
          <w:rFonts w:ascii="Arial" w:cs="Arial" w:eastAsia="Arial" w:hAnsi="Arial"/>
          <w:sz w:val="18"/>
          <w:szCs w:val="18"/>
          <w:b w:val="1"/>
          <w:bCs w:val="1"/>
          <w:color w:val="131E29"/>
        </w:rPr>
        <w:t xml:space="preserve">Same shop sales </w:t>
      </w:r>
      <w:r>
        <w:rPr>
          <w:rFonts w:ascii="Arial" w:cs="Arial" w:eastAsia="Arial" w:hAnsi="Arial"/>
          <w:sz w:val="18"/>
          <w:szCs w:val="18"/>
          <w:color w:val="131E29"/>
        </w:rPr>
        <w:t>growth is now estimated to be at least 5%.</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4"/>
        </w:numPr>
        <w:rPr>
          <w:rFonts w:ascii="Arial" w:cs="Arial" w:eastAsia="Arial" w:hAnsi="Arial"/>
          <w:sz w:val="18"/>
          <w:szCs w:val="18"/>
          <w:color w:val="131E29"/>
        </w:rPr>
      </w:pPr>
      <w:r>
        <w:rPr>
          <w:rFonts w:ascii="Arial" w:cs="Arial" w:eastAsia="Arial" w:hAnsi="Arial"/>
          <w:sz w:val="18"/>
          <w:szCs w:val="18"/>
          <w:b w:val="1"/>
          <w:bCs w:val="1"/>
          <w:color w:val="131E29"/>
        </w:rPr>
        <w:t>Adjusted EBITDA</w:t>
      </w:r>
      <w:r>
        <w:rPr>
          <w:rFonts w:ascii="Arial" w:cs="Arial" w:eastAsia="Arial" w:hAnsi="Arial"/>
          <w:sz w:val="23"/>
          <w:szCs w:val="23"/>
          <w:b w:val="1"/>
          <w:bCs w:val="1"/>
          <w:color w:val="131E29"/>
          <w:vertAlign w:val="superscript"/>
        </w:rPr>
        <w:t>2</w:t>
      </w:r>
      <w:r>
        <w:rPr>
          <w:rFonts w:ascii="Arial" w:cs="Arial" w:eastAsia="Arial" w:hAnsi="Arial"/>
          <w:sz w:val="18"/>
          <w:szCs w:val="18"/>
          <w:b w:val="1"/>
          <w:bCs w:val="1"/>
          <w:color w:val="131E29"/>
        </w:rPr>
        <w:t xml:space="preserve"> </w:t>
      </w:r>
      <w:r>
        <w:rPr>
          <w:rFonts w:ascii="Arial" w:cs="Arial" w:eastAsia="Arial" w:hAnsi="Arial"/>
          <w:sz w:val="18"/>
          <w:szCs w:val="18"/>
          <w:color w:val="131E29"/>
        </w:rPr>
        <w:t>is now estimated to be approximately $380 million.</w:t>
      </w:r>
    </w:p>
    <w:p>
      <w:pPr>
        <w:spacing w:after="0" w:line="63" w:lineRule="exact"/>
        <w:rPr>
          <w:rFonts w:ascii="Arial" w:cs="Arial" w:eastAsia="Arial" w:hAnsi="Arial"/>
          <w:sz w:val="18"/>
          <w:szCs w:val="18"/>
          <w:color w:val="131E29"/>
        </w:rPr>
      </w:pPr>
    </w:p>
    <w:p>
      <w:pPr>
        <w:ind w:right="4020" w:firstLine="8"/>
        <w:spacing w:after="0" w:line="373" w:lineRule="auto"/>
        <w:tabs>
          <w:tab w:leader="none" w:pos="319" w:val="left"/>
        </w:tabs>
        <w:numPr>
          <w:ilvl w:val="0"/>
          <w:numId w:val="4"/>
        </w:numPr>
        <w:rPr>
          <w:rFonts w:ascii="Arial" w:cs="Arial" w:eastAsia="Arial" w:hAnsi="Arial"/>
          <w:sz w:val="18"/>
          <w:szCs w:val="18"/>
          <w:color w:val="131E29"/>
        </w:rPr>
      </w:pPr>
      <w:r>
        <w:rPr>
          <w:rFonts w:ascii="Arial" w:cs="Arial" w:eastAsia="Arial" w:hAnsi="Arial"/>
          <w:sz w:val="18"/>
          <w:szCs w:val="18"/>
          <w:b w:val="1"/>
          <w:bCs w:val="1"/>
          <w:color w:val="131E29"/>
        </w:rPr>
        <w:t xml:space="preserve">Capital expenditures </w:t>
      </w:r>
      <w:r>
        <w:rPr>
          <w:rFonts w:ascii="Arial" w:cs="Arial" w:eastAsia="Arial" w:hAnsi="Arial"/>
          <w:sz w:val="18"/>
          <w:szCs w:val="18"/>
          <w:color w:val="131E29"/>
        </w:rPr>
        <w:t>are now estimated to be between $370 million and $390 million.</w:t>
      </w:r>
      <w:r>
        <w:rPr>
          <w:rFonts w:ascii="Arial" w:cs="Arial" w:eastAsia="Arial" w:hAnsi="Arial"/>
          <w:sz w:val="18"/>
          <w:szCs w:val="18"/>
          <w:b w:val="1"/>
          <w:bCs w:val="1"/>
          <w:color w:val="131E29"/>
        </w:rPr>
        <w:t xml:space="preserve"> </w:t>
      </w:r>
      <w:r>
        <w:rPr>
          <w:rFonts w:ascii="Arial" w:cs="Arial" w:eastAsia="Arial" w:hAnsi="Arial"/>
          <w:sz w:val="18"/>
          <w:szCs w:val="18"/>
          <w:color w:val="131E29"/>
        </w:rPr>
        <w:t>The item below remains unchanged.</w:t>
      </w:r>
    </w:p>
    <w:p>
      <w:pPr>
        <w:spacing w:after="0" w:line="1" w:lineRule="exact"/>
        <w:rPr>
          <w:rFonts w:ascii="Arial" w:cs="Arial" w:eastAsia="Arial" w:hAnsi="Arial"/>
          <w:sz w:val="18"/>
          <w:szCs w:val="18"/>
          <w:color w:val="131E29"/>
        </w:rPr>
      </w:pPr>
    </w:p>
    <w:p>
      <w:pPr>
        <w:ind w:left="320" w:hanging="312"/>
        <w:spacing w:after="0"/>
        <w:tabs>
          <w:tab w:leader="none" w:pos="320" w:val="left"/>
        </w:tabs>
        <w:numPr>
          <w:ilvl w:val="0"/>
          <w:numId w:val="4"/>
        </w:numPr>
        <w:rPr>
          <w:rFonts w:ascii="Arial" w:cs="Arial" w:eastAsia="Arial" w:hAnsi="Arial"/>
          <w:sz w:val="18"/>
          <w:szCs w:val="18"/>
          <w:color w:val="131E29"/>
        </w:rPr>
      </w:pPr>
      <w:r>
        <w:rPr>
          <w:rFonts w:ascii="Arial" w:cs="Arial" w:eastAsia="Arial" w:hAnsi="Arial"/>
          <w:sz w:val="18"/>
          <w:szCs w:val="18"/>
          <w:b w:val="1"/>
          <w:bCs w:val="1"/>
          <w:color w:val="131E29"/>
        </w:rPr>
        <w:t xml:space="preserve">Total system shop openings </w:t>
      </w:r>
      <w:r>
        <w:rPr>
          <w:rFonts w:ascii="Arial" w:cs="Arial" w:eastAsia="Arial" w:hAnsi="Arial"/>
          <w:sz w:val="18"/>
          <w:szCs w:val="18"/>
          <w:color w:val="131E29"/>
        </w:rPr>
        <w:t>are estimated to be at least 185.</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2027 Guidance</w:t>
      </w:r>
    </w:p>
    <w:p>
      <w:pPr>
        <w:spacing w:after="0" w:line="16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131E29"/>
        </w:rPr>
      </w:pPr>
      <w:r>
        <w:rPr>
          <w:rFonts w:ascii="Arial" w:cs="Arial" w:eastAsia="Arial" w:hAnsi="Arial"/>
          <w:sz w:val="18"/>
          <w:szCs w:val="18"/>
          <w:b w:val="1"/>
          <w:bCs w:val="1"/>
          <w:color w:val="131E29"/>
        </w:rPr>
        <w:t xml:space="preserve">Total system shop openings </w:t>
      </w:r>
      <w:r>
        <w:rPr>
          <w:rFonts w:ascii="Arial" w:cs="Arial" w:eastAsia="Arial" w:hAnsi="Arial"/>
          <w:sz w:val="18"/>
          <w:szCs w:val="18"/>
          <w:color w:val="131E29"/>
        </w:rPr>
        <w:t>are estimated to be approximately 250.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7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9"/>
          <w:szCs w:val="9"/>
          <w:color w:val="131E29"/>
        </w:rPr>
      </w:pPr>
      <w:r>
        <w:rPr>
          <w:rFonts w:ascii="Arial" w:cs="Arial" w:eastAsia="Arial" w:hAnsi="Arial"/>
          <w:sz w:val="14"/>
          <w:szCs w:val="14"/>
          <w:color w:val="131E29"/>
        </w:rPr>
        <w:t>This is a non-GAAP financial measure. Reconciliation of U.S. GAAP to non-GAAP results is provided in the section “Non-GAAP Financial Measures”.</w:t>
      </w:r>
    </w:p>
    <w:p>
      <w:pPr>
        <w:spacing w:after="0" w:line="69" w:lineRule="exact"/>
        <w:rPr>
          <w:sz w:val="20"/>
          <w:szCs w:val="20"/>
          <w:color w:val="auto"/>
        </w:rPr>
      </w:pPr>
    </w:p>
    <w:p>
      <w:pPr>
        <w:jc w:val="both"/>
        <w:ind w:left="180" w:hanging="172"/>
        <w:spacing w:after="0" w:line="246" w:lineRule="auto"/>
        <w:tabs>
          <w:tab w:leader="none" w:pos="201" w:val="left"/>
        </w:tabs>
        <w:numPr>
          <w:ilvl w:val="0"/>
          <w:numId w:val="7"/>
        </w:numPr>
        <w:rPr>
          <w:rFonts w:ascii="Arial" w:cs="Arial" w:eastAsia="Arial" w:hAnsi="Arial"/>
          <w:sz w:val="19"/>
          <w:szCs w:val="19"/>
          <w:color w:val="131E29"/>
          <w:vertAlign w:val="superscript"/>
        </w:rPr>
      </w:pPr>
      <w:r>
        <w:rPr>
          <w:rFonts w:ascii="Arial" w:cs="Arial" w:eastAsia="Arial" w:hAnsi="Arial"/>
          <w:sz w:val="14"/>
          <w:szCs w:val="14"/>
          <w:color w:val="131E29"/>
        </w:rPr>
        <w:t>We have not reconciled guidance for Adjusted EBITDA to the corresponding U.S. GAAP financial measure because we do not provide guidance for the various reconciling items.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 to the corresponding U.S. GAAP financial measure is not available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Conference Call and Webcast Today</w:t>
      </w:r>
    </w:p>
    <w:p>
      <w:pPr>
        <w:spacing w:after="0" w:line="1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Christine Barone, Chief Executive Officer and President, and Joshua Guenser, Chief Financial Officer, will host a conference call and webcast today at 5:00 p.m. Eastern Time (ET) to discuss financial results for the third quarter ended September 30,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31E29"/>
        </w:rPr>
        <w:t>Event</w:t>
      </w:r>
      <w:r>
        <w:rPr>
          <w:rFonts w:ascii="Arial" w:cs="Arial" w:eastAsia="Arial" w:hAnsi="Arial"/>
          <w:sz w:val="18"/>
          <w:szCs w:val="18"/>
          <w:color w:val="131E29"/>
        </w:rPr>
        <w:t>: Third Quarter 2026 Conference Call and Webcast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31E29"/>
        </w:rPr>
        <w:t>Date</w:t>
      </w:r>
      <w:r>
        <w:rPr>
          <w:rFonts w:ascii="Arial" w:cs="Arial" w:eastAsia="Arial" w:hAnsi="Arial"/>
          <w:sz w:val="18"/>
          <w:szCs w:val="18"/>
          <w:color w:val="131E29"/>
        </w:rPr>
        <w:t>: Wednesday, November 4,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31E29"/>
        </w:rPr>
        <w:t>Time</w:t>
      </w:r>
      <w:r>
        <w:rPr>
          <w:rFonts w:ascii="Arial" w:cs="Arial" w:eastAsia="Arial" w:hAnsi="Arial"/>
          <w:sz w:val="18"/>
          <w:szCs w:val="18"/>
          <w:color w:val="131E29"/>
        </w:rPr>
        <w:t>: 5:00 p.m. 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31E29"/>
        </w:rPr>
        <w:t>Dial In</w:t>
      </w:r>
      <w:r>
        <w:rPr>
          <w:rFonts w:ascii="Arial" w:cs="Arial" w:eastAsia="Arial" w:hAnsi="Arial"/>
          <w:sz w:val="18"/>
          <w:szCs w:val="18"/>
          <w:color w:val="131E29"/>
        </w:rPr>
        <w:t>: 1-201-493-6779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31E29"/>
        </w:rPr>
        <w:t>Webcast</w:t>
      </w:r>
      <w:r>
        <w:rPr>
          <w:rFonts w:ascii="Arial" w:cs="Arial" w:eastAsia="Arial" w:hAnsi="Arial"/>
          <w:sz w:val="18"/>
          <w:szCs w:val="18"/>
          <w:color w:val="131E29"/>
        </w:rPr>
        <w:t>: https://investors.dutchbros.com under “Events &amp; Presentations”.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webcast will be archived shortly after the conference call has concluded. We will also publish earnings presentation slides related to these financial results on our website https://investors.dutchbros.com under “Events &amp; Presentations”.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About Dutch Bros Inc.</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131E29"/>
        </w:rPr>
        <w:t>Dutch Bros Inc. (NYSE: BROS) is a fun-loving, mind-blowing drive-thru specialty beverage leader dedicated to making a massive difference, one cup at a time. It was founded in Grants Pass, Oregon, in 1992 and now shares its vibrant culture and fully customizable drinks at 1,273 locations as of September 30, 2026. Dutch Bros serves a wide variety of unique, handcrafted beverages such as its exclusive Dutch Bros Rebel</w:t>
      </w:r>
      <w:r>
        <w:rPr>
          <w:rFonts w:ascii="Arial" w:cs="Arial" w:eastAsia="Arial" w:hAnsi="Arial"/>
          <w:sz w:val="23"/>
          <w:szCs w:val="23"/>
          <w:color w:val="131E29"/>
          <w:vertAlign w:val="superscript"/>
        </w:rPr>
        <w:t>®</w:t>
      </w:r>
      <w:r>
        <w:rPr>
          <w:rFonts w:ascii="Arial" w:cs="Arial" w:eastAsia="Arial" w:hAnsi="Arial"/>
          <w:sz w:val="18"/>
          <w:szCs w:val="18"/>
          <w:color w:val="131E29"/>
        </w:rPr>
        <w:t xml:space="preserve"> energy drink, Myst Energy Refresher</w:t>
      </w:r>
      <w:r>
        <w:rPr>
          <w:rFonts w:ascii="Arial" w:cs="Arial" w:eastAsia="Arial" w:hAnsi="Arial"/>
          <w:sz w:val="23"/>
          <w:szCs w:val="23"/>
          <w:color w:val="131E29"/>
          <w:vertAlign w:val="superscript"/>
        </w:rPr>
        <w:t>TM</w:t>
      </w:r>
      <w:r>
        <w:rPr>
          <w:rFonts w:ascii="Arial" w:cs="Arial" w:eastAsia="Arial" w:hAnsi="Arial"/>
          <w:sz w:val="18"/>
          <w:szCs w:val="18"/>
          <w:color w:val="131E29"/>
        </w:rPr>
        <w:t>, specialty coffee, nitrogen-infused cold brew, tea, lemonade, soda and more.</w:t>
      </w:r>
    </w:p>
    <w:p>
      <w:pPr>
        <w:spacing w:after="0" w:line="3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131E29"/>
        </w:rPr>
        <w:t>Dutch Bros is wholeheartedly focused on radiating kindness and sharing the Dutch Luv</w:t>
      </w:r>
      <w:r>
        <w:rPr>
          <w:rFonts w:ascii="Arial" w:cs="Arial" w:eastAsia="Arial" w:hAnsi="Arial"/>
          <w:sz w:val="23"/>
          <w:szCs w:val="23"/>
          <w:color w:val="131E29"/>
          <w:vertAlign w:val="superscript"/>
        </w:rPr>
        <w:t>®</w:t>
      </w:r>
      <w:r>
        <w:rPr>
          <w:rFonts w:ascii="Arial" w:cs="Arial" w:eastAsia="Arial" w:hAnsi="Arial"/>
          <w:sz w:val="18"/>
          <w:szCs w:val="18"/>
          <w:color w:val="131E29"/>
        </w:rPr>
        <w:t>. In addition to its mission of speed, quality and service, the Dutch Bros Foundation</w:t>
      </w:r>
      <w:r>
        <w:rPr>
          <w:rFonts w:ascii="Arial" w:cs="Arial" w:eastAsia="Arial" w:hAnsi="Arial"/>
          <w:sz w:val="23"/>
          <w:szCs w:val="23"/>
          <w:color w:val="131E29"/>
          <w:vertAlign w:val="superscript"/>
        </w:rPr>
        <w:t>®</w:t>
      </w:r>
      <w:r>
        <w:rPr>
          <w:rFonts w:ascii="Arial" w:cs="Arial" w:eastAsia="Arial" w:hAnsi="Arial"/>
          <w:sz w:val="18"/>
          <w:szCs w:val="18"/>
          <w:color w:val="131E29"/>
        </w:rPr>
        <w:t xml:space="preserve"> is passionate about giving back to the communities it serves. Through local giving and annual nation-wide initiatives, the Dutch Bros Foundation makes impactful contributions to causes across the country.</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To learn more about Dutch Bros, visit www.dutchbros.com, follow Dutch Bros on Instagram, Facebook, X, and TikTok, and download the Dutch Bros app to earn points and score rewards!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131E29"/>
        </w:rPr>
        <w:t>Dutch Bros</w:t>
      </w:r>
      <w:r>
        <w:rPr>
          <w:rFonts w:ascii="Arial" w:cs="Arial" w:eastAsia="Arial" w:hAnsi="Arial"/>
          <w:sz w:val="18"/>
          <w:szCs w:val="18"/>
          <w:color w:val="131E29"/>
        </w:rPr>
        <w:t>, our Windmill logo (</w:t>
      </w:r>
      <w:r>
        <w:rPr>
          <w:sz w:val="1"/>
          <w:szCs w:val="1"/>
          <w:color w:val="auto"/>
        </w:rPr>
        <w:drawing>
          <wp:inline distT="0" distB="0" distL="0" distR="0">
            <wp:extent cx="171450" cy="2400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8"/>
          <w:szCs w:val="18"/>
          <w:color w:val="131E29"/>
        </w:rPr>
        <w:t xml:space="preserve">), </w:t>
      </w:r>
      <w:r>
        <w:rPr>
          <w:rFonts w:ascii="Arial" w:cs="Arial" w:eastAsia="Arial" w:hAnsi="Arial"/>
          <w:sz w:val="18"/>
          <w:szCs w:val="18"/>
          <w:i w:val="1"/>
          <w:iCs w:val="1"/>
          <w:color w:val="131E29"/>
        </w:rPr>
        <w:t>Dutch Bros Rebel,</w:t>
      </w:r>
      <w:r>
        <w:rPr>
          <w:rFonts w:ascii="Arial" w:cs="Arial" w:eastAsia="Arial" w:hAnsi="Arial"/>
          <w:sz w:val="18"/>
          <w:szCs w:val="18"/>
          <w:color w:val="131E29"/>
        </w:rPr>
        <w:t xml:space="preserve"> and our other registered and common law trade names, trademarks and service marks are the property of Dutch Bros Inc. All other trademarks, trade names and service marks appearing in this press release are the property of their respective owners. Solely for convenience, the trademarks and trade names in this press release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Forward-Looking Statements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addition to historical information, this press release contains a number of “forward-looking statements” as defined in the Private Securities Litigation Reform Act of 1995. Forward-looking statements include, without limitation, statements regarding Dutch Bros’ growth trajectory, and Dutch Bros’ potential or assumed future results of operations, including guidance for 2026 and 2027, new shop openings, estimated capital expenditures, business strategies and initiatives, and potential sales and revenue growth. These statements are based on Dutch Bros’ current expectations and beliefs, as well as a number of assumptions concerning future events. When used in this press release, the words “intend,” “may,” “target,” “estimates,” “predict,” “project,” “expect,” “should,” “guidance,” and variations of these words or similar expressions (or the negative versions of such words or expressions) are intended to identify forward-looking statements. Such forward-looking statements are subject to known and unknown risks, uncertainties, assumptions and other important factors, many of which are outside Dutch Bros’ control that could cause actual results to differ materially from the results discussed in the forward-looking statements, including those related to past growth being indicative of future results, whether Dutch Bros’ foundational investments result in continued growth for Dutch Bros, including increases in customer engagement and sales, the success of Dutch Bros’ food offering sales translating to sales of food offerings in other markets, changes in consumer preference due to new information or regulations regarding additives, diet and health or otherwise, acquisitions or partnerships not ultimately strengthening Dutch Bros’ competitive position, or achieving the intended goals of such acquisition or partnership, any problems that may arise in successfully integrating acquired businesses or assets, which may result in Dutch Bros not operating as effectively and efficiently as expected or divert management from their primary responsibilities, general economic conditions, changes in general consumer discretionary spending, including due to higher gas prices, inflation or lack of consumer confidence, commodity inflation, the ability to navigate evolving macroeconomic conditions, the effects of disruption between the U.S. and its trading partners due to military conflicts, tariffs or other policies, disruptions in our supply chain, increased labor costs, ability to hire and retain employees, the availability of suitable new shop sites and our ability to negotiate acceptable agreements regarding the new shop sites, and other risks, including those described in our Annual Report on Form 10-K for the year ended December 31, 2025 filed with the SEC on February 13, 2026, our Quarterly Report on Form 10-Q for the quarter ended June 30, 2026 filed with the SEC on August 6, 2026, and in our future reports to be filed with the SEC, including our Quarterly Report on Form 10-Q for the quarter ended September 30, 2026. Forward-looking statements contained in this press release are made as of this date, and Dutch Bros undertakes no duty to update such information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580"/>
        <w:spacing w:after="0"/>
        <w:rPr>
          <w:sz w:val="20"/>
          <w:szCs w:val="20"/>
          <w:color w:val="auto"/>
        </w:rPr>
      </w:pPr>
      <w:r>
        <w:rPr>
          <w:sz w:val="1"/>
          <w:szCs w:val="1"/>
          <w:color w:val="auto"/>
        </w:rPr>
        <w:drawing>
          <wp:inline distT="0" distB="0" distL="0" distR="0">
            <wp:extent cx="171450" cy="2400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93" w:lineRule="exact"/>
        <w:rPr>
          <w:sz w:val="20"/>
          <w:szCs w:val="20"/>
          <w:color w:val="auto"/>
        </w:rPr>
      </w:pPr>
    </w:p>
    <w:p>
      <w:pPr>
        <w:jc w:val="center"/>
        <w:ind w:left="3080"/>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ind w:left="3560"/>
        <w:spacing w:after="0"/>
        <w:rPr>
          <w:sz w:val="20"/>
          <w:szCs w:val="20"/>
          <w:color w:val="auto"/>
        </w:rPr>
      </w:pPr>
      <w:r>
        <w:rPr>
          <w:rFonts w:ascii="Arial" w:cs="Arial" w:eastAsia="Arial" w:hAnsi="Arial"/>
          <w:sz w:val="18"/>
          <w:szCs w:val="18"/>
          <w:color w:val="131E29"/>
        </w:rPr>
        <w:t>Condensed Consolidated Statements of Operations</w:t>
      </w:r>
    </w:p>
    <w:p>
      <w:pPr>
        <w:spacing w:after="0" w:line="333"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131E29"/>
        </w:rPr>
        <w:t>Three Months Ended</w:t>
      </w:r>
    </w:p>
    <w:p>
      <w:pPr>
        <w:spacing w:after="0" w:line="27"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131E29"/>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23495</wp:posOffset>
            </wp:positionV>
            <wp:extent cx="1825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131E29"/>
        </w:rPr>
        <w:t>Nine Months Ended</w:t>
      </w:r>
    </w:p>
    <w:p>
      <w:pPr>
        <w:spacing w:after="0" w:line="3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131E29"/>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23495</wp:posOffset>
            </wp:positionV>
            <wp:extent cx="18434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8160" w:space="720"/>
            <w:col w:w="23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5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131E29"/>
              </w:rPr>
              <w:t>2026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31E29"/>
              </w:rPr>
              <w:t>Revenues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5300" w:type="dxa"/>
            <w:vAlign w:val="bottom"/>
            <w:gridSpan w:val="2"/>
          </w:tcPr>
          <w:p>
            <w:pPr>
              <w:ind w:left="14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jc w:val="right"/>
              <w:ind w:right="90"/>
              <w:spacing w:after="0"/>
              <w:rPr>
                <w:sz w:val="20"/>
                <w:szCs w:val="20"/>
                <w:color w:val="auto"/>
              </w:rPr>
            </w:pPr>
            <w:r>
              <w:rPr>
                <w:rFonts w:ascii="Arial" w:cs="Arial" w:eastAsia="Arial" w:hAnsi="Arial"/>
                <w:sz w:val="18"/>
                <w:szCs w:val="18"/>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006098"/>
              </w:rPr>
              <w:t>515,006</w:t>
            </w:r>
          </w:p>
        </w:tc>
        <w:tc>
          <w:tcPr>
            <w:tcW w:w="20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66"/>
        </w:trPr>
        <w:tc>
          <w:tcPr>
            <w:tcW w:w="5300" w:type="dxa"/>
            <w:vAlign w:val="bottom"/>
            <w:gridSpan w:val="2"/>
          </w:tcPr>
          <w:p>
            <w:pPr>
              <w:ind w:left="14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34,833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300" w:type="dxa"/>
            <w:vAlign w:val="bottom"/>
            <w:gridSpan w:val="2"/>
          </w:tcPr>
          <w:p>
            <w:pPr>
              <w:ind w:left="240"/>
              <w:spacing w:after="0"/>
              <w:rPr>
                <w:sz w:val="20"/>
                <w:szCs w:val="20"/>
                <w:color w:val="auto"/>
              </w:rPr>
            </w:pPr>
            <w:r>
              <w:rPr>
                <w:rFonts w:ascii="Arial" w:cs="Arial" w:eastAsia="Arial" w:hAnsi="Arial"/>
                <w:sz w:val="18"/>
                <w:szCs w:val="18"/>
                <w:color w:val="131E29"/>
              </w:rPr>
              <w:t>Total revenues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549,839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5"/>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Costs and Expenses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300" w:type="dxa"/>
            <w:vAlign w:val="bottom"/>
            <w:gridSpan w:val="2"/>
          </w:tcPr>
          <w:p>
            <w:pPr>
              <w:ind w:left="140"/>
              <w:spacing w:after="0"/>
              <w:rPr>
                <w:sz w:val="20"/>
                <w:szCs w:val="20"/>
                <w:color w:val="auto"/>
              </w:rPr>
            </w:pPr>
            <w:r>
              <w:rPr>
                <w:rFonts w:ascii="Arial" w:cs="Arial" w:eastAsia="Arial" w:hAnsi="Arial"/>
                <w:sz w:val="18"/>
                <w:szCs w:val="18"/>
                <w:color w:val="131E29"/>
              </w:rPr>
              <w:t>Cost of sales</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418,071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300" w:type="dxa"/>
            <w:vAlign w:val="bottom"/>
            <w:gridSpan w:val="2"/>
          </w:tcPr>
          <w:p>
            <w:pPr>
              <w:ind w:left="140"/>
              <w:spacing w:after="0"/>
              <w:rPr>
                <w:sz w:val="20"/>
                <w:szCs w:val="20"/>
                <w:color w:val="auto"/>
              </w:rPr>
            </w:pPr>
            <w:r>
              <w:rPr>
                <w:rFonts w:ascii="Arial" w:cs="Arial" w:eastAsia="Arial" w:hAnsi="Arial"/>
                <w:sz w:val="18"/>
                <w:szCs w:val="18"/>
                <w:color w:val="131E29"/>
              </w:rPr>
              <w:t>Selling, general and administrative</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78,954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300" w:type="dxa"/>
            <w:vAlign w:val="bottom"/>
            <w:gridSpan w:val="2"/>
          </w:tcPr>
          <w:p>
            <w:pPr>
              <w:ind w:left="240"/>
              <w:spacing w:after="0"/>
              <w:rPr>
                <w:sz w:val="20"/>
                <w:szCs w:val="20"/>
                <w:color w:val="auto"/>
              </w:rPr>
            </w:pPr>
            <w:r>
              <w:rPr>
                <w:rFonts w:ascii="Arial" w:cs="Arial" w:eastAsia="Arial" w:hAnsi="Arial"/>
                <w:sz w:val="18"/>
                <w:szCs w:val="18"/>
                <w:color w:val="131E29"/>
              </w:rPr>
              <w:t>Total costs and expenses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497,025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300" w:type="dxa"/>
            <w:vAlign w:val="bottom"/>
            <w:gridSpan w:val="2"/>
          </w:tcPr>
          <w:p>
            <w:pPr>
              <w:ind w:left="20"/>
              <w:spacing w:after="0"/>
              <w:rPr>
                <w:sz w:val="20"/>
                <w:szCs w:val="20"/>
                <w:color w:val="auto"/>
              </w:rPr>
            </w:pPr>
            <w:r>
              <w:rPr>
                <w:rFonts w:ascii="Arial" w:cs="Arial" w:eastAsia="Arial" w:hAnsi="Arial"/>
                <w:sz w:val="18"/>
                <w:szCs w:val="18"/>
                <w:color w:val="131E29"/>
              </w:rPr>
              <w:t>Income from operations</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52,814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31E29"/>
              </w:rPr>
              <w:t>Other expense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300" w:type="dxa"/>
            <w:vAlign w:val="bottom"/>
            <w:gridSpan w:val="2"/>
          </w:tcPr>
          <w:p>
            <w:pPr>
              <w:ind w:left="140"/>
              <w:spacing w:after="0"/>
              <w:rPr>
                <w:sz w:val="20"/>
                <w:szCs w:val="20"/>
                <w:color w:val="auto"/>
              </w:rPr>
            </w:pPr>
            <w:r>
              <w:rPr>
                <w:rFonts w:ascii="Arial" w:cs="Arial" w:eastAsia="Arial" w:hAnsi="Arial"/>
                <w:sz w:val="18"/>
                <w:szCs w:val="18"/>
                <w:color w:val="131E29"/>
              </w:rPr>
              <w:t>Interest expense, net</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(7,079)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300" w:type="dxa"/>
            <w:vAlign w:val="bottom"/>
            <w:gridSpan w:val="2"/>
          </w:tcPr>
          <w:p>
            <w:pPr>
              <w:ind w:left="140"/>
              <w:spacing w:after="0"/>
              <w:rPr>
                <w:sz w:val="20"/>
                <w:szCs w:val="20"/>
                <w:color w:val="auto"/>
              </w:rPr>
            </w:pPr>
            <w:r>
              <w:rPr>
                <w:rFonts w:ascii="Arial" w:cs="Arial" w:eastAsia="Arial" w:hAnsi="Arial"/>
                <w:sz w:val="18"/>
                <w:szCs w:val="18"/>
                <w:color w:val="131E29"/>
              </w:rPr>
              <w:t>Other income (expense), net</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300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300" w:type="dxa"/>
            <w:vAlign w:val="bottom"/>
            <w:gridSpan w:val="2"/>
          </w:tcPr>
          <w:p>
            <w:pPr>
              <w:ind w:left="240"/>
              <w:spacing w:after="0"/>
              <w:rPr>
                <w:sz w:val="20"/>
                <w:szCs w:val="20"/>
                <w:color w:val="auto"/>
              </w:rPr>
            </w:pPr>
            <w:r>
              <w:rPr>
                <w:rFonts w:ascii="Arial" w:cs="Arial" w:eastAsia="Arial" w:hAnsi="Arial"/>
                <w:sz w:val="18"/>
                <w:szCs w:val="18"/>
                <w:color w:val="131E29"/>
              </w:rPr>
              <w:t>Total other expense</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(6,779)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300" w:type="dxa"/>
            <w:vAlign w:val="bottom"/>
            <w:gridSpan w:val="2"/>
          </w:tcPr>
          <w:p>
            <w:pPr>
              <w:ind w:left="20"/>
              <w:spacing w:after="0"/>
              <w:rPr>
                <w:sz w:val="20"/>
                <w:szCs w:val="20"/>
                <w:color w:val="auto"/>
              </w:rPr>
            </w:pPr>
            <w:r>
              <w:rPr>
                <w:rFonts w:ascii="Arial" w:cs="Arial" w:eastAsia="Arial" w:hAnsi="Arial"/>
                <w:sz w:val="18"/>
                <w:szCs w:val="18"/>
                <w:color w:val="131E29"/>
              </w:rPr>
              <w:t>Income before income taxes</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46,035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300" w:type="dxa"/>
            <w:vAlign w:val="bottom"/>
            <w:gridSpan w:val="2"/>
          </w:tcPr>
          <w:p>
            <w:pPr>
              <w:ind w:left="20"/>
              <w:spacing w:after="0"/>
              <w:rPr>
                <w:sz w:val="20"/>
                <w:szCs w:val="20"/>
                <w:color w:val="auto"/>
              </w:rPr>
            </w:pPr>
            <w:r>
              <w:rPr>
                <w:rFonts w:ascii="Arial" w:cs="Arial" w:eastAsia="Arial" w:hAnsi="Arial"/>
                <w:sz w:val="18"/>
                <w:szCs w:val="18"/>
                <w:color w:val="131E29"/>
              </w:rPr>
              <w:t>Income tax expense</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8,807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30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006098"/>
              </w:rPr>
              <w:t>37,228</w:t>
            </w:r>
          </w:p>
        </w:tc>
        <w:tc>
          <w:tcPr>
            <w:tcW w:w="20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66"/>
        </w:trPr>
        <w:tc>
          <w:tcPr>
            <w:tcW w:w="5300" w:type="dxa"/>
            <w:vAlign w:val="bottom"/>
            <w:gridSpan w:val="2"/>
          </w:tcPr>
          <w:p>
            <w:pPr>
              <w:ind w:left="140"/>
              <w:spacing w:after="0"/>
              <w:rPr>
                <w:sz w:val="20"/>
                <w:szCs w:val="20"/>
                <w:color w:val="auto"/>
              </w:rPr>
            </w:pPr>
            <w:r>
              <w:rPr>
                <w:rFonts w:ascii="Arial" w:cs="Arial" w:eastAsia="Arial" w:hAnsi="Arial"/>
                <w:sz w:val="18"/>
                <w:szCs w:val="18"/>
                <w:color w:val="131E29"/>
              </w:rPr>
              <w:t>Less: Net income attributable to non-controlling interests</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10,071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27,157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20"/>
              <w:spacing w:after="0"/>
              <w:rPr>
                <w:sz w:val="20"/>
                <w:szCs w:val="20"/>
                <w:color w:val="auto"/>
              </w:rPr>
            </w:pPr>
            <w:r>
              <w:rPr>
                <w:rFonts w:ascii="Arial" w:cs="Arial" w:eastAsia="Arial" w:hAnsi="Arial"/>
                <w:sz w:val="18"/>
                <w:szCs w:val="18"/>
                <w:color w:val="131E29"/>
              </w:rPr>
              <w:t>Net income per share of Class A common stock:</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53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Basic</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006098"/>
              </w:rPr>
              <w:t>0.20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74"/>
        </w:trPr>
        <w:tc>
          <w:tcPr>
            <w:tcW w:w="53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006098"/>
              </w:rPr>
              <w:t>0.20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-4010025</wp:posOffset>
            </wp:positionV>
            <wp:extent cx="70891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-3315970</wp:posOffset>
            </wp:positionV>
            <wp:extent cx="70891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-2621280</wp:posOffset>
            </wp:positionV>
            <wp:extent cx="70891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-2278380</wp:posOffset>
            </wp:positionV>
            <wp:extent cx="70891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-1935480</wp:posOffset>
            </wp:positionV>
            <wp:extent cx="70891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-1241425</wp:posOffset>
            </wp:positionV>
            <wp:extent cx="70891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0891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891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0891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-1584325</wp:posOffset>
            </wp:positionV>
            <wp:extent cx="70891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-2973070</wp:posOffset>
            </wp:positionV>
            <wp:extent cx="708914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-3658870</wp:posOffset>
            </wp:positionV>
            <wp:extent cx="70891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-4361815</wp:posOffset>
            </wp:positionV>
            <wp:extent cx="708914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31E29"/>
        </w:rPr>
        <w:t>2025</w:t>
      </w:r>
    </w:p>
    <w:p>
      <w:pPr>
        <w:spacing w:after="0" w:line="3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31E29"/>
        </w:rPr>
        <w:t>392,833</w:t>
      </w:r>
      <w:r>
        <w:rPr>
          <w:sz w:val="20"/>
          <w:szCs w:val="20"/>
          <w:color w:val="auto"/>
        </w:rPr>
        <w:tab/>
      </w:r>
      <w:r>
        <w:rPr>
          <w:rFonts w:ascii="Arial" w:cs="Arial" w:eastAsia="Arial" w:hAnsi="Arial"/>
          <w:sz w:val="17"/>
          <w:szCs w:val="17"/>
          <w:color w:val="006098"/>
        </w:rPr>
        <w: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131E29"/>
        </w:rPr>
        <w:t>30,751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34925</wp:posOffset>
            </wp:positionV>
            <wp:extent cx="8826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8"/>
          <w:szCs w:val="18"/>
          <w:color w:val="131E29"/>
        </w:rPr>
        <w:t>423,584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131E29"/>
        </w:rPr>
        <w:t>316,805</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131E29"/>
        </w:rPr>
        <w:t>65,289</w:t>
      </w:r>
    </w:p>
    <w:p>
      <w:pPr>
        <w:spacing w:after="0" w:line="77"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131E29"/>
        </w:rPr>
        <w:t>382,094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34925</wp:posOffset>
            </wp:positionV>
            <wp:extent cx="8826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131E29"/>
        </w:rPr>
        <w:t>41,490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131E29"/>
        </w:rPr>
        <w:t>(6,695)</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131E29"/>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34925</wp:posOffset>
            </wp:positionV>
            <wp:extent cx="8826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57"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131E29"/>
        </w:rPr>
        <w:t>(6,546)</w:t>
      </w:r>
    </w:p>
    <w:p>
      <w:pPr>
        <w:spacing w:after="0" w:line="33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131E29"/>
        </w:rPr>
        <w:t>34,944</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131E29"/>
        </w:rPr>
        <w:t>7,661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34925</wp:posOffset>
            </wp:positionV>
            <wp:extent cx="882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5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31E29"/>
        </w:rPr>
        <w:t>27,283</w:t>
      </w:r>
      <w:r>
        <w:rPr>
          <w:sz w:val="20"/>
          <w:szCs w:val="20"/>
          <w:color w:val="auto"/>
        </w:rPr>
        <w:tab/>
      </w:r>
      <w:r>
        <w:rPr>
          <w:rFonts w:ascii="Arial" w:cs="Arial" w:eastAsia="Arial" w:hAnsi="Arial"/>
          <w:sz w:val="17"/>
          <w:szCs w:val="17"/>
          <w:color w:val="006098"/>
        </w:rPr>
        <w: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131E29"/>
        </w:rPr>
        <w:t>9,788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34925</wp:posOffset>
            </wp:positionV>
            <wp:extent cx="8826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5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b w:val="1"/>
          <w:bCs w:val="1"/>
          <w:color w:val="131E29"/>
        </w:rPr>
        <w:t>17,495</w:t>
      </w:r>
      <w:r>
        <w:rPr>
          <w:sz w:val="20"/>
          <w:szCs w:val="20"/>
          <w:color w:val="auto"/>
        </w:rPr>
        <w:tab/>
      </w:r>
      <w:r>
        <w:rPr>
          <w:rFonts w:ascii="Arial" w:cs="Arial" w:eastAsia="Arial" w:hAnsi="Arial"/>
          <w:sz w:val="17"/>
          <w:szCs w:val="17"/>
          <w:b w:val="1"/>
          <w:bCs w:val="1"/>
          <w:color w:val="00609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34925</wp:posOffset>
            </wp:positionV>
            <wp:extent cx="882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4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b w:val="1"/>
          <w:bCs w:val="1"/>
          <w:color w:val="131E29"/>
        </w:rPr>
        <w:t>0.14</w:t>
      </w:r>
      <w:r>
        <w:rPr>
          <w:sz w:val="20"/>
          <w:szCs w:val="20"/>
          <w:color w:val="auto"/>
        </w:rPr>
        <w:tab/>
      </w:r>
      <w:r>
        <w:rPr>
          <w:rFonts w:ascii="Arial" w:cs="Arial" w:eastAsia="Arial" w:hAnsi="Arial"/>
          <w:sz w:val="17"/>
          <w:szCs w:val="17"/>
          <w:b w:val="1"/>
          <w:bCs w:val="1"/>
          <w:color w:val="006098"/>
        </w:rPr>
        <w:t>$</w:t>
      </w:r>
    </w:p>
    <w:p>
      <w:pPr>
        <w:spacing w:after="0" w:line="6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b w:val="1"/>
          <w:bCs w:val="1"/>
          <w:color w:val="131E29"/>
        </w:rPr>
        <w:t>0.14</w:t>
      </w:r>
      <w:r>
        <w:rPr>
          <w:sz w:val="20"/>
          <w:szCs w:val="20"/>
          <w:color w:val="auto"/>
        </w:rPr>
        <w:tab/>
      </w:r>
      <w:r>
        <w:rPr>
          <w:rFonts w:ascii="Arial" w:cs="Arial" w:eastAsia="Arial" w:hAnsi="Arial"/>
          <w:sz w:val="17"/>
          <w:szCs w:val="17"/>
          <w:b w:val="1"/>
          <w:bCs w:val="1"/>
          <w:color w:val="006098"/>
        </w:rPr>
        <w:t>$</w:t>
      </w:r>
    </w:p>
    <w:p>
      <w:pPr>
        <w:spacing w:after="0" w:line="20" w:lineRule="exact"/>
        <w:rPr>
          <w:sz w:val="20"/>
          <w:szCs w:val="20"/>
          <w:color w:val="auto"/>
        </w:rPr>
      </w:pPr>
      <w:r>
        <w:rPr>
          <w:sz w:val="20"/>
          <w:szCs w:val="20"/>
          <w:color w:val="auto"/>
        </w:rPr>
        <w:br w:type="column"/>
      </w:r>
    </w:p>
    <w:p>
      <w:pPr>
        <w:spacing w:after="0"/>
        <w:tabs>
          <w:tab w:leader="none" w:pos="1480" w:val="left"/>
        </w:tabs>
        <w:rPr>
          <w:sz w:val="20"/>
          <w:szCs w:val="20"/>
          <w:color w:val="auto"/>
        </w:rPr>
      </w:pPr>
      <w:r>
        <w:rPr>
          <w:rFonts w:ascii="Arial" w:cs="Arial" w:eastAsia="Arial" w:hAnsi="Arial"/>
          <w:sz w:val="18"/>
          <w:szCs w:val="18"/>
          <w:b w:val="1"/>
          <w:bCs w:val="1"/>
          <w:color w:val="131E29"/>
        </w:rPr>
        <w:t>2026</w:t>
      </w:r>
      <w:r>
        <w:rPr>
          <w:sz w:val="20"/>
          <w:szCs w:val="20"/>
          <w:color w:val="auto"/>
        </w:rPr>
        <w:tab/>
      </w:r>
      <w:r>
        <w:rPr>
          <w:rFonts w:ascii="Arial" w:cs="Arial" w:eastAsia="Arial" w:hAnsi="Arial"/>
          <w:sz w:val="18"/>
          <w:szCs w:val="18"/>
          <w:b w:val="1"/>
          <w:bCs w:val="1"/>
          <w:color w:val="131E29"/>
        </w:rPr>
        <w:t>2025</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960" w:type="dxa"/>
            <w:vAlign w:val="bottom"/>
          </w:tcPr>
          <w:p>
            <w:pPr>
              <w:jc w:val="right"/>
              <w:ind w:right="70"/>
              <w:spacing w:after="0"/>
              <w:rPr>
                <w:sz w:val="20"/>
                <w:szCs w:val="20"/>
                <w:color w:val="auto"/>
              </w:rPr>
            </w:pPr>
            <w:r>
              <w:rPr>
                <w:rFonts w:ascii="Arial" w:cs="Arial" w:eastAsia="Arial" w:hAnsi="Arial"/>
                <w:sz w:val="18"/>
                <w:szCs w:val="18"/>
                <w:color w:val="006098"/>
                <w:w w:val="97"/>
              </w:rPr>
              <w:t>1,454,094</w:t>
            </w: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131E29"/>
              </w:rPr>
              <w:t>1,099,754</w:t>
            </w:r>
          </w:p>
        </w:tc>
      </w:tr>
      <w:tr>
        <w:trPr>
          <w:trHeight w:val="266"/>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111,008</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94,795</w:t>
            </w:r>
          </w:p>
        </w:tc>
      </w:tr>
      <w:tr>
        <w:trPr>
          <w:trHeight w:val="263"/>
        </w:trPr>
        <w:tc>
          <w:tcPr>
            <w:tcW w:w="960" w:type="dxa"/>
            <w:vAlign w:val="bottom"/>
          </w:tcPr>
          <w:p>
            <w:pPr>
              <w:jc w:val="right"/>
              <w:ind w:right="70"/>
              <w:spacing w:after="0"/>
              <w:rPr>
                <w:sz w:val="20"/>
                <w:szCs w:val="20"/>
                <w:color w:val="auto"/>
              </w:rPr>
            </w:pPr>
            <w:r>
              <w:rPr>
                <w:rFonts w:ascii="Arial" w:cs="Arial" w:eastAsia="Arial" w:hAnsi="Arial"/>
                <w:sz w:val="18"/>
                <w:szCs w:val="18"/>
                <w:color w:val="006098"/>
                <w:w w:val="97"/>
              </w:rPr>
              <w:t>1,565,102</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1,194,549</w:t>
            </w:r>
          </w:p>
        </w:tc>
      </w:tr>
      <w:tr>
        <w:trPr>
          <w:trHeight w:val="794"/>
        </w:trPr>
        <w:tc>
          <w:tcPr>
            <w:tcW w:w="960" w:type="dxa"/>
            <w:vAlign w:val="bottom"/>
          </w:tcPr>
          <w:p>
            <w:pPr>
              <w:jc w:val="right"/>
              <w:ind w:right="70"/>
              <w:spacing w:after="0"/>
              <w:rPr>
                <w:sz w:val="20"/>
                <w:szCs w:val="20"/>
                <w:color w:val="auto"/>
              </w:rPr>
            </w:pPr>
            <w:r>
              <w:rPr>
                <w:rFonts w:ascii="Arial" w:cs="Arial" w:eastAsia="Arial" w:hAnsi="Arial"/>
                <w:sz w:val="18"/>
                <w:szCs w:val="18"/>
                <w:color w:val="006098"/>
                <w:w w:val="97"/>
              </w:rPr>
              <w:t>1,174,802</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877,733</w:t>
            </w:r>
          </w:p>
        </w:tc>
      </w:tr>
      <w:tr>
        <w:trPr>
          <w:trHeight w:val="266"/>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232,781</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189,595</w:t>
            </w:r>
          </w:p>
        </w:tc>
      </w:tr>
      <w:tr>
        <w:trPr>
          <w:trHeight w:val="263"/>
        </w:trPr>
        <w:tc>
          <w:tcPr>
            <w:tcW w:w="960" w:type="dxa"/>
            <w:vAlign w:val="bottom"/>
          </w:tcPr>
          <w:p>
            <w:pPr>
              <w:jc w:val="right"/>
              <w:ind w:right="70"/>
              <w:spacing w:after="0"/>
              <w:rPr>
                <w:sz w:val="20"/>
                <w:szCs w:val="20"/>
                <w:color w:val="auto"/>
              </w:rPr>
            </w:pPr>
            <w:r>
              <w:rPr>
                <w:rFonts w:ascii="Arial" w:cs="Arial" w:eastAsia="Arial" w:hAnsi="Arial"/>
                <w:sz w:val="18"/>
                <w:szCs w:val="18"/>
                <w:color w:val="006098"/>
                <w:w w:val="97"/>
              </w:rPr>
              <w:t>1,407,583</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1,067,328</w:t>
            </w:r>
          </w:p>
        </w:tc>
      </w:tr>
      <w:tr>
        <w:trPr>
          <w:trHeight w:val="524"/>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157,519</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127,221</w:t>
            </w:r>
          </w:p>
        </w:tc>
      </w:tr>
      <w:tr>
        <w:trPr>
          <w:trHeight w:val="810"/>
        </w:trPr>
        <w:tc>
          <w:tcPr>
            <w:tcW w:w="960" w:type="dxa"/>
            <w:vAlign w:val="bottom"/>
          </w:tcPr>
          <w:p>
            <w:pPr>
              <w:jc w:val="right"/>
              <w:ind w:right="30"/>
              <w:spacing w:after="0"/>
              <w:rPr>
                <w:sz w:val="20"/>
                <w:szCs w:val="20"/>
                <w:color w:val="auto"/>
              </w:rPr>
            </w:pPr>
            <w:r>
              <w:rPr>
                <w:rFonts w:ascii="Arial" w:cs="Arial" w:eastAsia="Arial" w:hAnsi="Arial"/>
                <w:sz w:val="18"/>
                <w:szCs w:val="18"/>
                <w:color w:val="006098"/>
              </w:rPr>
              <w:t>(21,337)</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(20,886)</w:t>
            </w:r>
          </w:p>
        </w:tc>
      </w:tr>
      <w:tr>
        <w:trPr>
          <w:trHeight w:val="266"/>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1,086</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(1,852)</w:t>
            </w:r>
          </w:p>
        </w:tc>
      </w:tr>
      <w:tr>
        <w:trPr>
          <w:trHeight w:val="263"/>
        </w:trPr>
        <w:tc>
          <w:tcPr>
            <w:tcW w:w="960" w:type="dxa"/>
            <w:vAlign w:val="bottom"/>
          </w:tcPr>
          <w:p>
            <w:pPr>
              <w:jc w:val="right"/>
              <w:ind w:right="30"/>
              <w:spacing w:after="0"/>
              <w:rPr>
                <w:sz w:val="20"/>
                <w:szCs w:val="20"/>
                <w:color w:val="auto"/>
              </w:rPr>
            </w:pPr>
            <w:r>
              <w:rPr>
                <w:rFonts w:ascii="Arial" w:cs="Arial" w:eastAsia="Arial" w:hAnsi="Arial"/>
                <w:sz w:val="18"/>
                <w:szCs w:val="18"/>
                <w:color w:val="006098"/>
              </w:rPr>
              <w:t>(20,251)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(22,738)</w:t>
            </w:r>
          </w:p>
        </w:tc>
      </w:tr>
      <w:tr>
        <w:trPr>
          <w:trHeight w:val="524"/>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137,268</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104,483</w:t>
            </w:r>
          </w:p>
        </w:tc>
      </w:tr>
      <w:tr>
        <w:trPr>
          <w:trHeight w:val="266"/>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24,771</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16,363</w:t>
            </w:r>
          </w:p>
        </w:tc>
      </w:tr>
      <w:tr>
        <w:trPr>
          <w:trHeight w:val="268"/>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112,497</w:t>
            </w: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131E29"/>
              </w:rPr>
              <w:t>88,120</w:t>
            </w:r>
          </w:p>
        </w:tc>
      </w:tr>
      <w:tr>
        <w:trPr>
          <w:trHeight w:val="266"/>
        </w:trPr>
        <w:tc>
          <w:tcPr>
            <w:tcW w:w="960" w:type="dxa"/>
            <w:vAlign w:val="bottom"/>
          </w:tcPr>
          <w:p>
            <w:pPr>
              <w:jc w:val="right"/>
              <w:ind w:right="70"/>
              <w:spacing w:after="0"/>
              <w:rPr>
                <w:sz w:val="20"/>
                <w:szCs w:val="20"/>
                <w:color w:val="auto"/>
              </w:rPr>
            </w:pPr>
            <w:r>
              <w:rPr>
                <w:rFonts w:ascii="Arial" w:cs="Arial" w:eastAsia="Arial" w:hAnsi="Arial"/>
                <w:sz w:val="18"/>
                <w:szCs w:val="18"/>
                <w:color w:val="006098"/>
              </w:rPr>
              <w:t>31,833</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29,648</w:t>
            </w:r>
          </w:p>
        </w:tc>
      </w:tr>
      <w:tr>
        <w:trPr>
          <w:trHeight w:val="263"/>
        </w:trPr>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006098"/>
              </w:rPr>
              <w:t>80,664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58,472</w:t>
            </w:r>
          </w:p>
        </w:tc>
      </w:tr>
      <w:tr>
        <w:trPr>
          <w:trHeight w:val="20"/>
        </w:trPr>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5"/>
        </w:trPr>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006098"/>
              </w:rPr>
              <w:t>0.61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131E29"/>
              </w:rPr>
              <w:t>0.47</w:t>
            </w:r>
          </w:p>
        </w:tc>
      </w:tr>
      <w:tr>
        <w:trPr>
          <w:trHeight w:val="274"/>
        </w:trPr>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006098"/>
              </w:rPr>
              <w:t>0.60</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131E29"/>
              </w:rPr>
              <w:t>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-538480</wp:posOffset>
            </wp:positionV>
            <wp:extent cx="8915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-718185</wp:posOffset>
            </wp:positionV>
            <wp:extent cx="8915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-1069975</wp:posOffset>
            </wp:positionV>
            <wp:extent cx="8915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-1764030</wp:posOffset>
            </wp:positionV>
            <wp:extent cx="8915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-2792730</wp:posOffset>
            </wp:positionV>
            <wp:extent cx="891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-3838575</wp:posOffset>
            </wp:positionV>
            <wp:extent cx="8915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6900" w:space="380"/>
            <w:col w:w="1100" w:space="400"/>
            <w:col w:w="246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131E29"/>
        </w:rPr>
        <w:t>Weighted-average shares of Class A common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91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5" w:lineRule="exact"/>
        <w:rPr>
          <w:sz w:val="20"/>
          <w:szCs w:val="20"/>
          <w:color w:val="auto"/>
        </w:rPr>
      </w:pPr>
    </w:p>
    <w:tbl>
      <w:tblPr>
        <w:tblLayout w:type="fixed"/>
        <w:tblInd w:w="140" w:type="dxa"/>
        <w:tblCellMar>
          <w:top w:w="0" w:type="dxa"/>
          <w:left w:w="0" w:type="dxa"/>
          <w:bottom w:w="0" w:type="dxa"/>
          <w:right w:w="0" w:type="dxa"/>
        </w:tblCellMar>
      </w:tblPr>
      <w:tr>
        <w:trPr>
          <w:trHeight w:val="266"/>
        </w:trPr>
        <w:tc>
          <w:tcPr>
            <w:tcW w:w="3180" w:type="dxa"/>
            <w:vAlign w:val="bottom"/>
          </w:tcPr>
          <w:p>
            <w:pPr>
              <w:spacing w:after="0"/>
              <w:rPr>
                <w:sz w:val="20"/>
                <w:szCs w:val="20"/>
                <w:color w:val="auto"/>
              </w:rPr>
            </w:pPr>
            <w:r>
              <w:rPr>
                <w:rFonts w:ascii="Arial" w:cs="Arial" w:eastAsia="Arial" w:hAnsi="Arial"/>
                <w:sz w:val="18"/>
                <w:szCs w:val="18"/>
                <w:color w:val="131E29"/>
              </w:rPr>
              <w:t>Basic</w:t>
            </w:r>
          </w:p>
        </w:tc>
        <w:tc>
          <w:tcPr>
            <w:tcW w:w="3720" w:type="dxa"/>
            <w:vAlign w:val="bottom"/>
          </w:tcPr>
          <w:p>
            <w:pPr>
              <w:jc w:val="right"/>
              <w:ind w:right="330"/>
              <w:spacing w:after="0"/>
              <w:rPr>
                <w:sz w:val="20"/>
                <w:szCs w:val="20"/>
                <w:color w:val="auto"/>
              </w:rPr>
            </w:pPr>
            <w:r>
              <w:rPr>
                <w:rFonts w:ascii="Arial" w:cs="Arial" w:eastAsia="Arial" w:hAnsi="Arial"/>
                <w:sz w:val="18"/>
                <w:szCs w:val="18"/>
                <w:color w:val="006098"/>
              </w:rPr>
              <w:t>137,941</w:t>
            </w:r>
          </w:p>
        </w:tc>
        <w:tc>
          <w:tcPr>
            <w:tcW w:w="1060" w:type="dxa"/>
            <w:vAlign w:val="bottom"/>
          </w:tcPr>
          <w:p>
            <w:pPr>
              <w:jc w:val="right"/>
              <w:spacing w:after="0"/>
              <w:rPr>
                <w:sz w:val="20"/>
                <w:szCs w:val="20"/>
                <w:color w:val="auto"/>
              </w:rPr>
            </w:pPr>
            <w:r>
              <w:rPr>
                <w:rFonts w:ascii="Arial" w:cs="Arial" w:eastAsia="Arial" w:hAnsi="Arial"/>
                <w:sz w:val="18"/>
                <w:szCs w:val="18"/>
                <w:color w:val="131E29"/>
              </w:rPr>
              <w:t>126,986</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131E29"/>
              </w:rPr>
              <w:t>Diluted</w:t>
            </w:r>
          </w:p>
        </w:tc>
        <w:tc>
          <w:tcPr>
            <w:tcW w:w="3720" w:type="dxa"/>
            <w:vAlign w:val="bottom"/>
          </w:tcPr>
          <w:p>
            <w:pPr>
              <w:jc w:val="right"/>
              <w:ind w:right="330"/>
              <w:spacing w:after="0"/>
              <w:rPr>
                <w:sz w:val="20"/>
                <w:szCs w:val="20"/>
                <w:color w:val="auto"/>
              </w:rPr>
            </w:pPr>
            <w:r>
              <w:rPr>
                <w:rFonts w:ascii="Arial" w:cs="Arial" w:eastAsia="Arial" w:hAnsi="Arial"/>
                <w:sz w:val="18"/>
                <w:szCs w:val="18"/>
                <w:color w:val="006098"/>
              </w:rPr>
              <w:t>138,178</w:t>
            </w:r>
          </w:p>
        </w:tc>
        <w:tc>
          <w:tcPr>
            <w:tcW w:w="1060" w:type="dxa"/>
            <w:vAlign w:val="bottom"/>
          </w:tcPr>
          <w:p>
            <w:pPr>
              <w:jc w:val="right"/>
              <w:spacing w:after="0"/>
              <w:rPr>
                <w:sz w:val="20"/>
                <w:szCs w:val="20"/>
                <w:color w:val="auto"/>
              </w:rPr>
            </w:pPr>
            <w:r>
              <w:rPr>
                <w:rFonts w:ascii="Arial" w:cs="Arial" w:eastAsia="Arial" w:hAnsi="Arial"/>
                <w:sz w:val="18"/>
                <w:szCs w:val="18"/>
                <w:color w:val="131E29"/>
              </w:rPr>
              <w:t>127,379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1080" w:type="dxa"/>
            <w:vAlign w:val="bottom"/>
          </w:tcPr>
          <w:p>
            <w:pPr>
              <w:jc w:val="right"/>
              <w:ind w:right="330"/>
              <w:spacing w:after="0"/>
              <w:rPr>
                <w:sz w:val="20"/>
                <w:szCs w:val="20"/>
                <w:color w:val="auto"/>
              </w:rPr>
            </w:pPr>
            <w:r>
              <w:rPr>
                <w:rFonts w:ascii="Arial" w:cs="Arial" w:eastAsia="Arial" w:hAnsi="Arial"/>
                <w:sz w:val="18"/>
                <w:szCs w:val="18"/>
                <w:color w:val="006098"/>
                <w:w w:val="98"/>
              </w:rPr>
              <w:t>133,230</w:t>
            </w:r>
          </w:p>
        </w:tc>
        <w:tc>
          <w:tcPr>
            <w:tcW w:w="1080" w:type="dxa"/>
            <w:vAlign w:val="bottom"/>
          </w:tcPr>
          <w:p>
            <w:pPr>
              <w:jc w:val="right"/>
              <w:spacing w:after="0"/>
              <w:rPr>
                <w:sz w:val="20"/>
                <w:szCs w:val="20"/>
                <w:color w:val="auto"/>
              </w:rPr>
            </w:pPr>
            <w:r>
              <w:rPr>
                <w:rFonts w:ascii="Arial" w:cs="Arial" w:eastAsia="Arial" w:hAnsi="Arial"/>
                <w:sz w:val="18"/>
                <w:szCs w:val="18"/>
                <w:color w:val="131E29"/>
              </w:rPr>
              <w:t>124,751</w:t>
            </w:r>
          </w:p>
        </w:tc>
      </w:tr>
      <w:tr>
        <w:trPr>
          <w:trHeight w:val="270"/>
        </w:trPr>
        <w:tc>
          <w:tcPr>
            <w:tcW w:w="1080" w:type="dxa"/>
            <w:vAlign w:val="bottom"/>
          </w:tcPr>
          <w:p>
            <w:pPr>
              <w:jc w:val="right"/>
              <w:ind w:right="330"/>
              <w:spacing w:after="0"/>
              <w:rPr>
                <w:sz w:val="20"/>
                <w:szCs w:val="20"/>
                <w:color w:val="auto"/>
              </w:rPr>
            </w:pPr>
            <w:r>
              <w:rPr>
                <w:rFonts w:ascii="Arial" w:cs="Arial" w:eastAsia="Arial" w:hAnsi="Arial"/>
                <w:sz w:val="18"/>
                <w:szCs w:val="18"/>
                <w:color w:val="006098"/>
                <w:w w:val="98"/>
              </w:rPr>
              <w:t>133,388</w:t>
            </w:r>
          </w:p>
        </w:tc>
        <w:tc>
          <w:tcPr>
            <w:tcW w:w="1080" w:type="dxa"/>
            <w:vAlign w:val="bottom"/>
          </w:tcPr>
          <w:p>
            <w:pPr>
              <w:jc w:val="right"/>
              <w:spacing w:after="0"/>
              <w:rPr>
                <w:sz w:val="20"/>
                <w:szCs w:val="20"/>
                <w:color w:val="auto"/>
              </w:rPr>
            </w:pPr>
            <w:r>
              <w:rPr>
                <w:rFonts w:ascii="Arial" w:cs="Arial" w:eastAsia="Arial" w:hAnsi="Arial"/>
                <w:sz w:val="18"/>
                <w:szCs w:val="18"/>
                <w:color w:val="131E29"/>
              </w:rPr>
              <w:t>125,204</w:t>
            </w:r>
          </w:p>
        </w:tc>
      </w:tr>
    </w:tbl>
    <w:p>
      <w:pPr>
        <w:spacing w:after="0" w:line="200" w:lineRule="exact"/>
        <w:rPr>
          <w:sz w:val="20"/>
          <w:szCs w:val="20"/>
          <w:color w:val="auto"/>
        </w:rPr>
      </w:pPr>
    </w:p>
    <w:p>
      <w:pPr>
        <w:sectPr>
          <w:pgSz w:w="11900" w:h="16838" w:orient="portrait"/>
          <w:cols w:equalWidth="0" w:num="2">
            <w:col w:w="8220" w:space="720"/>
            <w:col w:w="23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580"/>
        <w:spacing w:after="0"/>
        <w:rPr>
          <w:sz w:val="20"/>
          <w:szCs w:val="20"/>
          <w:color w:val="auto"/>
        </w:rPr>
      </w:pPr>
      <w:r>
        <w:rPr>
          <w:sz w:val="1"/>
          <w:szCs w:val="1"/>
          <w:color w:val="auto"/>
        </w:rPr>
        <w:drawing>
          <wp:inline distT="0" distB="0" distL="0" distR="0">
            <wp:extent cx="171450" cy="2400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6" w:lineRule="exact"/>
        <w:rPr>
          <w:sz w:val="20"/>
          <w:szCs w:val="20"/>
          <w:color w:val="auto"/>
        </w:rPr>
      </w:pPr>
    </w:p>
    <w:p>
      <w:pPr>
        <w:jc w:val="center"/>
        <w:ind w:left="4220"/>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131E29"/>
        </w:rPr>
        <w:t>Company-Operated Shops Results</w:t>
      </w:r>
    </w:p>
    <w:p>
      <w:pPr>
        <w:spacing w:after="0" w:line="333" w:lineRule="exact"/>
        <w:rPr>
          <w:sz w:val="20"/>
          <w:szCs w:val="20"/>
          <w:color w:val="auto"/>
        </w:rPr>
      </w:pPr>
    </w:p>
    <w:p>
      <w:pPr>
        <w:jc w:val="center"/>
        <w:ind w:left="2860"/>
        <w:spacing w:after="0"/>
        <w:rPr>
          <w:sz w:val="20"/>
          <w:szCs w:val="20"/>
          <w:color w:val="auto"/>
        </w:rPr>
      </w:pPr>
      <w:r>
        <w:rPr>
          <w:rFonts w:ascii="Arial" w:cs="Arial" w:eastAsia="Arial" w:hAnsi="Arial"/>
          <w:sz w:val="18"/>
          <w:szCs w:val="18"/>
          <w:b w:val="1"/>
          <w:bCs w:val="1"/>
          <w:color w:val="131E29"/>
        </w:rPr>
        <w:t>Three Months Ended</w:t>
      </w:r>
    </w:p>
    <w:p>
      <w:pPr>
        <w:spacing w:after="0" w:line="27" w:lineRule="exact"/>
        <w:rPr>
          <w:sz w:val="20"/>
          <w:szCs w:val="20"/>
          <w:color w:val="auto"/>
        </w:rPr>
      </w:pPr>
    </w:p>
    <w:p>
      <w:pPr>
        <w:jc w:val="center"/>
        <w:ind w:left="2860"/>
        <w:spacing w:after="0"/>
        <w:rPr>
          <w:sz w:val="20"/>
          <w:szCs w:val="20"/>
          <w:color w:val="auto"/>
        </w:rPr>
      </w:pPr>
      <w:r>
        <w:rPr>
          <w:rFonts w:ascii="Arial" w:cs="Arial" w:eastAsia="Arial" w:hAnsi="Arial"/>
          <w:sz w:val="18"/>
          <w:szCs w:val="18"/>
          <w:b w:val="1"/>
          <w:bCs w:val="1"/>
          <w:color w:val="131E29"/>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23495</wp:posOffset>
            </wp:positionV>
            <wp:extent cx="2477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2026</w:t>
            </w:r>
          </w:p>
        </w:tc>
        <w:tc>
          <w:tcPr>
            <w:tcW w:w="6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2025</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24"/>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Company-operated shops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131E29"/>
              </w:rPr>
              <w:t>revenue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006098"/>
              </w:rPr>
              <w:t>515,006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006098"/>
              </w:rPr>
              <w:t>100.0</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131E29"/>
              </w:rPr>
              <w:t>392,833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131E29"/>
              </w:rPr>
              <w:t>100.0</w:t>
            </w:r>
          </w:p>
        </w:tc>
        <w:tc>
          <w:tcPr>
            <w:tcW w:w="0" w:type="dxa"/>
            <w:vAlign w:val="bottom"/>
          </w:tcPr>
          <w:p>
            <w:pPr>
              <w:spacing w:after="0"/>
              <w:rPr>
                <w:sz w:val="1"/>
                <w:szCs w:val="1"/>
                <w:color w:val="auto"/>
              </w:rPr>
            </w:pPr>
          </w:p>
        </w:tc>
      </w:tr>
      <w:tr>
        <w:trPr>
          <w:trHeight w:val="482"/>
        </w:trPr>
        <w:tc>
          <w:tcPr>
            <w:tcW w:w="3000" w:type="dxa"/>
            <w:vAlign w:val="bottom"/>
            <w:gridSpan w:val="2"/>
          </w:tcPr>
          <w:p>
            <w:pPr>
              <w:ind w:left="20"/>
              <w:spacing w:after="0"/>
              <w:rPr>
                <w:sz w:val="20"/>
                <w:szCs w:val="20"/>
                <w:color w:val="auto"/>
              </w:rPr>
            </w:pPr>
            <w:r>
              <w:rPr>
                <w:rFonts w:ascii="Arial" w:cs="Arial" w:eastAsia="Arial" w:hAnsi="Arial"/>
                <w:sz w:val="18"/>
                <w:szCs w:val="18"/>
                <w:color w:val="131E29"/>
              </w:rPr>
              <w:t>Beverage, food and packaging</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ind w:left="20"/>
              <w:spacing w:after="0"/>
              <w:rPr>
                <w:sz w:val="20"/>
                <w:szCs w:val="20"/>
                <w:color w:val="auto"/>
              </w:rPr>
            </w:pPr>
            <w:r>
              <w:rPr>
                <w:rFonts w:ascii="Arial" w:cs="Arial" w:eastAsia="Arial" w:hAnsi="Arial"/>
                <w:sz w:val="18"/>
                <w:szCs w:val="18"/>
                <w:color w:val="131E29"/>
              </w:rPr>
              <w:t>costs</w:t>
            </w:r>
          </w:p>
        </w:tc>
        <w:tc>
          <w:tcPr>
            <w:tcW w:w="1040" w:type="dxa"/>
            <w:vAlign w:val="bottom"/>
          </w:tcPr>
          <w:p>
            <w:pPr>
              <w:jc w:val="right"/>
              <w:spacing w:after="0"/>
              <w:rPr>
                <w:sz w:val="20"/>
                <w:szCs w:val="20"/>
                <w:color w:val="auto"/>
              </w:rPr>
            </w:pPr>
            <w:r>
              <w:rPr>
                <w:rFonts w:ascii="Arial" w:cs="Arial" w:eastAsia="Arial" w:hAnsi="Arial"/>
                <w:sz w:val="18"/>
                <w:szCs w:val="18"/>
                <w:color w:val="006098"/>
              </w:rPr>
              <w:t>132,064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6098"/>
              </w:rPr>
              <w:t>25.6</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101,875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25.9</w:t>
            </w:r>
          </w:p>
        </w:tc>
        <w:tc>
          <w:tcPr>
            <w:tcW w:w="0" w:type="dxa"/>
            <w:vAlign w:val="bottom"/>
          </w:tcPr>
          <w:p>
            <w:pPr>
              <w:spacing w:after="0"/>
              <w:rPr>
                <w:sz w:val="1"/>
                <w:szCs w:val="1"/>
                <w:color w:val="auto"/>
              </w:rPr>
            </w:pP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131E29"/>
              </w:rPr>
              <w:t>Labor costs</w:t>
            </w:r>
          </w:p>
        </w:tc>
        <w:tc>
          <w:tcPr>
            <w:tcW w:w="1040" w:type="dxa"/>
            <w:vAlign w:val="bottom"/>
          </w:tcPr>
          <w:p>
            <w:pPr>
              <w:jc w:val="right"/>
              <w:spacing w:after="0"/>
              <w:rPr>
                <w:sz w:val="20"/>
                <w:szCs w:val="20"/>
                <w:color w:val="auto"/>
              </w:rPr>
            </w:pPr>
            <w:r>
              <w:rPr>
                <w:rFonts w:ascii="Arial" w:cs="Arial" w:eastAsia="Arial" w:hAnsi="Arial"/>
                <w:sz w:val="18"/>
                <w:szCs w:val="18"/>
                <w:color w:val="006098"/>
              </w:rPr>
              <w:t>137,636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6098"/>
              </w:rPr>
              <w:t>26.7</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108,098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27.5</w:t>
            </w:r>
          </w:p>
        </w:tc>
        <w:tc>
          <w:tcPr>
            <w:tcW w:w="0" w:type="dxa"/>
            <w:vAlign w:val="bottom"/>
          </w:tcPr>
          <w:p>
            <w:pPr>
              <w:spacing w:after="0"/>
              <w:rPr>
                <w:sz w:val="1"/>
                <w:szCs w:val="1"/>
                <w:color w:val="auto"/>
              </w:rPr>
            </w:pP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131E29"/>
              </w:rPr>
              <w:t>Occupancy and other costs</w:t>
            </w:r>
          </w:p>
        </w:tc>
        <w:tc>
          <w:tcPr>
            <w:tcW w:w="1040" w:type="dxa"/>
            <w:vAlign w:val="bottom"/>
          </w:tcPr>
          <w:p>
            <w:pPr>
              <w:jc w:val="right"/>
              <w:spacing w:after="0"/>
              <w:rPr>
                <w:sz w:val="20"/>
                <w:szCs w:val="20"/>
                <w:color w:val="auto"/>
              </w:rPr>
            </w:pPr>
            <w:r>
              <w:rPr>
                <w:rFonts w:ascii="Arial" w:cs="Arial" w:eastAsia="Arial" w:hAnsi="Arial"/>
                <w:sz w:val="18"/>
                <w:szCs w:val="18"/>
                <w:color w:val="006098"/>
              </w:rPr>
              <w:t>92,804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6098"/>
              </w:rPr>
              <w:t>18.0</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66,696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17.0</w:t>
            </w:r>
          </w:p>
        </w:tc>
        <w:tc>
          <w:tcPr>
            <w:tcW w:w="0" w:type="dxa"/>
            <w:vAlign w:val="bottom"/>
          </w:tcPr>
          <w:p>
            <w:pPr>
              <w:spacing w:after="0"/>
              <w:rPr>
                <w:sz w:val="1"/>
                <w:szCs w:val="1"/>
                <w:color w:val="auto"/>
              </w:rPr>
            </w:pP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131E29"/>
              </w:rPr>
              <w:t>Pre-opening costs</w:t>
            </w:r>
          </w:p>
        </w:tc>
        <w:tc>
          <w:tcPr>
            <w:tcW w:w="1040" w:type="dxa"/>
            <w:vAlign w:val="bottom"/>
          </w:tcPr>
          <w:p>
            <w:pPr>
              <w:jc w:val="right"/>
              <w:spacing w:after="0"/>
              <w:rPr>
                <w:sz w:val="20"/>
                <w:szCs w:val="20"/>
                <w:color w:val="auto"/>
              </w:rPr>
            </w:pPr>
            <w:r>
              <w:rPr>
                <w:rFonts w:ascii="Arial" w:cs="Arial" w:eastAsia="Arial" w:hAnsi="Arial"/>
                <w:sz w:val="18"/>
                <w:szCs w:val="18"/>
                <w:color w:val="006098"/>
              </w:rPr>
              <w:t>8,026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6098"/>
              </w:rPr>
              <w:t>1.6</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6,933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1.8</w:t>
            </w:r>
          </w:p>
        </w:tc>
        <w:tc>
          <w:tcPr>
            <w:tcW w:w="0" w:type="dxa"/>
            <w:vAlign w:val="bottom"/>
          </w:tcPr>
          <w:p>
            <w:pPr>
              <w:spacing w:after="0"/>
              <w:rPr>
                <w:sz w:val="1"/>
                <w:szCs w:val="1"/>
                <w:color w:val="auto"/>
              </w:rPr>
            </w:pPr>
          </w:p>
        </w:tc>
      </w:tr>
      <w:tr>
        <w:trPr>
          <w:trHeight w:val="266"/>
        </w:trPr>
        <w:tc>
          <w:tcPr>
            <w:tcW w:w="3000" w:type="dxa"/>
            <w:vAlign w:val="bottom"/>
            <w:gridSpan w:val="2"/>
          </w:tcPr>
          <w:p>
            <w:pPr>
              <w:ind w:left="20"/>
              <w:spacing w:after="0"/>
              <w:rPr>
                <w:sz w:val="20"/>
                <w:szCs w:val="20"/>
                <w:color w:val="auto"/>
              </w:rPr>
            </w:pPr>
            <w:r>
              <w:rPr>
                <w:rFonts w:ascii="Arial" w:cs="Arial" w:eastAsia="Arial" w:hAnsi="Arial"/>
                <w:sz w:val="18"/>
                <w:szCs w:val="18"/>
                <w:color w:val="131E29"/>
              </w:rPr>
              <w:t>Depreciation and amortization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34,997</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6.8</w:t>
            </w:r>
          </w:p>
        </w:tc>
        <w:tc>
          <w:tcPr>
            <w:tcW w:w="8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26,796</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6.8</w:t>
            </w:r>
          </w:p>
        </w:tc>
        <w:tc>
          <w:tcPr>
            <w:tcW w:w="0" w:type="dxa"/>
            <w:vAlign w:val="bottom"/>
          </w:tcPr>
          <w:p>
            <w:pPr>
              <w:spacing w:after="0"/>
              <w:rPr>
                <w:sz w:val="1"/>
                <w:szCs w:val="1"/>
                <w:color w:val="auto"/>
              </w:rPr>
            </w:pPr>
          </w:p>
        </w:tc>
      </w:tr>
      <w:tr>
        <w:trPr>
          <w:trHeight w:val="204"/>
        </w:trPr>
        <w:tc>
          <w:tcPr>
            <w:tcW w:w="3000" w:type="dxa"/>
            <w:vAlign w:val="bottom"/>
            <w:gridSpan w:val="2"/>
          </w:tcPr>
          <w:p>
            <w:pPr>
              <w:ind w:left="20"/>
              <w:spacing w:after="0" w:line="204" w:lineRule="exact"/>
              <w:rPr>
                <w:sz w:val="20"/>
                <w:szCs w:val="20"/>
                <w:color w:val="auto"/>
              </w:rPr>
            </w:pPr>
            <w:r>
              <w:rPr>
                <w:rFonts w:ascii="Arial" w:cs="Arial" w:eastAsia="Arial" w:hAnsi="Arial"/>
                <w:sz w:val="18"/>
                <w:szCs w:val="18"/>
                <w:color w:val="131E29"/>
              </w:rPr>
              <w:t>Company-operated shops costs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000" w:type="dxa"/>
            <w:vAlign w:val="bottom"/>
            <w:gridSpan w:val="2"/>
          </w:tcPr>
          <w:p>
            <w:pPr>
              <w:ind w:left="20"/>
              <w:spacing w:after="0"/>
              <w:rPr>
                <w:sz w:val="20"/>
                <w:szCs w:val="20"/>
                <w:color w:val="auto"/>
              </w:rPr>
            </w:pPr>
            <w:r>
              <w:rPr>
                <w:rFonts w:ascii="Arial" w:cs="Arial" w:eastAsia="Arial" w:hAnsi="Arial"/>
                <w:sz w:val="18"/>
                <w:szCs w:val="18"/>
                <w:color w:val="131E29"/>
              </w:rPr>
              <w:t>and expenses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405,527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78.7</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310,398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79.0</w:t>
            </w:r>
          </w:p>
        </w:tc>
        <w:tc>
          <w:tcPr>
            <w:tcW w:w="0" w:type="dxa"/>
            <w:vAlign w:val="bottom"/>
          </w:tcPr>
          <w:p>
            <w:pPr>
              <w:spacing w:after="0"/>
              <w:rPr>
                <w:sz w:val="1"/>
                <w:szCs w:val="1"/>
                <w:color w:val="auto"/>
              </w:rPr>
            </w:pPr>
          </w:p>
        </w:tc>
      </w:tr>
      <w:tr>
        <w:trPr>
          <w:trHeight w:val="204"/>
        </w:trPr>
        <w:tc>
          <w:tcPr>
            <w:tcW w:w="3000" w:type="dxa"/>
            <w:vAlign w:val="bottom"/>
            <w:gridSpan w:val="2"/>
          </w:tcPr>
          <w:p>
            <w:pPr>
              <w:ind w:left="140"/>
              <w:spacing w:after="0" w:line="204" w:lineRule="exact"/>
              <w:rPr>
                <w:sz w:val="20"/>
                <w:szCs w:val="20"/>
                <w:color w:val="auto"/>
              </w:rPr>
            </w:pPr>
            <w:r>
              <w:rPr>
                <w:rFonts w:ascii="Arial" w:cs="Arial" w:eastAsia="Arial" w:hAnsi="Arial"/>
                <w:sz w:val="18"/>
                <w:szCs w:val="18"/>
                <w:b w:val="1"/>
                <w:bCs w:val="1"/>
                <w:color w:val="131E29"/>
              </w:rPr>
              <w:t>Company-operated shops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131E29"/>
              </w:rPr>
              <w:t>82,435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131E29"/>
              </w:rPr>
              <w:t>21.0</w:t>
            </w:r>
          </w:p>
        </w:tc>
        <w:tc>
          <w:tcPr>
            <w:tcW w:w="0" w:type="dxa"/>
            <w:vAlign w:val="bottom"/>
          </w:tcPr>
          <w:p>
            <w:pPr>
              <w:spacing w:after="0"/>
              <w:rPr>
                <w:sz w:val="1"/>
                <w:szCs w:val="1"/>
                <w:color w:val="auto"/>
              </w:rPr>
            </w:pPr>
          </w:p>
        </w:tc>
      </w:tr>
      <w:tr>
        <w:trPr>
          <w:trHeight w:val="235"/>
        </w:trPr>
        <w:tc>
          <w:tcPr>
            <w:tcW w:w="30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gross profit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109,479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21.3</w:t>
            </w:r>
          </w:p>
        </w:tc>
        <w:tc>
          <w:tcPr>
            <w:tcW w:w="8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140"/>
              <w:spacing w:after="0"/>
              <w:rPr>
                <w:sz w:val="20"/>
                <w:szCs w:val="20"/>
                <w:color w:val="auto"/>
              </w:rPr>
            </w:pPr>
            <w:r>
              <w:rPr>
                <w:rFonts w:ascii="Arial" w:cs="Arial" w:eastAsia="Arial" w:hAnsi="Arial"/>
                <w:sz w:val="18"/>
                <w:szCs w:val="18"/>
                <w:color w:val="131E29"/>
              </w:rPr>
              <w:t>Company-operated shops</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00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3000" w:type="dxa"/>
            <w:vAlign w:val="bottom"/>
            <w:gridSpan w:val="2"/>
          </w:tcPr>
          <w:p>
            <w:pPr>
              <w:ind w:left="140"/>
              <w:spacing w:after="0"/>
              <w:rPr>
                <w:sz w:val="20"/>
                <w:szCs w:val="20"/>
                <w:color w:val="auto"/>
              </w:rPr>
            </w:pPr>
            <w:r>
              <w:rPr>
                <w:rFonts w:ascii="Arial" w:cs="Arial" w:eastAsia="Arial" w:hAnsi="Arial"/>
                <w:sz w:val="18"/>
                <w:szCs w:val="18"/>
                <w:color w:val="131E29"/>
              </w:rPr>
              <w:t xml:space="preserve">contribution </w:t>
            </w:r>
            <w:r>
              <w:rPr>
                <w:rFonts w:ascii="Arial" w:cs="Arial" w:eastAsia="Arial" w:hAnsi="Arial"/>
                <w:sz w:val="23"/>
                <w:szCs w:val="23"/>
                <w:color w:val="131E29"/>
                <w:vertAlign w:val="superscript"/>
              </w:rPr>
              <w:t>1</w:t>
            </w:r>
          </w:p>
        </w:tc>
        <w:tc>
          <w:tcPr>
            <w:tcW w:w="1040" w:type="dxa"/>
            <w:vAlign w:val="bottom"/>
          </w:tcPr>
          <w:p>
            <w:pPr>
              <w:jc w:val="right"/>
              <w:spacing w:after="0"/>
              <w:rPr>
                <w:sz w:val="20"/>
                <w:szCs w:val="20"/>
                <w:color w:val="auto"/>
              </w:rPr>
            </w:pPr>
            <w:r>
              <w:rPr>
                <w:rFonts w:ascii="Arial" w:cs="Arial" w:eastAsia="Arial" w:hAnsi="Arial"/>
                <w:sz w:val="18"/>
                <w:szCs w:val="18"/>
                <w:color w:val="006098"/>
              </w:rPr>
              <w:t>144,476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6098"/>
              </w:rPr>
              <w:t>28.1</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109,231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-1957705</wp:posOffset>
            </wp:positionV>
            <wp:extent cx="711517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-1477645</wp:posOffset>
            </wp:positionV>
            <wp:extent cx="71151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-1134745</wp:posOffset>
            </wp:positionV>
            <wp:extent cx="71151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-654685</wp:posOffset>
            </wp:positionV>
            <wp:extent cx="7115175"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-2446020</wp:posOffset>
            </wp:positionV>
            <wp:extent cx="7115175" cy="316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3168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131E29"/>
        </w:rPr>
        <w:t>_________________</w:t>
      </w:r>
    </w:p>
    <w:p>
      <w:pPr>
        <w:spacing w:after="0" w:line="44"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131E29"/>
        </w:rPr>
        <w:t>Nine Months Ended</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131E29"/>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26828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Pr>
          <w:p>
            <w:pPr>
              <w:jc w:val="right"/>
              <w:spacing w:after="0"/>
              <w:rPr>
                <w:sz w:val="20"/>
                <w:szCs w:val="20"/>
                <w:color w:val="auto"/>
              </w:rPr>
            </w:pPr>
            <w:r>
              <w:rPr>
                <w:rFonts w:ascii="Arial" w:cs="Arial" w:eastAsia="Arial" w:hAnsi="Arial"/>
                <w:sz w:val="18"/>
                <w:szCs w:val="18"/>
                <w:b w:val="1"/>
                <w:bCs w:val="1"/>
                <w:color w:val="131E29"/>
              </w:rPr>
              <w:t>2026</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131E29"/>
              </w:rPr>
              <w:t>2025</w:t>
            </w:r>
          </w:p>
        </w:tc>
        <w:tc>
          <w:tcPr>
            <w:tcW w:w="760" w:type="dxa"/>
            <w:vAlign w:val="bottom"/>
            <w:tcBorders>
              <w:bottom w:val="single" w:sz="8" w:color="auto"/>
            </w:tcBorders>
          </w:tcPr>
          <w:p>
            <w:pPr>
              <w:spacing w:after="0"/>
              <w:rPr>
                <w:sz w:val="22"/>
                <w:szCs w:val="22"/>
                <w:color w:val="auto"/>
              </w:rPr>
            </w:pPr>
          </w:p>
        </w:tc>
      </w:tr>
      <w:tr>
        <w:trPr>
          <w:trHeight w:val="263"/>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131E29"/>
              </w:rPr>
              <w:t>$</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131E29"/>
              </w:rPr>
              <w:t>%</w:t>
            </w:r>
          </w:p>
        </w:tc>
      </w:tr>
      <w:tr>
        <w:trPr>
          <w:trHeight w:val="498"/>
        </w:trPr>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006098"/>
                <w:w w:val="97"/>
              </w:rPr>
              <w:t>1,454,094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006098"/>
              </w:rPr>
              <w:t>100.0</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131E29"/>
              </w:rPr>
              <w:t>1,099,754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131E29"/>
              </w:rPr>
              <w:t>100.0</w:t>
            </w:r>
          </w:p>
        </w:tc>
      </w:tr>
      <w:tr>
        <w:trPr>
          <w:trHeight w:val="748"/>
        </w:trPr>
        <w:tc>
          <w:tcPr>
            <w:tcW w:w="980" w:type="dxa"/>
            <w:vAlign w:val="bottom"/>
          </w:tcPr>
          <w:p>
            <w:pPr>
              <w:jc w:val="right"/>
              <w:ind w:right="90"/>
              <w:spacing w:after="0"/>
              <w:rPr>
                <w:sz w:val="20"/>
                <w:szCs w:val="20"/>
                <w:color w:val="auto"/>
              </w:rPr>
            </w:pPr>
            <w:r>
              <w:rPr>
                <w:rFonts w:ascii="Arial" w:cs="Arial" w:eastAsia="Arial" w:hAnsi="Arial"/>
                <w:sz w:val="18"/>
                <w:szCs w:val="18"/>
                <w:color w:val="006098"/>
              </w:rPr>
              <w:t>377,494</w:t>
            </w:r>
          </w:p>
        </w:tc>
        <w:tc>
          <w:tcPr>
            <w:tcW w:w="760" w:type="dxa"/>
            <w:vAlign w:val="bottom"/>
          </w:tcPr>
          <w:p>
            <w:pPr>
              <w:jc w:val="right"/>
              <w:spacing w:after="0"/>
              <w:rPr>
                <w:sz w:val="20"/>
                <w:szCs w:val="20"/>
                <w:color w:val="auto"/>
              </w:rPr>
            </w:pPr>
            <w:r>
              <w:rPr>
                <w:rFonts w:ascii="Arial" w:cs="Arial" w:eastAsia="Arial" w:hAnsi="Arial"/>
                <w:sz w:val="18"/>
                <w:szCs w:val="18"/>
                <w:color w:val="006098"/>
              </w:rPr>
              <w:t>26.0</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279,722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131E29"/>
              </w:rPr>
              <w:t>25.4</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8"/>
                <w:szCs w:val="18"/>
                <w:color w:val="006098"/>
              </w:rPr>
              <w:t>379,401</w:t>
            </w:r>
          </w:p>
        </w:tc>
        <w:tc>
          <w:tcPr>
            <w:tcW w:w="760" w:type="dxa"/>
            <w:vAlign w:val="bottom"/>
          </w:tcPr>
          <w:p>
            <w:pPr>
              <w:jc w:val="right"/>
              <w:spacing w:after="0"/>
              <w:rPr>
                <w:sz w:val="20"/>
                <w:szCs w:val="20"/>
                <w:color w:val="auto"/>
              </w:rPr>
            </w:pPr>
            <w:r>
              <w:rPr>
                <w:rFonts w:ascii="Arial" w:cs="Arial" w:eastAsia="Arial" w:hAnsi="Arial"/>
                <w:sz w:val="18"/>
                <w:szCs w:val="18"/>
                <w:color w:val="006098"/>
              </w:rPr>
              <w:t>26.0</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298,807</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131E29"/>
              </w:rPr>
              <w:t>27.2</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8"/>
                <w:szCs w:val="18"/>
                <w:color w:val="006098"/>
              </w:rPr>
              <w:t>252,674</w:t>
            </w:r>
          </w:p>
        </w:tc>
        <w:tc>
          <w:tcPr>
            <w:tcW w:w="760" w:type="dxa"/>
            <w:vAlign w:val="bottom"/>
          </w:tcPr>
          <w:p>
            <w:pPr>
              <w:jc w:val="right"/>
              <w:spacing w:after="0"/>
              <w:rPr>
                <w:sz w:val="20"/>
                <w:szCs w:val="20"/>
                <w:color w:val="auto"/>
              </w:rPr>
            </w:pPr>
            <w:r>
              <w:rPr>
                <w:rFonts w:ascii="Arial" w:cs="Arial" w:eastAsia="Arial" w:hAnsi="Arial"/>
                <w:sz w:val="18"/>
                <w:szCs w:val="18"/>
                <w:color w:val="006098"/>
              </w:rPr>
              <w:t>17.4</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180,607</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131E29"/>
              </w:rPr>
              <w:t>16.4</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8"/>
                <w:szCs w:val="18"/>
                <w:color w:val="006098"/>
              </w:rPr>
              <w:t>22,775</w:t>
            </w:r>
          </w:p>
        </w:tc>
        <w:tc>
          <w:tcPr>
            <w:tcW w:w="760" w:type="dxa"/>
            <w:vAlign w:val="bottom"/>
          </w:tcPr>
          <w:p>
            <w:pPr>
              <w:jc w:val="right"/>
              <w:spacing w:after="0"/>
              <w:rPr>
                <w:sz w:val="20"/>
                <w:szCs w:val="20"/>
                <w:color w:val="auto"/>
              </w:rPr>
            </w:pPr>
            <w:r>
              <w:rPr>
                <w:rFonts w:ascii="Arial" w:cs="Arial" w:eastAsia="Arial" w:hAnsi="Arial"/>
                <w:sz w:val="18"/>
                <w:szCs w:val="18"/>
                <w:color w:val="006098"/>
              </w:rPr>
              <w:t>1.6</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17,086</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131E29"/>
              </w:rPr>
              <w:t>1.6</w:t>
            </w:r>
          </w:p>
        </w:tc>
      </w:tr>
      <w:tr>
        <w:trPr>
          <w:trHeight w:val="266"/>
        </w:trPr>
        <w:tc>
          <w:tcPr>
            <w:tcW w:w="980" w:type="dxa"/>
            <w:vAlign w:val="bottom"/>
          </w:tcPr>
          <w:p>
            <w:pPr>
              <w:jc w:val="right"/>
              <w:ind w:right="90"/>
              <w:spacing w:after="0"/>
              <w:rPr>
                <w:sz w:val="20"/>
                <w:szCs w:val="20"/>
                <w:color w:val="auto"/>
              </w:rPr>
            </w:pPr>
            <w:r>
              <w:rPr>
                <w:rFonts w:ascii="Arial" w:cs="Arial" w:eastAsia="Arial" w:hAnsi="Arial"/>
                <w:sz w:val="18"/>
                <w:szCs w:val="18"/>
                <w:color w:val="006098"/>
              </w:rPr>
              <w:t>103,188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7.1</w:t>
            </w:r>
          </w:p>
        </w:tc>
        <w:tc>
          <w:tcPr>
            <w:tcW w:w="8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77,047</w:t>
            </w:r>
          </w:p>
        </w:tc>
        <w:tc>
          <w:tcPr>
            <w:tcW w:w="10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7.0</w:t>
            </w:r>
          </w:p>
        </w:tc>
      </w:tr>
      <w:tr>
        <w:trPr>
          <w:trHeight w:val="466"/>
        </w:trPr>
        <w:tc>
          <w:tcPr>
            <w:tcW w:w="980" w:type="dxa"/>
            <w:vAlign w:val="bottom"/>
          </w:tcPr>
          <w:p>
            <w:pPr>
              <w:jc w:val="right"/>
              <w:ind w:right="90"/>
              <w:spacing w:after="0"/>
              <w:rPr>
                <w:sz w:val="20"/>
                <w:szCs w:val="20"/>
                <w:color w:val="auto"/>
              </w:rPr>
            </w:pPr>
            <w:r>
              <w:rPr>
                <w:rFonts w:ascii="Arial" w:cs="Arial" w:eastAsia="Arial" w:hAnsi="Arial"/>
                <w:sz w:val="18"/>
                <w:szCs w:val="18"/>
                <w:color w:val="006098"/>
                <w:w w:val="97"/>
              </w:rPr>
              <w:t>1,135,532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78.1</w:t>
            </w:r>
          </w:p>
        </w:tc>
        <w:tc>
          <w:tcPr>
            <w:tcW w:w="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853,269</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77.6</w:t>
            </w:r>
          </w:p>
        </w:tc>
      </w:tr>
      <w:tr>
        <w:trPr>
          <w:trHeight w:val="439"/>
        </w:trPr>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006098"/>
              </w:rPr>
              <w:t>318,562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21.9</w:t>
            </w:r>
          </w:p>
        </w:tc>
        <w:tc>
          <w:tcPr>
            <w:tcW w:w="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246,485</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22.4</w:t>
            </w:r>
          </w:p>
        </w:tc>
      </w:tr>
      <w:tr>
        <w:trPr>
          <w:trHeight w:val="20"/>
        </w:trPr>
        <w:tc>
          <w:tcPr>
            <w:tcW w:w="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56"/>
        </w:trPr>
        <w:tc>
          <w:tcPr>
            <w:tcW w:w="980" w:type="dxa"/>
            <w:vAlign w:val="bottom"/>
          </w:tcPr>
          <w:p>
            <w:pPr>
              <w:jc w:val="right"/>
              <w:ind w:right="90"/>
              <w:spacing w:after="0"/>
              <w:rPr>
                <w:sz w:val="20"/>
                <w:szCs w:val="20"/>
                <w:color w:val="auto"/>
              </w:rPr>
            </w:pPr>
            <w:r>
              <w:rPr>
                <w:rFonts w:ascii="Arial" w:cs="Arial" w:eastAsia="Arial" w:hAnsi="Arial"/>
                <w:sz w:val="18"/>
                <w:szCs w:val="18"/>
                <w:color w:val="006098"/>
              </w:rPr>
              <w:t>421,750</w:t>
            </w:r>
          </w:p>
        </w:tc>
        <w:tc>
          <w:tcPr>
            <w:tcW w:w="760" w:type="dxa"/>
            <w:vAlign w:val="bottom"/>
          </w:tcPr>
          <w:p>
            <w:pPr>
              <w:jc w:val="right"/>
              <w:spacing w:after="0"/>
              <w:rPr>
                <w:sz w:val="20"/>
                <w:szCs w:val="20"/>
                <w:color w:val="auto"/>
              </w:rPr>
            </w:pPr>
            <w:r>
              <w:rPr>
                <w:rFonts w:ascii="Arial" w:cs="Arial" w:eastAsia="Arial" w:hAnsi="Arial"/>
                <w:sz w:val="18"/>
                <w:szCs w:val="18"/>
                <w:color w:val="006098"/>
              </w:rPr>
              <w:t>29.0</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323,532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131E29"/>
              </w:rPr>
              <w:t>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-301625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-927735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-2590800</wp:posOffset>
            </wp:positionV>
            <wp:extent cx="13112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673" w:lineRule="exact"/>
        <w:rPr>
          <w:sz w:val="20"/>
          <w:szCs w:val="20"/>
          <w:color w:val="auto"/>
        </w:rPr>
      </w:pPr>
    </w:p>
    <w:p>
      <w:pPr>
        <w:sectPr>
          <w:pgSz w:w="11900" w:h="16838" w:orient="portrait"/>
          <w:cols w:equalWidth="0" w:num="2">
            <w:col w:w="7020" w:space="300"/>
            <w:col w:w="3920"/>
          </w:cols>
          <w:pgMar w:left="320" w:top="1440" w:right="339" w:bottom="1440" w:gutter="0" w:footer="0" w:header="0"/>
        </w:sectPr>
      </w:pPr>
    </w:p>
    <w:p>
      <w:pPr>
        <w:jc w:val="center"/>
        <w:ind w:right="-19"/>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31E29"/>
        </w:rPr>
        <w:t>Summary Cash Flows Data</w:t>
      </w:r>
    </w:p>
    <w:p>
      <w:pPr>
        <w:spacing w:after="0" w:line="333" w:lineRule="exact"/>
        <w:rPr>
          <w:sz w:val="20"/>
          <w:szCs w:val="20"/>
          <w:color w:val="auto"/>
        </w:rPr>
      </w:pPr>
    </w:p>
    <w:p>
      <w:pPr>
        <w:jc w:val="center"/>
        <w:ind w:left="7980"/>
        <w:spacing w:after="0"/>
        <w:rPr>
          <w:sz w:val="20"/>
          <w:szCs w:val="20"/>
          <w:color w:val="auto"/>
        </w:rPr>
      </w:pPr>
      <w:r>
        <w:rPr>
          <w:rFonts w:ascii="Arial" w:cs="Arial" w:eastAsia="Arial" w:hAnsi="Arial"/>
          <w:sz w:val="17"/>
          <w:szCs w:val="17"/>
          <w:b w:val="1"/>
          <w:bCs w:val="1"/>
          <w:color w:val="131E29"/>
        </w:rPr>
        <w:t>Nine Months Ended</w:t>
      </w:r>
    </w:p>
    <w:p>
      <w:pPr>
        <w:spacing w:after="0" w:line="39"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131E29"/>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Net cash provided by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Net cash used in financing activities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580"/>
        <w:spacing w:after="0"/>
        <w:tabs>
          <w:tab w:leader="none" w:pos="2240" w:val="left"/>
        </w:tabs>
        <w:rPr>
          <w:sz w:val="20"/>
          <w:szCs w:val="20"/>
          <w:color w:val="auto"/>
        </w:rPr>
      </w:pPr>
      <w:r>
        <w:rPr>
          <w:rFonts w:ascii="Arial" w:cs="Arial" w:eastAsia="Arial" w:hAnsi="Arial"/>
          <w:sz w:val="18"/>
          <w:szCs w:val="18"/>
          <w:b w:val="1"/>
          <w:bCs w:val="1"/>
          <w:color w:val="131E29"/>
        </w:rPr>
        <w:t>2026</w:t>
      </w:r>
      <w:r>
        <w:rPr>
          <w:sz w:val="20"/>
          <w:szCs w:val="20"/>
          <w:color w:val="auto"/>
        </w:rPr>
        <w:tab/>
      </w:r>
      <w:r>
        <w:rPr>
          <w:rFonts w:ascii="Arial" w:cs="Arial" w:eastAsia="Arial" w:hAnsi="Arial"/>
          <w:sz w:val="18"/>
          <w:szCs w:val="18"/>
          <w:b w:val="1"/>
          <w:bCs w:val="1"/>
          <w:color w:val="131E29"/>
        </w:rPr>
        <w:t>2025</w:t>
      </w:r>
    </w:p>
    <w:p>
      <w:pPr>
        <w:spacing w:after="0" w:line="77" w:lineRule="exact"/>
        <w:rPr>
          <w:sz w:val="20"/>
          <w:szCs w:val="20"/>
          <w:color w:val="auto"/>
        </w:rPr>
      </w:pPr>
    </w:p>
    <w:p>
      <w:pPr>
        <w:spacing w:after="0"/>
        <w:tabs>
          <w:tab w:leader="none" w:pos="820" w:val="left"/>
          <w:tab w:leader="none" w:pos="1660" w:val="left"/>
          <w:tab w:leader="none" w:pos="2500" w:val="left"/>
        </w:tabs>
        <w:rPr>
          <w:sz w:val="20"/>
          <w:szCs w:val="20"/>
          <w:color w:val="auto"/>
        </w:rPr>
      </w:pPr>
      <w:r>
        <w:rPr>
          <w:rFonts w:ascii="Arial" w:cs="Arial" w:eastAsia="Arial" w:hAnsi="Arial"/>
          <w:sz w:val="18"/>
          <w:szCs w:val="18"/>
          <w:color w:val="006098"/>
        </w:rPr>
        <w:t>$</w:t>
      </w:r>
      <w:r>
        <w:rPr>
          <w:sz w:val="20"/>
          <w:szCs w:val="20"/>
          <w:color w:val="auto"/>
        </w:rPr>
        <w:tab/>
      </w:r>
      <w:r>
        <w:rPr>
          <w:rFonts w:ascii="Arial" w:cs="Arial" w:eastAsia="Arial" w:hAnsi="Arial"/>
          <w:sz w:val="18"/>
          <w:szCs w:val="18"/>
          <w:color w:val="006098"/>
        </w:rPr>
        <w:t>297,033</w:t>
      </w:r>
      <w:r>
        <w:rPr>
          <w:rFonts w:ascii="Arial" w:cs="Arial" w:eastAsia="Arial" w:hAnsi="Arial"/>
          <w:sz w:val="18"/>
          <w:szCs w:val="18"/>
          <w:color w:val="131E29"/>
        </w:rPr>
        <w:tab/>
        <w:t>$</w:t>
      </w:r>
      <w:r>
        <w:rPr>
          <w:sz w:val="20"/>
          <w:szCs w:val="20"/>
          <w:color w:val="auto"/>
        </w:rPr>
        <w:tab/>
      </w:r>
      <w:r>
        <w:rPr>
          <w:rFonts w:ascii="Arial" w:cs="Arial" w:eastAsia="Arial" w:hAnsi="Arial"/>
          <w:sz w:val="17"/>
          <w:szCs w:val="17"/>
          <w:color w:val="131E29"/>
        </w:rPr>
        <w:t>215,906</w:t>
      </w:r>
    </w:p>
    <w:p>
      <w:pPr>
        <w:spacing w:after="0" w:line="63" w:lineRule="exact"/>
        <w:rPr>
          <w:sz w:val="20"/>
          <w:szCs w:val="20"/>
          <w:color w:val="auto"/>
        </w:rPr>
      </w:pPr>
    </w:p>
    <w:p>
      <w:pPr>
        <w:jc w:val="both"/>
        <w:ind w:left="760"/>
        <w:spacing w:after="0"/>
        <w:tabs>
          <w:tab w:leader="none" w:pos="2420" w:val="left"/>
        </w:tabs>
        <w:rPr>
          <w:sz w:val="20"/>
          <w:szCs w:val="20"/>
          <w:color w:val="auto"/>
        </w:rPr>
      </w:pPr>
      <w:r>
        <w:rPr>
          <w:rFonts w:ascii="Arial" w:cs="Arial" w:eastAsia="Arial" w:hAnsi="Arial"/>
          <w:sz w:val="18"/>
          <w:szCs w:val="18"/>
          <w:color w:val="006098"/>
        </w:rPr>
        <w:t>(307,859)</w:t>
      </w:r>
      <w:r>
        <w:rPr>
          <w:sz w:val="20"/>
          <w:szCs w:val="20"/>
          <w:color w:val="auto"/>
        </w:rPr>
        <w:tab/>
      </w:r>
      <w:r>
        <w:rPr>
          <w:rFonts w:ascii="Arial" w:cs="Arial" w:eastAsia="Arial" w:hAnsi="Arial"/>
          <w:sz w:val="18"/>
          <w:szCs w:val="18"/>
          <w:color w:val="131E29"/>
        </w:rPr>
        <w:t>(169,936)</w:t>
      </w:r>
    </w:p>
    <w:p>
      <w:pPr>
        <w:spacing w:after="0" w:line="63" w:lineRule="exact"/>
        <w:rPr>
          <w:sz w:val="20"/>
          <w:szCs w:val="20"/>
          <w:color w:val="auto"/>
        </w:rPr>
      </w:pPr>
    </w:p>
    <w:p>
      <w:pPr>
        <w:ind w:left="860"/>
        <w:spacing w:after="0"/>
        <w:tabs>
          <w:tab w:leader="none" w:pos="2520" w:val="left"/>
        </w:tabs>
        <w:rPr>
          <w:sz w:val="20"/>
          <w:szCs w:val="20"/>
          <w:color w:val="auto"/>
        </w:rPr>
      </w:pPr>
      <w:r>
        <w:rPr>
          <w:rFonts w:ascii="Arial" w:cs="Arial" w:eastAsia="Arial" w:hAnsi="Arial"/>
          <w:sz w:val="18"/>
          <w:szCs w:val="18"/>
          <w:color w:val="006098"/>
        </w:rPr>
        <w:t>(63,972)</w:t>
      </w:r>
      <w:r>
        <w:rPr>
          <w:sz w:val="20"/>
          <w:szCs w:val="20"/>
          <w:color w:val="auto"/>
        </w:rPr>
        <w:tab/>
      </w:r>
      <w:r>
        <w:rPr>
          <w:rFonts w:ascii="Arial" w:cs="Arial" w:eastAsia="Arial" w:hAnsi="Arial"/>
          <w:sz w:val="18"/>
          <w:szCs w:val="18"/>
          <w:color w:val="131E29"/>
        </w:rPr>
        <w:t>(72,129)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20656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7280" w:space="720"/>
            <w:col w:w="3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980" w:type="dxa"/>
            <w:vAlign w:val="bottom"/>
          </w:tcPr>
          <w:p>
            <w:pPr>
              <w:ind w:left="20"/>
              <w:spacing w:after="0"/>
              <w:rPr>
                <w:sz w:val="20"/>
                <w:szCs w:val="20"/>
                <w:color w:val="auto"/>
              </w:rPr>
            </w:pPr>
            <w:r>
              <w:rPr>
                <w:rFonts w:ascii="Arial" w:cs="Arial" w:eastAsia="Arial" w:hAnsi="Arial"/>
                <w:sz w:val="18"/>
                <w:szCs w:val="18"/>
                <w:b w:val="1"/>
                <w:bCs w:val="1"/>
                <w:color w:val="131E29"/>
              </w:rPr>
              <w:t>Net decrease in cash and cash equivalents</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006098"/>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006098"/>
              </w:rPr>
              <w:t>(74,798)</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131E29"/>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1E29"/>
              </w:rPr>
              <w:t>(26,159)</w:t>
            </w:r>
          </w:p>
        </w:tc>
      </w:tr>
      <w:tr>
        <w:trPr>
          <w:trHeight w:val="270"/>
        </w:trPr>
        <w:tc>
          <w:tcPr>
            <w:tcW w:w="798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500" w:type="dxa"/>
            <w:vAlign w:val="bottom"/>
            <w:tcBorders>
              <w:bottom w:val="single" w:sz="8" w:color="auto"/>
            </w:tcBorders>
            <w:shd w:val="clear" w:color="auto" w:fill="D2DCE5"/>
          </w:tcPr>
          <w:p>
            <w:pPr>
              <w:spacing w:after="0"/>
              <w:rPr>
                <w:sz w:val="23"/>
                <w:szCs w:val="23"/>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269,404</w:t>
            </w:r>
          </w:p>
        </w:tc>
        <w:tc>
          <w:tcPr>
            <w:tcW w:w="100" w:type="dxa"/>
            <w:vAlign w:val="bottom"/>
            <w:shd w:val="clear" w:color="auto" w:fill="D2DCE5"/>
          </w:tcPr>
          <w:p>
            <w:pPr>
              <w:spacing w:after="0"/>
              <w:rPr>
                <w:sz w:val="23"/>
                <w:szCs w:val="23"/>
                <w:color w:val="auto"/>
              </w:rPr>
            </w:pPr>
          </w:p>
        </w:tc>
        <w:tc>
          <w:tcPr>
            <w:tcW w:w="480" w:type="dxa"/>
            <w:vAlign w:val="bottom"/>
            <w:tcBorders>
              <w:bottom w:val="single" w:sz="8" w:color="auto"/>
            </w:tcBorders>
            <w:shd w:val="clear" w:color="auto" w:fill="D2DCE5"/>
          </w:tcPr>
          <w:p>
            <w:pPr>
              <w:spacing w:after="0"/>
              <w:rPr>
                <w:sz w:val="23"/>
                <w:szCs w:val="23"/>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293,354</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b w:val="1"/>
                <w:bCs w:val="1"/>
                <w:color w:val="131E29"/>
              </w:rPr>
              <w:t>Cash and cash equivalents at end of period</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006098"/>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194,606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131E29"/>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267,195</w:t>
            </w:r>
          </w:p>
        </w:tc>
      </w:tr>
      <w:tr>
        <w:trPr>
          <w:trHeight w:val="20"/>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Arial" w:cs="Arial" w:eastAsia="Arial" w:hAnsi="Arial"/>
                <w:sz w:val="18"/>
                <w:szCs w:val="18"/>
                <w:b w:val="1"/>
                <w:bCs w:val="1"/>
                <w:color w:val="131E29"/>
              </w:rPr>
              <w:t>September 30,</w:t>
            </w:r>
          </w:p>
        </w:tc>
        <w:tc>
          <w:tcPr>
            <w:tcW w:w="360" w:type="dxa"/>
            <w:vAlign w:val="bottom"/>
          </w:tcPr>
          <w:p>
            <w:pPr>
              <w:spacing w:after="0"/>
              <w:rPr>
                <w:sz w:val="20"/>
                <w:szCs w:val="20"/>
                <w:color w:val="auto"/>
              </w:rPr>
            </w:pPr>
          </w:p>
        </w:tc>
        <w:tc>
          <w:tcPr>
            <w:tcW w:w="2020" w:type="dxa"/>
            <w:vAlign w:val="bottom"/>
          </w:tcPr>
          <w:p>
            <w:pPr>
              <w:jc w:val="right"/>
              <w:ind w:right="518"/>
              <w:spacing w:after="0"/>
              <w:rPr>
                <w:sz w:val="20"/>
                <w:szCs w:val="20"/>
                <w:color w:val="auto"/>
              </w:rPr>
            </w:pPr>
            <w:r>
              <w:rPr>
                <w:rFonts w:ascii="Arial" w:cs="Arial" w:eastAsia="Arial" w:hAnsi="Arial"/>
                <w:sz w:val="18"/>
                <w:szCs w:val="18"/>
                <w:b w:val="1"/>
                <w:bCs w:val="1"/>
                <w:color w:val="131E29"/>
              </w:rPr>
              <w:t>December 31,</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40" w:type="dxa"/>
            <w:vAlign w:val="bottom"/>
          </w:tcPr>
          <w:p>
            <w:pPr>
              <w:spacing w:after="0"/>
              <w:rPr>
                <w:sz w:val="21"/>
                <w:szCs w:val="21"/>
                <w:color w:val="auto"/>
              </w:rPr>
            </w:pPr>
          </w:p>
        </w:tc>
        <w:tc>
          <w:tcPr>
            <w:tcW w:w="2020" w:type="dxa"/>
            <w:vAlign w:val="bottom"/>
          </w:tcPr>
          <w:p>
            <w:pPr>
              <w:jc w:val="right"/>
              <w:ind w:right="898"/>
              <w:spacing w:after="0"/>
              <w:rPr>
                <w:sz w:val="20"/>
                <w:szCs w:val="20"/>
                <w:color w:val="auto"/>
              </w:rPr>
            </w:pPr>
            <w:r>
              <w:rPr>
                <w:rFonts w:ascii="Arial" w:cs="Arial" w:eastAsia="Arial" w:hAnsi="Arial"/>
                <w:sz w:val="18"/>
                <w:szCs w:val="18"/>
                <w:b w:val="1"/>
                <w:bCs w:val="1"/>
                <w:color w:val="131E29"/>
              </w:rPr>
              <w:t>2026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Pr>
          <w:p>
            <w:pPr>
              <w:jc w:val="right"/>
              <w:ind w:right="898"/>
              <w:spacing w:after="0"/>
              <w:rPr>
                <w:sz w:val="20"/>
                <w:szCs w:val="20"/>
                <w:color w:val="auto"/>
              </w:rPr>
            </w:pPr>
            <w:r>
              <w:rPr>
                <w:rFonts w:ascii="Arial" w:cs="Arial" w:eastAsia="Arial" w:hAnsi="Arial"/>
                <w:sz w:val="18"/>
                <w:szCs w:val="18"/>
                <w:b w:val="1"/>
                <w:bCs w:val="1"/>
                <w:color w:val="131E29"/>
              </w:rPr>
              <w:t>2025</w:t>
            </w:r>
          </w:p>
        </w:tc>
      </w:tr>
      <w:tr>
        <w:trPr>
          <w:trHeight w:val="223"/>
        </w:trPr>
        <w:tc>
          <w:tcPr>
            <w:tcW w:w="630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8"/>
                <w:szCs w:val="18"/>
                <w:b w:val="1"/>
                <w:bCs w:val="1"/>
                <w:color w:val="131E29"/>
              </w:rPr>
              <w:t>Assets</w:t>
            </w:r>
          </w:p>
        </w:tc>
        <w:tc>
          <w:tcPr>
            <w:tcW w:w="100" w:type="dxa"/>
            <w:vAlign w:val="bottom"/>
            <w:tcBorders>
              <w:top w:val="single" w:sz="8" w:color="D2DCE5"/>
            </w:tcBorders>
            <w:shd w:val="clear" w:color="auto" w:fill="D2DCE5"/>
          </w:tcPr>
          <w:p>
            <w:pPr>
              <w:spacing w:after="0"/>
              <w:rPr>
                <w:sz w:val="19"/>
                <w:szCs w:val="19"/>
                <w:color w:val="auto"/>
              </w:rPr>
            </w:pPr>
          </w:p>
        </w:tc>
        <w:tc>
          <w:tcPr>
            <w:tcW w:w="340" w:type="dxa"/>
            <w:vAlign w:val="bottom"/>
            <w:tcBorders>
              <w:top w:val="single" w:sz="8" w:color="auto"/>
            </w:tcBorders>
            <w:shd w:val="clear" w:color="auto" w:fill="D2DCE5"/>
          </w:tcPr>
          <w:p>
            <w:pPr>
              <w:spacing w:after="0"/>
              <w:rPr>
                <w:sz w:val="19"/>
                <w:szCs w:val="19"/>
                <w:color w:val="auto"/>
              </w:rPr>
            </w:pPr>
          </w:p>
        </w:tc>
        <w:tc>
          <w:tcPr>
            <w:tcW w:w="2020" w:type="dxa"/>
            <w:vAlign w:val="bottom"/>
            <w:tcBorders>
              <w:top w:val="single" w:sz="8" w:color="auto"/>
            </w:tcBorders>
            <w:shd w:val="clear" w:color="auto" w:fill="D2DCE5"/>
          </w:tcPr>
          <w:p>
            <w:pPr>
              <w:spacing w:after="0"/>
              <w:rPr>
                <w:sz w:val="19"/>
                <w:szCs w:val="19"/>
                <w:color w:val="auto"/>
              </w:rPr>
            </w:pPr>
          </w:p>
        </w:tc>
        <w:tc>
          <w:tcPr>
            <w:tcW w:w="100" w:type="dxa"/>
            <w:vAlign w:val="bottom"/>
            <w:tcBorders>
              <w:top w:val="single" w:sz="8" w:color="D2DCE5"/>
            </w:tcBorders>
            <w:shd w:val="clear" w:color="auto" w:fill="D2DCE5"/>
          </w:tcPr>
          <w:p>
            <w:pPr>
              <w:spacing w:after="0"/>
              <w:rPr>
                <w:sz w:val="19"/>
                <w:szCs w:val="19"/>
                <w:color w:val="auto"/>
              </w:rPr>
            </w:pPr>
          </w:p>
        </w:tc>
        <w:tc>
          <w:tcPr>
            <w:tcW w:w="360" w:type="dxa"/>
            <w:vAlign w:val="bottom"/>
            <w:tcBorders>
              <w:top w:val="single" w:sz="8" w:color="auto"/>
            </w:tcBorders>
            <w:shd w:val="clear" w:color="auto" w:fill="D2DCE5"/>
          </w:tcPr>
          <w:p>
            <w:pPr>
              <w:spacing w:after="0"/>
              <w:rPr>
                <w:sz w:val="19"/>
                <w:szCs w:val="19"/>
                <w:color w:val="auto"/>
              </w:rPr>
            </w:pPr>
          </w:p>
        </w:tc>
        <w:tc>
          <w:tcPr>
            <w:tcW w:w="2020" w:type="dxa"/>
            <w:vAlign w:val="bottom"/>
            <w:tcBorders>
              <w:top w:val="single" w:sz="8" w:color="auto"/>
            </w:tcBorders>
            <w:shd w:val="clear" w:color="auto" w:fill="D2DCE5"/>
          </w:tcPr>
          <w:p>
            <w:pPr>
              <w:spacing w:after="0"/>
              <w:rPr>
                <w:sz w:val="19"/>
                <w:szCs w:val="19"/>
                <w:color w:val="auto"/>
              </w:rPr>
            </w:pP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131E29"/>
              </w:rPr>
              <w:t>Current assets:</w:t>
            </w: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7"/>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Cash and cash equivalents</w:t>
            </w:r>
          </w:p>
        </w:tc>
        <w:tc>
          <w:tcPr>
            <w:tcW w:w="34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006098"/>
                <w:w w:val="89"/>
              </w:rPr>
              <w:t>$</w:t>
            </w: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194,606</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269,404</w:t>
            </w:r>
          </w:p>
        </w:tc>
      </w:tr>
      <w:tr>
        <w:trPr>
          <w:trHeight w:val="215"/>
        </w:trPr>
        <w:tc>
          <w:tcPr>
            <w:tcW w:w="6400" w:type="dxa"/>
            <w:vAlign w:val="bottom"/>
            <w:gridSpan w:val="2"/>
          </w:tcPr>
          <w:p>
            <w:pPr>
              <w:ind w:left="180"/>
              <w:spacing w:after="0"/>
              <w:rPr>
                <w:sz w:val="20"/>
                <w:szCs w:val="20"/>
                <w:color w:val="auto"/>
              </w:rPr>
            </w:pPr>
            <w:r>
              <w:rPr>
                <w:rFonts w:ascii="Arial" w:cs="Arial" w:eastAsia="Arial" w:hAnsi="Arial"/>
                <w:sz w:val="16"/>
                <w:szCs w:val="16"/>
                <w:color w:val="131E29"/>
              </w:rPr>
              <w:t>Accounts receivable, net</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15,768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18,387</w:t>
            </w:r>
          </w:p>
        </w:tc>
      </w:tr>
      <w:tr>
        <w:trPr>
          <w:trHeight w:val="217"/>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Inventories, net</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42,001</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48,917</w:t>
            </w:r>
          </w:p>
        </w:tc>
      </w:tr>
      <w:tr>
        <w:trPr>
          <w:trHeight w:val="215"/>
        </w:trPr>
        <w:tc>
          <w:tcPr>
            <w:tcW w:w="640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Prepaid expenses and other current assets</w:t>
            </w: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31,732</w:t>
            </w:r>
          </w:p>
        </w:tc>
        <w:tc>
          <w:tcPr>
            <w:tcW w:w="100" w:type="dxa"/>
            <w:vAlign w:val="bottom"/>
            <w:tcBorders>
              <w:bottom w:val="single" w:sz="8" w:color="D2DC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20,670</w:t>
            </w:r>
          </w:p>
        </w:tc>
      </w:tr>
      <w:tr>
        <w:trPr>
          <w:trHeight w:val="210"/>
        </w:trPr>
        <w:tc>
          <w:tcPr>
            <w:tcW w:w="640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Total current assets</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284,107</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357,378</w:t>
            </w: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131E29"/>
              </w:rPr>
              <w:t>Property and equipment, net</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981,790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824,502</w:t>
            </w:r>
          </w:p>
        </w:tc>
      </w:tr>
      <w:tr>
        <w:trPr>
          <w:trHeight w:val="217"/>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Lease right-of-use assets, net</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1,076,370</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855,339</w:t>
            </w: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131E29"/>
              </w:rPr>
              <w:t>Deferred income tax assets, net</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1,103,811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946,571</w:t>
            </w:r>
          </w:p>
        </w:tc>
      </w:tr>
      <w:tr>
        <w:trPr>
          <w:trHeight w:val="217"/>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Other long-term assets</w:t>
            </w:r>
          </w:p>
        </w:tc>
        <w:tc>
          <w:tcPr>
            <w:tcW w:w="340" w:type="dxa"/>
            <w:vAlign w:val="bottom"/>
            <w:tcBorders>
              <w:bottom w:val="single" w:sz="8" w:color="auto"/>
            </w:tcBorders>
            <w:shd w:val="clear" w:color="auto" w:fill="D2DCE5"/>
          </w:tcPr>
          <w:p>
            <w:pPr>
              <w:spacing w:after="0"/>
              <w:rPr>
                <w:sz w:val="18"/>
                <w:szCs w:val="18"/>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64,975</w:t>
            </w:r>
          </w:p>
        </w:tc>
        <w:tc>
          <w:tcPr>
            <w:tcW w:w="10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25,524</w:t>
            </w:r>
          </w:p>
        </w:tc>
      </w:tr>
      <w:tr>
        <w:trPr>
          <w:trHeight w:val="209"/>
        </w:trPr>
        <w:tc>
          <w:tcPr>
            <w:tcW w:w="6400" w:type="dxa"/>
            <w:vAlign w:val="bottom"/>
            <w:gridSpan w:val="2"/>
          </w:tcPr>
          <w:p>
            <w:pPr>
              <w:ind w:left="520"/>
              <w:spacing w:after="0"/>
              <w:rPr>
                <w:sz w:val="20"/>
                <w:szCs w:val="20"/>
                <w:color w:val="auto"/>
              </w:rPr>
            </w:pPr>
            <w:r>
              <w:rPr>
                <w:rFonts w:ascii="Arial" w:cs="Arial" w:eastAsia="Arial" w:hAnsi="Arial"/>
                <w:sz w:val="16"/>
                <w:szCs w:val="16"/>
                <w:b w:val="1"/>
                <w:bCs w:val="1"/>
                <w:color w:val="131E29"/>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006098"/>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6098"/>
              </w:rPr>
              <w:t>3,511,053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131E2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31E29"/>
              </w:rPr>
              <w:t>3,009,314</w:t>
            </w:r>
          </w:p>
        </w:tc>
      </w:tr>
      <w:tr>
        <w:trPr>
          <w:trHeight w:val="20"/>
        </w:trPr>
        <w:tc>
          <w:tcPr>
            <w:tcW w:w="63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97"/>
        </w:trPr>
        <w:tc>
          <w:tcPr>
            <w:tcW w:w="6400" w:type="dxa"/>
            <w:vAlign w:val="bottom"/>
            <w:gridSpan w:val="2"/>
            <w:shd w:val="clear" w:color="auto" w:fill="D2DCE5"/>
          </w:tcPr>
          <w:p>
            <w:pPr>
              <w:ind w:left="20"/>
              <w:spacing w:after="0" w:line="196" w:lineRule="exact"/>
              <w:rPr>
                <w:sz w:val="20"/>
                <w:szCs w:val="20"/>
                <w:color w:val="auto"/>
              </w:rPr>
            </w:pPr>
            <w:r>
              <w:rPr>
                <w:rFonts w:ascii="Arial" w:cs="Arial" w:eastAsia="Arial" w:hAnsi="Arial"/>
                <w:sz w:val="18"/>
                <w:szCs w:val="18"/>
                <w:b w:val="1"/>
                <w:bCs w:val="1"/>
                <w:color w:val="131E29"/>
              </w:rPr>
              <w:t>Liabilities and Equity</w:t>
            </w:r>
          </w:p>
        </w:tc>
        <w:tc>
          <w:tcPr>
            <w:tcW w:w="340" w:type="dxa"/>
            <w:vAlign w:val="bottom"/>
            <w:shd w:val="clear" w:color="auto" w:fill="D2DCE5"/>
          </w:tcPr>
          <w:p>
            <w:pPr>
              <w:spacing w:after="0"/>
              <w:rPr>
                <w:sz w:val="17"/>
                <w:szCs w:val="17"/>
                <w:color w:val="auto"/>
              </w:rPr>
            </w:pPr>
          </w:p>
        </w:tc>
        <w:tc>
          <w:tcPr>
            <w:tcW w:w="20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2020" w:type="dxa"/>
            <w:vAlign w:val="bottom"/>
            <w:shd w:val="clear" w:color="auto" w:fill="D2DCE5"/>
          </w:tcPr>
          <w:p>
            <w:pPr>
              <w:spacing w:after="0"/>
              <w:rPr>
                <w:sz w:val="17"/>
                <w:szCs w:val="17"/>
                <w:color w:val="auto"/>
              </w:rPr>
            </w:pP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131E29"/>
              </w:rPr>
              <w:t>Current liabilities:</w:t>
            </w: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7"/>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Accounts payable</w:t>
            </w:r>
          </w:p>
        </w:tc>
        <w:tc>
          <w:tcPr>
            <w:tcW w:w="34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006098"/>
                <w:w w:val="89"/>
              </w:rPr>
              <w:t>$</w:t>
            </w: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49,530</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37,625</w:t>
            </w:r>
          </w:p>
        </w:tc>
      </w:tr>
      <w:tr>
        <w:trPr>
          <w:trHeight w:val="215"/>
        </w:trPr>
        <w:tc>
          <w:tcPr>
            <w:tcW w:w="6400" w:type="dxa"/>
            <w:vAlign w:val="bottom"/>
            <w:gridSpan w:val="2"/>
          </w:tcPr>
          <w:p>
            <w:pPr>
              <w:ind w:left="180"/>
              <w:spacing w:after="0"/>
              <w:rPr>
                <w:sz w:val="20"/>
                <w:szCs w:val="20"/>
                <w:color w:val="auto"/>
              </w:rPr>
            </w:pPr>
            <w:r>
              <w:rPr>
                <w:rFonts w:ascii="Arial" w:cs="Arial" w:eastAsia="Arial" w:hAnsi="Arial"/>
                <w:sz w:val="16"/>
                <w:szCs w:val="16"/>
                <w:color w:val="131E29"/>
              </w:rPr>
              <w:t>Other current liabilities</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121,522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99,173</w:t>
            </w:r>
          </w:p>
        </w:tc>
      </w:tr>
      <w:tr>
        <w:trPr>
          <w:trHeight w:val="217"/>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Deferred revenue</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52,332</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55,658</w:t>
            </w:r>
          </w:p>
        </w:tc>
      </w:tr>
      <w:tr>
        <w:trPr>
          <w:trHeight w:val="215"/>
        </w:trPr>
        <w:tc>
          <w:tcPr>
            <w:tcW w:w="6400" w:type="dxa"/>
            <w:vAlign w:val="bottom"/>
            <w:gridSpan w:val="2"/>
          </w:tcPr>
          <w:p>
            <w:pPr>
              <w:ind w:left="180"/>
              <w:spacing w:after="0"/>
              <w:rPr>
                <w:sz w:val="20"/>
                <w:szCs w:val="20"/>
                <w:color w:val="auto"/>
              </w:rPr>
            </w:pPr>
            <w:r>
              <w:rPr>
                <w:rFonts w:ascii="Arial" w:cs="Arial" w:eastAsia="Arial" w:hAnsi="Arial"/>
                <w:sz w:val="16"/>
                <w:szCs w:val="16"/>
                <w:color w:val="131E29"/>
              </w:rPr>
              <w:t>Current portion of tax receivable agreements liability</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686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7,696</w:t>
            </w:r>
          </w:p>
        </w:tc>
      </w:tr>
      <w:tr>
        <w:trPr>
          <w:trHeight w:val="217"/>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Current portion of lease liabilities</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46,080</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36,466</w:t>
            </w:r>
          </w:p>
        </w:tc>
      </w:tr>
      <w:tr>
        <w:trPr>
          <w:trHeight w:val="215"/>
        </w:trPr>
        <w:tc>
          <w:tcPr>
            <w:tcW w:w="640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Current portion of long-term debt</w:t>
            </w: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4,766</w:t>
            </w:r>
          </w:p>
        </w:tc>
        <w:tc>
          <w:tcPr>
            <w:tcW w:w="100" w:type="dxa"/>
            <w:vAlign w:val="bottom"/>
            <w:tcBorders>
              <w:bottom w:val="single" w:sz="8" w:color="D2DC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3,881</w:t>
            </w:r>
          </w:p>
        </w:tc>
      </w:tr>
      <w:tr>
        <w:trPr>
          <w:trHeight w:val="210"/>
        </w:trPr>
        <w:tc>
          <w:tcPr>
            <w:tcW w:w="640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Total current liabilities</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274,916</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240,499</w:t>
            </w: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131E29"/>
              </w:rPr>
              <w:t>Deferred revenue, net of current portion</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6,669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8,918</w:t>
            </w:r>
          </w:p>
        </w:tc>
      </w:tr>
      <w:tr>
        <w:trPr>
          <w:trHeight w:val="217"/>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Lease liabilities, net of current portion</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1,054,345</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852,380</w:t>
            </w: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131E29"/>
              </w:rPr>
              <w:t>Long-term debt, net of current portion</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192,870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196,295</w:t>
            </w:r>
          </w:p>
        </w:tc>
      </w:tr>
      <w:tr>
        <w:trPr>
          <w:trHeight w:val="244"/>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Tax receivable agreements liability, net of current portion</w:t>
            </w:r>
          </w:p>
        </w:tc>
        <w:tc>
          <w:tcPr>
            <w:tcW w:w="340" w:type="dxa"/>
            <w:vAlign w:val="bottom"/>
            <w:tcBorders>
              <w:bottom w:val="single" w:sz="8" w:color="auto"/>
            </w:tcBorders>
            <w:shd w:val="clear" w:color="auto" w:fill="D2DCE5"/>
          </w:tcPr>
          <w:p>
            <w:pPr>
              <w:spacing w:after="0"/>
              <w:rPr>
                <w:sz w:val="21"/>
                <w:szCs w:val="21"/>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973,132</w:t>
            </w:r>
          </w:p>
        </w:tc>
        <w:tc>
          <w:tcPr>
            <w:tcW w:w="100" w:type="dxa"/>
            <w:vAlign w:val="bottom"/>
            <w:shd w:val="clear" w:color="auto" w:fill="D2DCE5"/>
          </w:tcPr>
          <w:p>
            <w:pPr>
              <w:spacing w:after="0"/>
              <w:rPr>
                <w:sz w:val="21"/>
                <w:szCs w:val="21"/>
                <w:color w:val="auto"/>
              </w:rPr>
            </w:pPr>
          </w:p>
        </w:tc>
        <w:tc>
          <w:tcPr>
            <w:tcW w:w="360" w:type="dxa"/>
            <w:vAlign w:val="bottom"/>
            <w:tcBorders>
              <w:bottom w:val="single" w:sz="8" w:color="auto"/>
            </w:tcBorders>
            <w:shd w:val="clear" w:color="auto" w:fill="D2DCE5"/>
          </w:tcPr>
          <w:p>
            <w:pPr>
              <w:spacing w:after="0"/>
              <w:rPr>
                <w:sz w:val="21"/>
                <w:szCs w:val="21"/>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813,353</w:t>
            </w:r>
          </w:p>
        </w:tc>
      </w:tr>
      <w:tr>
        <w:trPr>
          <w:trHeight w:val="209"/>
        </w:trPr>
        <w:tc>
          <w:tcPr>
            <w:tcW w:w="6400" w:type="dxa"/>
            <w:vAlign w:val="bottom"/>
            <w:gridSpan w:val="2"/>
          </w:tcPr>
          <w:p>
            <w:pPr>
              <w:ind w:left="520"/>
              <w:spacing w:after="0"/>
              <w:rPr>
                <w:sz w:val="20"/>
                <w:szCs w:val="20"/>
                <w:color w:val="auto"/>
              </w:rPr>
            </w:pPr>
            <w:r>
              <w:rPr>
                <w:rFonts w:ascii="Arial" w:cs="Arial" w:eastAsia="Arial" w:hAnsi="Arial"/>
                <w:sz w:val="16"/>
                <w:szCs w:val="16"/>
                <w:color w:val="131E29"/>
              </w:rPr>
              <w:t>Total liabilities</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2,501,932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2,111,445</w:t>
            </w:r>
          </w:p>
        </w:tc>
      </w:tr>
      <w:tr>
        <w:trPr>
          <w:trHeight w:val="217"/>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Equity:</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spacing w:after="0"/>
              <w:rPr>
                <w:sz w:val="18"/>
                <w:szCs w:val="18"/>
                <w:color w:val="auto"/>
              </w:rPr>
            </w:pPr>
          </w:p>
        </w:tc>
      </w:tr>
      <w:tr>
        <w:trPr>
          <w:trHeight w:val="215"/>
        </w:trPr>
        <w:tc>
          <w:tcPr>
            <w:tcW w:w="6400" w:type="dxa"/>
            <w:vAlign w:val="bottom"/>
            <w:gridSpan w:val="2"/>
          </w:tcPr>
          <w:p>
            <w:pPr>
              <w:ind w:left="180"/>
              <w:spacing w:after="0"/>
              <w:rPr>
                <w:sz w:val="20"/>
                <w:szCs w:val="20"/>
                <w:color w:val="auto"/>
              </w:rPr>
            </w:pPr>
            <w:r>
              <w:rPr>
                <w:rFonts w:ascii="Arial" w:cs="Arial" w:eastAsia="Arial" w:hAnsi="Arial"/>
                <w:sz w:val="16"/>
                <w:szCs w:val="16"/>
                <w:color w:val="131E29"/>
              </w:rPr>
              <w:t>Common stock</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1</w:t>
            </w:r>
          </w:p>
        </w:tc>
      </w:tr>
      <w:tr>
        <w:trPr>
          <w:trHeight w:val="217"/>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Additional paid in capital</w:t>
            </w:r>
          </w:p>
        </w:tc>
        <w:tc>
          <w:tcPr>
            <w:tcW w:w="34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649,634</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581,261</w:t>
            </w:r>
          </w:p>
        </w:tc>
      </w:tr>
      <w:tr>
        <w:trPr>
          <w:trHeight w:val="215"/>
        </w:trPr>
        <w:tc>
          <w:tcPr>
            <w:tcW w:w="6400" w:type="dxa"/>
            <w:vAlign w:val="bottom"/>
            <w:gridSpan w:val="2"/>
          </w:tcPr>
          <w:p>
            <w:pPr>
              <w:ind w:left="180"/>
              <w:spacing w:after="0"/>
              <w:rPr>
                <w:sz w:val="20"/>
                <w:szCs w:val="20"/>
                <w:color w:val="auto"/>
              </w:rPr>
            </w:pPr>
            <w:r>
              <w:rPr>
                <w:rFonts w:ascii="Arial" w:cs="Arial" w:eastAsia="Arial" w:hAnsi="Arial"/>
                <w:sz w:val="16"/>
                <w:szCs w:val="16"/>
                <w:color w:val="131E29"/>
              </w:rPr>
              <w:t>Accumulated other comprehensive income (loss)</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48</w:t>
            </w:r>
          </w:p>
        </w:tc>
      </w:tr>
      <w:tr>
        <w:trPr>
          <w:trHeight w:val="217"/>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Retained earnings</w:t>
            </w:r>
          </w:p>
        </w:tc>
        <w:tc>
          <w:tcPr>
            <w:tcW w:w="340" w:type="dxa"/>
            <w:vAlign w:val="bottom"/>
            <w:tcBorders>
              <w:bottom w:val="single" w:sz="8" w:color="auto"/>
            </w:tcBorders>
            <w:shd w:val="clear" w:color="auto" w:fill="D2DCE5"/>
          </w:tcPr>
          <w:p>
            <w:pPr>
              <w:spacing w:after="0"/>
              <w:rPr>
                <w:sz w:val="18"/>
                <w:szCs w:val="18"/>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180,172</w:t>
            </w:r>
          </w:p>
        </w:tc>
        <w:tc>
          <w:tcPr>
            <w:tcW w:w="10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99,508</w:t>
            </w:r>
          </w:p>
        </w:tc>
      </w:tr>
      <w:tr>
        <w:trPr>
          <w:trHeight w:val="209"/>
        </w:trPr>
        <w:tc>
          <w:tcPr>
            <w:tcW w:w="6400" w:type="dxa"/>
            <w:vAlign w:val="bottom"/>
            <w:gridSpan w:val="2"/>
          </w:tcPr>
          <w:p>
            <w:pPr>
              <w:ind w:left="520"/>
              <w:spacing w:after="0"/>
              <w:rPr>
                <w:sz w:val="20"/>
                <w:szCs w:val="20"/>
                <w:color w:val="auto"/>
              </w:rPr>
            </w:pPr>
            <w:r>
              <w:rPr>
                <w:rFonts w:ascii="Arial" w:cs="Arial" w:eastAsia="Arial" w:hAnsi="Arial"/>
                <w:sz w:val="16"/>
                <w:szCs w:val="16"/>
                <w:color w:val="131E29"/>
              </w:rPr>
              <w:t>Total stockholders' equity attributable to Dutch Bros Inc.</w:t>
            </w:r>
          </w:p>
        </w:tc>
        <w:tc>
          <w:tcPr>
            <w:tcW w:w="3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006098"/>
              </w:rPr>
              <w:t>829,778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680,818</w:t>
            </w:r>
          </w:p>
        </w:tc>
      </w:tr>
      <w:tr>
        <w:trPr>
          <w:trHeight w:val="217"/>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Non-controlling interests</w:t>
            </w:r>
          </w:p>
        </w:tc>
        <w:tc>
          <w:tcPr>
            <w:tcW w:w="340" w:type="dxa"/>
            <w:vAlign w:val="bottom"/>
            <w:tcBorders>
              <w:bottom w:val="single" w:sz="8" w:color="auto"/>
            </w:tcBorders>
            <w:shd w:val="clear" w:color="auto" w:fill="D2DCE5"/>
          </w:tcPr>
          <w:p>
            <w:pPr>
              <w:spacing w:after="0"/>
              <w:rPr>
                <w:sz w:val="18"/>
                <w:szCs w:val="18"/>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179,343</w:t>
            </w:r>
          </w:p>
        </w:tc>
        <w:tc>
          <w:tcPr>
            <w:tcW w:w="10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217,051</w:t>
            </w:r>
          </w:p>
        </w:tc>
      </w:tr>
      <w:tr>
        <w:trPr>
          <w:trHeight w:val="209"/>
        </w:trPr>
        <w:tc>
          <w:tcPr>
            <w:tcW w:w="6400" w:type="dxa"/>
            <w:vAlign w:val="bottom"/>
            <w:tcBorders>
              <w:bottom w:val="single" w:sz="8" w:color="D2DCE5"/>
            </w:tcBorders>
            <w:gridSpan w:val="2"/>
          </w:tcPr>
          <w:p>
            <w:pPr>
              <w:ind w:left="360"/>
              <w:spacing w:after="0"/>
              <w:rPr>
                <w:sz w:val="20"/>
                <w:szCs w:val="20"/>
                <w:color w:val="auto"/>
              </w:rPr>
            </w:pPr>
            <w:r>
              <w:rPr>
                <w:rFonts w:ascii="Arial" w:cs="Arial" w:eastAsia="Arial" w:hAnsi="Arial"/>
                <w:sz w:val="16"/>
                <w:szCs w:val="16"/>
                <w:color w:val="131E29"/>
              </w:rPr>
              <w:t>Total equity</w:t>
            </w: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1,009,121</w:t>
            </w:r>
          </w:p>
        </w:tc>
        <w:tc>
          <w:tcPr>
            <w:tcW w:w="100" w:type="dxa"/>
            <w:vAlign w:val="bottom"/>
            <w:tcBorders>
              <w:bottom w:val="single" w:sz="8" w:color="D2DC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897,869</w:t>
            </w:r>
          </w:p>
        </w:tc>
      </w:tr>
      <w:tr>
        <w:trPr>
          <w:trHeight w:val="235"/>
        </w:trPr>
        <w:tc>
          <w:tcPr>
            <w:tcW w:w="640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6"/>
                <w:szCs w:val="16"/>
                <w:b w:val="1"/>
                <w:bCs w:val="1"/>
                <w:color w:val="131E29"/>
              </w:rPr>
              <w:t>Total liabilities and equity</w:t>
            </w:r>
          </w:p>
        </w:tc>
        <w:tc>
          <w:tcPr>
            <w:tcW w:w="340" w:type="dxa"/>
            <w:vAlign w:val="bottom"/>
            <w:tcBorders>
              <w:bottom w:val="single" w:sz="8" w:color="auto"/>
            </w:tcBorders>
            <w:shd w:val="clear" w:color="auto" w:fill="D2DCE5"/>
          </w:tcPr>
          <w:p>
            <w:pPr>
              <w:jc w:val="right"/>
              <w:ind w:right="159"/>
              <w:spacing w:after="0"/>
              <w:rPr>
                <w:sz w:val="20"/>
                <w:szCs w:val="20"/>
                <w:color w:val="auto"/>
              </w:rPr>
            </w:pPr>
            <w:r>
              <w:rPr>
                <w:rFonts w:ascii="Arial" w:cs="Arial" w:eastAsia="Arial" w:hAnsi="Arial"/>
                <w:sz w:val="16"/>
                <w:szCs w:val="16"/>
                <w:b w:val="1"/>
                <w:bCs w:val="1"/>
                <w:color w:val="006098"/>
                <w:w w:val="89"/>
              </w:rPr>
              <w:t>$</w:t>
            </w: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b w:val="1"/>
                <w:bCs w:val="1"/>
                <w:color w:val="006098"/>
              </w:rPr>
              <w:t>3,511,053</w:t>
            </w:r>
          </w:p>
        </w:tc>
        <w:tc>
          <w:tcPr>
            <w:tcW w:w="10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auto"/>
            </w:tcBorders>
            <w:shd w:val="clear" w:color="auto" w:fill="D2DCE5"/>
          </w:tcPr>
          <w:p>
            <w:pPr>
              <w:jc w:val="right"/>
              <w:ind w:right="159"/>
              <w:spacing w:after="0"/>
              <w:rPr>
                <w:sz w:val="20"/>
                <w:szCs w:val="20"/>
                <w:color w:val="auto"/>
              </w:rPr>
            </w:pPr>
            <w:r>
              <w:rPr>
                <w:rFonts w:ascii="Arial" w:cs="Arial" w:eastAsia="Arial" w:hAnsi="Arial"/>
                <w:sz w:val="16"/>
                <w:szCs w:val="16"/>
                <w:b w:val="1"/>
                <w:bCs w:val="1"/>
                <w:color w:val="131E29"/>
              </w:rPr>
              <w:t>$</w:t>
            </w:r>
          </w:p>
        </w:tc>
        <w:tc>
          <w:tcPr>
            <w:tcW w:w="2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3,009,314</w:t>
            </w:r>
          </w:p>
        </w:tc>
      </w:tr>
      <w:tr>
        <w:trPr>
          <w:trHeight w:val="20"/>
        </w:trPr>
        <w:tc>
          <w:tcPr>
            <w:tcW w:w="63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2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20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4" w:lineRule="exact"/>
        <w:rPr>
          <w:sz w:val="20"/>
          <w:szCs w:val="20"/>
          <w:color w:val="auto"/>
        </w:rPr>
      </w:pPr>
    </w:p>
    <w:p>
      <w:pPr>
        <w:jc w:val="center"/>
        <w:ind w:left="3340"/>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ind w:left="4680"/>
        <w:spacing w:after="0"/>
        <w:rPr>
          <w:sz w:val="20"/>
          <w:szCs w:val="20"/>
          <w:color w:val="auto"/>
        </w:rPr>
      </w:pPr>
      <w:r>
        <w:rPr>
          <w:rFonts w:ascii="Arial" w:cs="Arial" w:eastAsia="Arial" w:hAnsi="Arial"/>
          <w:sz w:val="18"/>
          <w:szCs w:val="18"/>
          <w:color w:val="131E29"/>
        </w:rPr>
        <w:t>Select Financial Metrics</w:t>
      </w:r>
    </w:p>
    <w:p>
      <w:pPr>
        <w:spacing w:after="0" w:line="225" w:lineRule="exact"/>
        <w:rPr>
          <w:sz w:val="20"/>
          <w:szCs w:val="20"/>
          <w:color w:val="auto"/>
        </w:rPr>
      </w:pPr>
    </w:p>
    <w:p>
      <w:pPr>
        <w:jc w:val="center"/>
        <w:ind w:left="3940"/>
        <w:spacing w:after="0"/>
        <w:rPr>
          <w:sz w:val="20"/>
          <w:szCs w:val="20"/>
          <w:color w:val="auto"/>
        </w:rPr>
      </w:pPr>
      <w:r>
        <w:rPr>
          <w:rFonts w:ascii="Arial" w:cs="Arial" w:eastAsia="Arial" w:hAnsi="Arial"/>
          <w:sz w:val="17"/>
          <w:szCs w:val="17"/>
          <w:b w:val="1"/>
          <w:bCs w:val="1"/>
          <w:color w:val="131E29"/>
        </w:rPr>
        <w:t>Three Months Ended</w:t>
      </w:r>
    </w:p>
    <w:p>
      <w:pPr>
        <w:spacing w:after="0" w:line="39" w:lineRule="exact"/>
        <w:rPr>
          <w:sz w:val="20"/>
          <w:szCs w:val="20"/>
          <w:color w:val="auto"/>
        </w:rPr>
      </w:pPr>
    </w:p>
    <w:p>
      <w:pPr>
        <w:jc w:val="center"/>
        <w:ind w:left="3940"/>
        <w:spacing w:after="0"/>
        <w:rPr>
          <w:sz w:val="20"/>
          <w:szCs w:val="20"/>
          <w:color w:val="auto"/>
        </w:rPr>
      </w:pPr>
      <w:r>
        <w:rPr>
          <w:rFonts w:ascii="Arial" w:cs="Arial" w:eastAsia="Arial" w:hAnsi="Arial"/>
          <w:sz w:val="18"/>
          <w:szCs w:val="18"/>
          <w:b w:val="1"/>
          <w:bCs w:val="1"/>
          <w:color w:val="131E29"/>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23495</wp:posOffset>
            </wp:positionV>
            <wp:extent cx="2185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20"/>
        <w:spacing w:after="0"/>
        <w:rPr>
          <w:sz w:val="20"/>
          <w:szCs w:val="20"/>
          <w:color w:val="auto"/>
        </w:rPr>
      </w:pPr>
      <w:r>
        <w:rPr>
          <w:rFonts w:ascii="Arial" w:cs="Arial" w:eastAsia="Arial" w:hAnsi="Arial"/>
          <w:sz w:val="17"/>
          <w:szCs w:val="17"/>
          <w:b w:val="1"/>
          <w:bCs w:val="1"/>
          <w:color w:val="131E29"/>
        </w:rPr>
        <w:t>Nine Months Ended</w:t>
      </w:r>
    </w:p>
    <w:p>
      <w:pPr>
        <w:spacing w:after="0" w:line="3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131E29"/>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23495</wp:posOffset>
            </wp:positionV>
            <wp:extent cx="2203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7920" w:space="720"/>
            <w:col w:w="260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5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131E29"/>
              </w:rPr>
              <w:t>2026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131E29"/>
              </w:rPr>
              <w:t>Shop count, beginning of period</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Company-operated</w:t>
            </w:r>
          </w:p>
        </w:tc>
        <w:tc>
          <w:tcPr>
            <w:tcW w:w="38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006098"/>
              </w:rPr>
              <w:t>888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Franchised</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006098"/>
              </w:rPr>
              <w:t>337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006098"/>
              </w:rPr>
              <w:t>1,225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20"/>
              <w:spacing w:after="0"/>
              <w:rPr>
                <w:sz w:val="20"/>
                <w:szCs w:val="20"/>
                <w:color w:val="auto"/>
              </w:rPr>
            </w:pPr>
            <w:r>
              <w:rPr>
                <w:rFonts w:ascii="Arial" w:cs="Arial" w:eastAsia="Arial" w:hAnsi="Arial"/>
                <w:sz w:val="18"/>
                <w:szCs w:val="18"/>
                <w:color w:val="131E29"/>
              </w:rPr>
              <w:t>Company-operated new openings</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42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006098"/>
              </w:rPr>
              <w:t>42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Franchised new openings</w:t>
            </w:r>
          </w:p>
        </w:tc>
        <w:tc>
          <w:tcPr>
            <w:tcW w:w="38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006098"/>
              </w:rPr>
              <w:t>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Acquisition of franchise shops</w:t>
            </w:r>
          </w:p>
        </w:tc>
        <w:tc>
          <w:tcPr>
            <w:tcW w:w="380" w:type="dxa"/>
            <w:vAlign w:val="bottom"/>
          </w:tcPr>
          <w:p>
            <w:pPr>
              <w:spacing w:after="0"/>
              <w:rPr>
                <w:sz w:val="21"/>
                <w:szCs w:val="21"/>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color w:val="006098"/>
              </w:rPr>
              <w:t>30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1"/>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131E29"/>
              </w:rPr>
              <w:t>Shop count, end of period</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Company-operated</w:t>
            </w:r>
          </w:p>
        </w:tc>
        <w:tc>
          <w:tcPr>
            <w:tcW w:w="38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006098"/>
              </w:rPr>
              <w:t>960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Franchised</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006098"/>
              </w:rPr>
              <w:t>313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00" w:type="dxa"/>
            <w:vAlign w:val="bottom"/>
            <w:gridSpan w:val="2"/>
          </w:tcPr>
          <w:p>
            <w:pPr>
              <w:ind w:left="360"/>
              <w:spacing w:after="0"/>
              <w:rPr>
                <w:sz w:val="20"/>
                <w:szCs w:val="20"/>
                <w:color w:val="auto"/>
              </w:rPr>
            </w:pPr>
            <w:r>
              <w:rPr>
                <w:rFonts w:ascii="Arial" w:cs="Arial" w:eastAsia="Arial" w:hAnsi="Arial"/>
                <w:sz w:val="18"/>
                <w:szCs w:val="18"/>
                <w:color w:val="131E29"/>
              </w:rPr>
              <w:t>Total shop count</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006098"/>
              </w:rPr>
              <w:t>1,273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20"/>
              <w:spacing w:after="0"/>
              <w:rPr>
                <w:sz w:val="20"/>
                <w:szCs w:val="20"/>
                <w:color w:val="auto"/>
              </w:rPr>
            </w:pPr>
            <w:r>
              <w:rPr>
                <w:rFonts w:ascii="Arial" w:cs="Arial" w:eastAsia="Arial" w:hAnsi="Arial"/>
                <w:sz w:val="18"/>
                <w:szCs w:val="18"/>
                <w:color w:val="131E29"/>
              </w:rPr>
              <w:t xml:space="preserve">Systemwide AUV </w:t>
            </w:r>
            <w:r>
              <w:rPr>
                <w:rFonts w:ascii="Arial" w:cs="Arial" w:eastAsia="Arial" w:hAnsi="Arial"/>
                <w:sz w:val="23"/>
                <w:szCs w:val="23"/>
                <w:color w:val="131E29"/>
                <w:vertAlign w:val="superscript"/>
              </w:rPr>
              <w:t>1</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5"/>
        </w:trPr>
        <w:tc>
          <w:tcPr>
            <w:tcW w:w="42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N/A</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 xml:space="preserve">Company-operated shops AUV </w:t>
            </w:r>
            <w:r>
              <w:rPr>
                <w:rFonts w:ascii="Arial" w:cs="Arial" w:eastAsia="Arial" w:hAnsi="Arial"/>
                <w:sz w:val="23"/>
                <w:szCs w:val="23"/>
                <w:color w:val="131E29"/>
                <w:vertAlign w:val="superscript"/>
              </w:rPr>
              <w:t>1</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N/A</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same shop sales </w:t>
            </w:r>
            <w:r>
              <w:rPr>
                <w:rFonts w:ascii="Arial" w:cs="Arial" w:eastAsia="Arial" w:hAnsi="Arial"/>
                <w:sz w:val="23"/>
                <w:szCs w:val="23"/>
                <w:color w:val="131E29"/>
                <w:vertAlign w:val="superscript"/>
              </w:rPr>
              <w:t>1, 2</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4.4 %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Ticket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4.0 %</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Customer visits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0.4 %</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 xml:space="preserve">Company-operated same shop sales </w:t>
            </w:r>
            <w:r>
              <w:rPr>
                <w:rFonts w:ascii="Arial" w:cs="Arial" w:eastAsia="Arial" w:hAnsi="Arial"/>
                <w:sz w:val="23"/>
                <w:szCs w:val="23"/>
                <w:color w:val="131E29"/>
                <w:vertAlign w:val="superscript"/>
              </w:rPr>
              <w:t>1</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5.4 %</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Ticket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4.4 %</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gridSpan w:val="2"/>
          </w:tcPr>
          <w:p>
            <w:pPr>
              <w:ind w:left="240"/>
              <w:spacing w:after="0"/>
              <w:rPr>
                <w:sz w:val="20"/>
                <w:szCs w:val="20"/>
                <w:color w:val="auto"/>
              </w:rPr>
            </w:pPr>
            <w:r>
              <w:rPr>
                <w:rFonts w:ascii="Arial" w:cs="Arial" w:eastAsia="Arial" w:hAnsi="Arial"/>
                <w:sz w:val="18"/>
                <w:szCs w:val="18"/>
                <w:color w:val="131E29"/>
              </w:rPr>
              <w:t>Customer visits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1.0 %</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4"/>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sales </w:t>
            </w:r>
            <w:r>
              <w:rPr>
                <w:rFonts w:ascii="Arial" w:cs="Arial" w:eastAsia="Arial" w:hAnsi="Arial"/>
                <w:sz w:val="23"/>
                <w:szCs w:val="23"/>
                <w:color w:val="131E29"/>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006098"/>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006098"/>
              </w:rPr>
              <w:t>702,210</w:t>
            </w:r>
          </w:p>
        </w:tc>
        <w:tc>
          <w:tcPr>
            <w:tcW w:w="22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 xml:space="preserve">Company-operated operating weeks </w:t>
            </w:r>
            <w:r>
              <w:rPr>
                <w:rFonts w:ascii="Arial" w:cs="Arial" w:eastAsia="Arial" w:hAnsi="Arial"/>
                <w:sz w:val="23"/>
                <w:szCs w:val="23"/>
                <w:color w:val="131E29"/>
                <w:vertAlign w:val="superscript"/>
              </w:rPr>
              <w:t>3</w:t>
            </w:r>
          </w:p>
        </w:tc>
        <w:tc>
          <w:tcPr>
            <w:tcW w:w="38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006098"/>
              </w:rPr>
              <w:t>12,180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 xml:space="preserve">Franchising and other operating weeks </w:t>
            </w:r>
            <w:r>
              <w:rPr>
                <w:rFonts w:ascii="Arial" w:cs="Arial" w:eastAsia="Arial" w:hAnsi="Arial"/>
                <w:sz w:val="23"/>
                <w:szCs w:val="23"/>
                <w:color w:val="131E29"/>
                <w:vertAlign w:val="superscript"/>
              </w:rPr>
              <w:t>3</w:t>
            </w:r>
          </w:p>
        </w:tc>
        <w:tc>
          <w:tcPr>
            <w:tcW w:w="38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006098"/>
              </w:rPr>
              <w:t>4,174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Dutch Rewards customer visits as a percentage of</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 xml:space="preserve">total customer visits </w:t>
            </w:r>
            <w:r>
              <w:rPr>
                <w:rFonts w:ascii="Arial" w:cs="Arial" w:eastAsia="Arial" w:hAnsi="Arial"/>
                <w:sz w:val="23"/>
                <w:szCs w:val="23"/>
                <w:color w:val="131E29"/>
                <w:vertAlign w:val="superscript"/>
              </w:rPr>
              <w:t>4</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74 %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-4786630</wp:posOffset>
            </wp:positionV>
            <wp:extent cx="71151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-4074795</wp:posOffset>
            </wp:positionV>
            <wp:extent cx="71151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-3629025</wp:posOffset>
            </wp:positionV>
            <wp:extent cx="71151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-3286125</wp:posOffset>
            </wp:positionV>
            <wp:extent cx="71151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-2574925</wp:posOffset>
            </wp:positionV>
            <wp:extent cx="71151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-2232025</wp:posOffset>
            </wp:positionV>
            <wp:extent cx="71151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-1889125</wp:posOffset>
            </wp:positionV>
            <wp:extent cx="71151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71151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-1203325</wp:posOffset>
            </wp:positionV>
            <wp:extent cx="71151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-860425</wp:posOffset>
            </wp:positionV>
            <wp:extent cx="71151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151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-2943225</wp:posOffset>
            </wp:positionV>
            <wp:extent cx="7115175"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-4417695</wp:posOffset>
            </wp:positionV>
            <wp:extent cx="71151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-5137785</wp:posOffset>
            </wp:positionV>
            <wp:extent cx="7115175"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31E29"/>
        </w:rPr>
        <w:t>2025</w:t>
      </w:r>
    </w:p>
    <w:p>
      <w:pPr>
        <w:spacing w:after="0" w:line="34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725</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34925</wp:posOffset>
            </wp:positionV>
            <wp:extent cx="10629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5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34925</wp:posOffset>
            </wp:positionV>
            <wp:extent cx="1062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40"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34</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4</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131E29"/>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759</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322</w:t>
      </w:r>
    </w:p>
    <w:p>
      <w:pPr>
        <w:spacing w:after="0" w:line="7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131E29"/>
        </w:rPr>
        <w:t>1,081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60325</wp:posOffset>
            </wp:positionV>
            <wp:extent cx="1062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131E29"/>
        </w:rPr>
        <w:t xml:space="preserve">N/A </w:t>
      </w:r>
      <w:r>
        <w:rPr>
          <w:rFonts w:ascii="Arial" w:cs="Arial" w:eastAsia="Arial" w:hAnsi="Arial"/>
          <w:sz w:val="18"/>
          <w:szCs w:val="18"/>
          <w:color w:val="006098"/>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131E29"/>
        </w:rPr>
        <w:t xml:space="preserve">N/A </w:t>
      </w:r>
      <w:r>
        <w:rPr>
          <w:rFonts w:ascii="Arial" w:cs="Arial" w:eastAsia="Arial" w:hAnsi="Arial"/>
          <w:sz w:val="18"/>
          <w:szCs w:val="18"/>
          <w:color w:val="006098"/>
        </w:rPr>
        <w:t>$</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131E29"/>
        </w:rPr>
        <w:t>5.7 %</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131E29"/>
        </w:rPr>
        <w:t>1.0 %</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131E29"/>
        </w:rPr>
        <w:t>4.7 %</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131E29"/>
        </w:rPr>
        <w:t>7.4 %</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131E29"/>
        </w:rPr>
        <w:t>0.6 %</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131E29"/>
        </w:rPr>
        <w:t>6.8 %</w:t>
      </w:r>
    </w:p>
    <w:p>
      <w:pPr>
        <w:spacing w:after="0" w:line="333" w:lineRule="exact"/>
        <w:rPr>
          <w:sz w:val="20"/>
          <w:szCs w:val="20"/>
          <w:color w:val="auto"/>
        </w:rPr>
      </w:pPr>
    </w:p>
    <w:p>
      <w:pPr>
        <w:jc w:val="both"/>
        <w:ind w:left="140"/>
        <w:spacing w:after="0"/>
        <w:tabs>
          <w:tab w:leader="none" w:pos="1120" w:val="left"/>
        </w:tabs>
        <w:rPr>
          <w:sz w:val="20"/>
          <w:szCs w:val="20"/>
          <w:color w:val="auto"/>
        </w:rPr>
      </w:pPr>
      <w:r>
        <w:rPr>
          <w:rFonts w:ascii="Arial" w:cs="Arial" w:eastAsia="Arial" w:hAnsi="Arial"/>
          <w:sz w:val="18"/>
          <w:szCs w:val="18"/>
          <w:color w:val="131E29"/>
        </w:rPr>
        <w:t>576,886</w:t>
      </w:r>
      <w:r>
        <w:rPr>
          <w:rFonts w:ascii="Arial" w:cs="Arial" w:eastAsia="Arial" w:hAnsi="Arial"/>
          <w:sz w:val="18"/>
          <w:szCs w:val="18"/>
          <w:color w:val="006098"/>
        </w:rPr>
        <w:tab/>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131E29"/>
        </w:rPr>
        <w:t>9,645</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131E29"/>
        </w:rPr>
        <w:t>4,192</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color w:val="131E29"/>
        </w:rPr>
        <w:t>72 %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31E29"/>
        </w:rPr>
        <w:t>2026</w:t>
      </w:r>
    </w:p>
    <w:p>
      <w:pPr>
        <w:spacing w:after="0" w:line="374"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811</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17780</wp:posOffset>
            </wp:positionV>
            <wp:extent cx="10718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5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1,136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17780</wp:posOffset>
            </wp:positionV>
            <wp:extent cx="10718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40"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119</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18</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006098"/>
        </w:rPr>
        <w:t>30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960</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313</w:t>
      </w:r>
    </w:p>
    <w:p>
      <w:pPr>
        <w:spacing w:after="0" w:line="7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006098"/>
        </w:rPr>
        <w:t>1,273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43180</wp:posOffset>
            </wp:positionV>
            <wp:extent cx="1071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13" w:lineRule="exact"/>
        <w:rPr>
          <w:sz w:val="20"/>
          <w:szCs w:val="20"/>
          <w:color w:val="auto"/>
        </w:rPr>
      </w:pPr>
    </w:p>
    <w:p>
      <w:pPr>
        <w:jc w:val="both"/>
        <w:ind w:left="360"/>
        <w:spacing w:after="0"/>
        <w:tabs>
          <w:tab w:leader="none" w:pos="1140" w:val="left"/>
        </w:tabs>
        <w:rPr>
          <w:sz w:val="20"/>
          <w:szCs w:val="20"/>
          <w:color w:val="auto"/>
        </w:rPr>
      </w:pPr>
      <w:r>
        <w:rPr>
          <w:rFonts w:ascii="Arial" w:cs="Arial" w:eastAsia="Arial" w:hAnsi="Arial"/>
          <w:sz w:val="18"/>
          <w:szCs w:val="18"/>
          <w:color w:val="006098"/>
        </w:rPr>
        <w:t>2,226</w:t>
      </w:r>
      <w:r>
        <w:rPr>
          <w:rFonts w:ascii="Arial" w:cs="Arial" w:eastAsia="Arial" w:hAnsi="Arial"/>
          <w:sz w:val="18"/>
          <w:szCs w:val="18"/>
          <w:color w:val="131E29"/>
        </w:rPr>
        <w:tab/>
        <w:t>$</w:t>
      </w:r>
    </w:p>
    <w:p>
      <w:pPr>
        <w:spacing w:after="0" w:line="63" w:lineRule="exact"/>
        <w:rPr>
          <w:sz w:val="20"/>
          <w:szCs w:val="20"/>
          <w:color w:val="auto"/>
        </w:rPr>
      </w:pPr>
    </w:p>
    <w:p>
      <w:pPr>
        <w:jc w:val="both"/>
        <w:ind w:left="360"/>
        <w:spacing w:after="0"/>
        <w:tabs>
          <w:tab w:leader="none" w:pos="1140" w:val="left"/>
        </w:tabs>
        <w:rPr>
          <w:sz w:val="20"/>
          <w:szCs w:val="20"/>
          <w:color w:val="auto"/>
        </w:rPr>
      </w:pPr>
      <w:r>
        <w:rPr>
          <w:rFonts w:ascii="Arial" w:cs="Arial" w:eastAsia="Arial" w:hAnsi="Arial"/>
          <w:sz w:val="18"/>
          <w:szCs w:val="18"/>
          <w:color w:val="006098"/>
        </w:rPr>
        <w:t>2,228</w:t>
      </w:r>
      <w:r>
        <w:rPr>
          <w:rFonts w:ascii="Arial" w:cs="Arial" w:eastAsia="Arial" w:hAnsi="Arial"/>
          <w:sz w:val="18"/>
          <w:szCs w:val="18"/>
          <w:color w:val="131E29"/>
        </w:rPr>
        <w:tab/>
        <w:t>$</w:t>
      </w:r>
    </w:p>
    <w:p>
      <w:pPr>
        <w:spacing w:after="0" w:line="360" w:lineRule="exact"/>
        <w:rPr>
          <w:sz w:val="20"/>
          <w:szCs w:val="20"/>
          <w:color w:val="auto"/>
        </w:rPr>
      </w:pPr>
    </w:p>
    <w:p>
      <w:pPr>
        <w:ind w:left="560"/>
        <w:spacing w:after="0"/>
        <w:rPr>
          <w:sz w:val="20"/>
          <w:szCs w:val="20"/>
          <w:color w:val="auto"/>
        </w:rPr>
      </w:pPr>
      <w:r>
        <w:rPr>
          <w:rFonts w:ascii="Arial" w:cs="Arial" w:eastAsia="Arial" w:hAnsi="Arial"/>
          <w:sz w:val="18"/>
          <w:szCs w:val="18"/>
          <w:color w:val="006098"/>
        </w:rPr>
        <w:t>6.0 %</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006098"/>
        </w:rPr>
        <w:t>3.8 %</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006098"/>
        </w:rPr>
        <w:t>2.2 %</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006098"/>
        </w:rPr>
        <w:t>7.9 %</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006098"/>
        </w:rPr>
        <w:t>4.3 %</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006098"/>
        </w:rPr>
        <w:t>3.6 %</w:t>
      </w:r>
    </w:p>
    <w:p>
      <w:pPr>
        <w:spacing w:after="0" w:line="30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7"/>
          <w:szCs w:val="17"/>
          <w:color w:val="006098"/>
        </w:rPr>
        <w:t>2,015,169</w:t>
      </w:r>
      <w:r>
        <w:rPr>
          <w:rFonts w:ascii="Arial" w:cs="Arial" w:eastAsia="Arial" w:hAnsi="Arial"/>
          <w:sz w:val="17"/>
          <w:szCs w:val="17"/>
          <w:color w:val="131E29"/>
        </w:rPr>
        <w:tab/>
        <w:t>$</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color w:val="006098"/>
        </w:rPr>
        <w:t>33,862</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006098"/>
        </w:rPr>
        <w:t>12,757</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006098"/>
        </w:rPr>
        <w:t>74 %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31E29"/>
        </w:rPr>
        <w:t>2025</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color w:val="131E29"/>
        </w:rPr>
        <w:t>670</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131E29"/>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34925</wp:posOffset>
            </wp:positionV>
            <wp:extent cx="10718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131E29"/>
        </w:rPr>
        <w:t>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34925</wp:posOffset>
            </wp:positionV>
            <wp:extent cx="10718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40" w:lineRule="exact"/>
        <w:rPr>
          <w:sz w:val="20"/>
          <w:szCs w:val="20"/>
          <w:color w:val="auto"/>
        </w:rPr>
      </w:pPr>
    </w:p>
    <w:p>
      <w:pPr>
        <w:ind w:left="620"/>
        <w:spacing w:after="0"/>
        <w:rPr>
          <w:sz w:val="20"/>
          <w:szCs w:val="20"/>
          <w:color w:val="auto"/>
        </w:rPr>
      </w:pPr>
      <w:r>
        <w:rPr>
          <w:rFonts w:ascii="Arial" w:cs="Arial" w:eastAsia="Arial" w:hAnsi="Arial"/>
          <w:sz w:val="18"/>
          <w:szCs w:val="18"/>
          <w:color w:val="131E29"/>
        </w:rPr>
        <w:t>89</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10</w:t>
      </w:r>
    </w:p>
    <w:p>
      <w:pPr>
        <w:spacing w:after="0" w:line="225"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759</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322</w:t>
      </w:r>
    </w:p>
    <w:p>
      <w:pPr>
        <w:spacing w:after="0" w:line="77"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1,081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60325</wp:posOffset>
            </wp:positionV>
            <wp:extent cx="1071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color w:val="131E29"/>
        </w:rPr>
        <w:t>2,081</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131E29"/>
        </w:rPr>
        <w:t>2,023</w:t>
      </w:r>
    </w:p>
    <w:p>
      <w:pPr>
        <w:spacing w:after="0" w:line="33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31E29"/>
        </w:rPr>
        <w:t>5.2 %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31E29"/>
        </w:rPr>
        <w:t>2.3 %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31E29"/>
        </w:rPr>
        <w:t>2.9 %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31E29"/>
        </w:rPr>
        <w:t>7.0 %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31E29"/>
        </w:rPr>
        <w:t>2.0 %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31E29"/>
        </w:rPr>
        <w:t>5.0 %</w:t>
      </w:r>
    </w:p>
    <w:p>
      <w:pPr>
        <w:spacing w:after="0" w:line="33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1,637,831</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27,566</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131E29"/>
        </w:rPr>
        <w:t>12,322</w:t>
      </w:r>
    </w:p>
    <w:p>
      <w:pPr>
        <w:spacing w:after="0" w:line="27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31E29"/>
        </w:rPr>
        <w:t>72 %</w:t>
      </w:r>
    </w:p>
    <w:p>
      <w:pPr>
        <w:spacing w:after="0" w:line="314" w:lineRule="exact"/>
        <w:rPr>
          <w:sz w:val="20"/>
          <w:szCs w:val="20"/>
          <w:color w:val="auto"/>
        </w:rPr>
      </w:pPr>
    </w:p>
    <w:p>
      <w:pPr>
        <w:sectPr>
          <w:pgSz w:w="11900" w:h="16838" w:orient="portrait"/>
          <w:cols w:equalWidth="0" w:num="4">
            <w:col w:w="6100" w:space="520"/>
            <w:col w:w="1240" w:space="520"/>
            <w:col w:w="1260" w:space="520"/>
            <w:col w:w="10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580"/>
        <w:spacing w:after="0"/>
        <w:rPr>
          <w:sz w:val="20"/>
          <w:szCs w:val="20"/>
          <w:color w:val="auto"/>
        </w:rPr>
      </w:pPr>
      <w:r>
        <w:rPr>
          <w:sz w:val="1"/>
          <w:szCs w:val="1"/>
          <w:color w:val="auto"/>
        </w:rPr>
        <w:drawing>
          <wp:inline distT="0" distB="0" distL="0" distR="0">
            <wp:extent cx="171450" cy="24003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8"/>
          </w:tcPr>
          <w:p>
            <w:pPr>
              <w:jc w:val="center"/>
              <w:ind w:left="516"/>
              <w:spacing w:after="0"/>
              <w:rPr>
                <w:sz w:val="20"/>
                <w:szCs w:val="20"/>
                <w:color w:val="auto"/>
              </w:rPr>
            </w:pPr>
            <w:r>
              <w:rPr>
                <w:rFonts w:ascii="Arial" w:cs="Arial" w:eastAsia="Arial" w:hAnsi="Arial"/>
                <w:sz w:val="18"/>
                <w:szCs w:val="18"/>
                <w:b w:val="1"/>
                <w:bCs w:val="1"/>
                <w:color w:val="131E29"/>
                <w:w w:val="9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center"/>
              <w:ind w:left="596"/>
              <w:spacing w:after="0"/>
              <w:rPr>
                <w:sz w:val="20"/>
                <w:szCs w:val="20"/>
                <w:color w:val="auto"/>
              </w:rPr>
            </w:pPr>
            <w:r>
              <w:rPr>
                <w:rFonts w:ascii="Arial" w:cs="Arial" w:eastAsia="Arial" w:hAnsi="Arial"/>
                <w:sz w:val="18"/>
                <w:szCs w:val="18"/>
                <w:b w:val="1"/>
                <w:bCs w:val="1"/>
                <w:color w:val="131E29"/>
                <w:w w:val="99"/>
              </w:rPr>
              <w:t>Nine Months Ended</w:t>
            </w:r>
          </w:p>
        </w:tc>
        <w:tc>
          <w:tcPr>
            <w:tcW w:w="680" w:type="dxa"/>
            <w:vAlign w:val="bottom"/>
          </w:tcPr>
          <w:p>
            <w:pPr>
              <w:spacing w:after="0"/>
              <w:rPr>
                <w:sz w:val="18"/>
                <w:szCs w:val="18"/>
                <w:color w:val="auto"/>
              </w:rPr>
            </w:pPr>
          </w:p>
        </w:tc>
      </w:tr>
      <w:tr>
        <w:trPr>
          <w:trHeight w:val="255"/>
        </w:trPr>
        <w:tc>
          <w:tcPr>
            <w:tcW w:w="3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8"/>
                <w:szCs w:val="18"/>
                <w:b w:val="1"/>
                <w:bCs w:val="1"/>
                <w:color w:val="131E29"/>
              </w:rPr>
              <w:t>September 30,</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131E29"/>
              </w:rPr>
              <w:t>September 30,</w:t>
            </w:r>
          </w:p>
        </w:tc>
        <w:tc>
          <w:tcPr>
            <w:tcW w:w="680" w:type="dxa"/>
            <w:vAlign w:val="bottom"/>
            <w:tcBorders>
              <w:bottom w:val="single" w:sz="8" w:color="auto"/>
            </w:tcBorders>
          </w:tcPr>
          <w:p>
            <w:pPr>
              <w:spacing w:after="0"/>
              <w:rPr>
                <w:sz w:val="22"/>
                <w:szCs w:val="22"/>
                <w:color w:val="auto"/>
              </w:rPr>
            </w:pPr>
          </w:p>
        </w:tc>
      </w:tr>
      <w:tr>
        <w:trPr>
          <w:trHeight w:val="263"/>
        </w:trPr>
        <w:tc>
          <w:tcPr>
            <w:tcW w:w="3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131E29"/>
              </w:rPr>
              <w:t>2026</w:t>
            </w:r>
          </w:p>
        </w:tc>
        <w:tc>
          <w:tcPr>
            <w:tcW w:w="6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131E29"/>
              </w:rPr>
              <w:t>2025</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131E29"/>
              </w:rPr>
              <w:t>2026</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131E29"/>
              </w:rPr>
              <w:t>2025</w:t>
            </w:r>
          </w:p>
        </w:tc>
        <w:tc>
          <w:tcPr>
            <w:tcW w:w="680" w:type="dxa"/>
            <w:vAlign w:val="bottom"/>
            <w:tcBorders>
              <w:bottom w:val="single" w:sz="8" w:color="auto"/>
            </w:tcBorders>
          </w:tcPr>
          <w:p>
            <w:pPr>
              <w:spacing w:after="0"/>
              <w:rPr>
                <w:sz w:val="22"/>
                <w:szCs w:val="22"/>
                <w:color w:val="auto"/>
              </w:rPr>
            </w:pPr>
          </w:p>
        </w:tc>
      </w:tr>
      <w:tr>
        <w:trPr>
          <w:trHeight w:val="26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80" w:type="dxa"/>
            <w:vAlign w:val="bottom"/>
            <w:tcBorders>
              <w:bottom w:val="single" w:sz="8" w:color="D2DCE5"/>
            </w:tcBorders>
          </w:tcPr>
          <w:p>
            <w:pPr>
              <w:spacing w:after="0"/>
              <w:rPr>
                <w:sz w:val="22"/>
                <w:szCs w:val="22"/>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131E29"/>
              </w:rPr>
              <w:t>%</w:t>
            </w:r>
          </w:p>
        </w:tc>
      </w:tr>
      <w:tr>
        <w:trPr>
          <w:trHeight w:val="243"/>
        </w:trPr>
        <w:tc>
          <w:tcPr>
            <w:tcW w:w="37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shops revenues</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515,006</w:t>
            </w: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100.0</w:t>
            </w:r>
          </w:p>
        </w:tc>
        <w:tc>
          <w:tcPr>
            <w:tcW w:w="8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392,833</w:t>
            </w:r>
          </w:p>
        </w:tc>
        <w:tc>
          <w:tcPr>
            <w:tcW w:w="8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c>
          <w:tcPr>
            <w:tcW w:w="100" w:type="dxa"/>
            <w:vAlign w:val="bottom"/>
            <w:shd w:val="clear" w:color="auto" w:fill="D2DCE5"/>
          </w:tcPr>
          <w:p>
            <w:pPr>
              <w:spacing w:after="0"/>
              <w:rPr>
                <w:sz w:val="21"/>
                <w:szCs w:val="21"/>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1,454,094</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100.0</w:t>
            </w:r>
          </w:p>
        </w:tc>
        <w:tc>
          <w:tcPr>
            <w:tcW w:w="100" w:type="dxa"/>
            <w:vAlign w:val="bottom"/>
            <w:shd w:val="clear" w:color="auto" w:fill="D2DCE5"/>
          </w:tcPr>
          <w:p>
            <w:pPr>
              <w:spacing w:after="0"/>
              <w:rPr>
                <w:sz w:val="21"/>
                <w:szCs w:val="21"/>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1,099,754</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r>
      <w:tr>
        <w:trPr>
          <w:trHeight w:val="242"/>
        </w:trPr>
        <w:tc>
          <w:tcPr>
            <w:tcW w:w="3700" w:type="dxa"/>
            <w:vAlign w:val="bottom"/>
            <w:gridSpan w:val="2"/>
          </w:tcPr>
          <w:p>
            <w:pPr>
              <w:ind w:left="20"/>
              <w:spacing w:after="0"/>
              <w:rPr>
                <w:sz w:val="20"/>
                <w:szCs w:val="20"/>
                <w:color w:val="auto"/>
              </w:rPr>
            </w:pPr>
            <w:r>
              <w:rPr>
                <w:rFonts w:ascii="Arial" w:cs="Arial" w:eastAsia="Arial" w:hAnsi="Arial"/>
                <w:sz w:val="16"/>
                <w:szCs w:val="16"/>
                <w:color w:val="131E29"/>
              </w:rPr>
              <w:t>Company-operated shops gross profit</w:t>
            </w:r>
          </w:p>
        </w:tc>
        <w:tc>
          <w:tcPr>
            <w:tcW w:w="960" w:type="dxa"/>
            <w:vAlign w:val="bottom"/>
          </w:tcPr>
          <w:p>
            <w:pPr>
              <w:jc w:val="right"/>
              <w:spacing w:after="0"/>
              <w:rPr>
                <w:sz w:val="20"/>
                <w:szCs w:val="20"/>
                <w:color w:val="auto"/>
              </w:rPr>
            </w:pPr>
            <w:r>
              <w:rPr>
                <w:rFonts w:ascii="Arial" w:cs="Arial" w:eastAsia="Arial" w:hAnsi="Arial"/>
                <w:sz w:val="16"/>
                <w:szCs w:val="16"/>
                <w:color w:val="006098"/>
              </w:rPr>
              <w:t>109,479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6098"/>
              </w:rPr>
              <w:t>21.3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82,435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131E29"/>
              </w:rPr>
              <w:t>21.0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006098"/>
              </w:rPr>
              <w:t>318,562</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6098"/>
              </w:rPr>
              <w:t>21.9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31E29"/>
              </w:rPr>
              <w:t>246,485</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22.4</w:t>
            </w:r>
          </w:p>
        </w:tc>
      </w:tr>
      <w:tr>
        <w:trPr>
          <w:trHeight w:val="244"/>
        </w:trPr>
        <w:tc>
          <w:tcPr>
            <w:tcW w:w="37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 xml:space="preserve">Company-operated shops contribution </w:t>
            </w:r>
            <w:r>
              <w:rPr>
                <w:rFonts w:ascii="Arial" w:cs="Arial" w:eastAsia="Arial" w:hAnsi="Arial"/>
                <w:sz w:val="21"/>
                <w:szCs w:val="21"/>
                <w:color w:val="131E29"/>
                <w:vertAlign w:val="superscript"/>
              </w:rPr>
              <w:t>5</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144,476</w:t>
            </w: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28.1</w:t>
            </w:r>
          </w:p>
        </w:tc>
        <w:tc>
          <w:tcPr>
            <w:tcW w:w="8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109,231</w:t>
            </w:r>
          </w:p>
        </w:tc>
        <w:tc>
          <w:tcPr>
            <w:tcW w:w="8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27.8</w:t>
            </w:r>
          </w:p>
        </w:tc>
        <w:tc>
          <w:tcPr>
            <w:tcW w:w="100" w:type="dxa"/>
            <w:vAlign w:val="bottom"/>
            <w:shd w:val="clear" w:color="auto" w:fill="D2DCE5"/>
          </w:tcPr>
          <w:p>
            <w:pPr>
              <w:spacing w:after="0"/>
              <w:rPr>
                <w:sz w:val="21"/>
                <w:szCs w:val="21"/>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421,750</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29.0</w:t>
            </w:r>
          </w:p>
        </w:tc>
        <w:tc>
          <w:tcPr>
            <w:tcW w:w="100" w:type="dxa"/>
            <w:vAlign w:val="bottom"/>
            <w:shd w:val="clear" w:color="auto" w:fill="D2DCE5"/>
          </w:tcPr>
          <w:p>
            <w:pPr>
              <w:spacing w:after="0"/>
              <w:rPr>
                <w:sz w:val="21"/>
                <w:szCs w:val="21"/>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323,532</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29.4</w:t>
            </w:r>
          </w:p>
        </w:tc>
      </w:tr>
      <w:tr>
        <w:trPr>
          <w:trHeight w:val="242"/>
        </w:trPr>
        <w:tc>
          <w:tcPr>
            <w:tcW w:w="3700" w:type="dxa"/>
            <w:vAlign w:val="bottom"/>
            <w:gridSpan w:val="2"/>
          </w:tcPr>
          <w:p>
            <w:pPr>
              <w:ind w:left="20"/>
              <w:spacing w:after="0"/>
              <w:rPr>
                <w:sz w:val="20"/>
                <w:szCs w:val="20"/>
                <w:color w:val="auto"/>
              </w:rPr>
            </w:pPr>
            <w:r>
              <w:rPr>
                <w:rFonts w:ascii="Arial" w:cs="Arial" w:eastAsia="Arial" w:hAnsi="Arial"/>
                <w:sz w:val="16"/>
                <w:szCs w:val="16"/>
                <w:color w:val="131E29"/>
              </w:rPr>
              <w:t>Selling, general, and administrative expenses</w:t>
            </w:r>
          </w:p>
        </w:tc>
        <w:tc>
          <w:tcPr>
            <w:tcW w:w="960" w:type="dxa"/>
            <w:vAlign w:val="bottom"/>
          </w:tcPr>
          <w:p>
            <w:pPr>
              <w:jc w:val="right"/>
              <w:spacing w:after="0"/>
              <w:rPr>
                <w:sz w:val="20"/>
                <w:szCs w:val="20"/>
                <w:color w:val="auto"/>
              </w:rPr>
            </w:pPr>
            <w:r>
              <w:rPr>
                <w:rFonts w:ascii="Arial" w:cs="Arial" w:eastAsia="Arial" w:hAnsi="Arial"/>
                <w:sz w:val="16"/>
                <w:szCs w:val="16"/>
                <w:color w:val="006098"/>
              </w:rPr>
              <w:t>78,954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6098"/>
              </w:rPr>
              <w:t>14.4</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65,289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131E29"/>
              </w:rPr>
              <w:t>15.4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006098"/>
              </w:rPr>
              <w:t>232,781</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6098"/>
              </w:rPr>
              <w:t>14.9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31E29"/>
              </w:rPr>
              <w:t>189,595</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15.9</w:t>
            </w:r>
          </w:p>
        </w:tc>
      </w:tr>
      <w:tr>
        <w:trPr>
          <w:trHeight w:val="203"/>
        </w:trPr>
        <w:tc>
          <w:tcPr>
            <w:tcW w:w="37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Adjusted selling, general, and administrative</w:t>
            </w: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1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r>
      <w:tr>
        <w:trPr>
          <w:trHeight w:val="244"/>
        </w:trPr>
        <w:tc>
          <w:tcPr>
            <w:tcW w:w="37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 xml:space="preserve">expenses </w:t>
            </w:r>
            <w:r>
              <w:rPr>
                <w:rFonts w:ascii="Arial" w:cs="Arial" w:eastAsia="Arial" w:hAnsi="Arial"/>
                <w:sz w:val="21"/>
                <w:szCs w:val="21"/>
                <w:color w:val="131E29"/>
                <w:vertAlign w:val="superscript"/>
              </w:rPr>
              <w:t>5</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69,573</w:t>
            </w: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12.7</w:t>
            </w:r>
          </w:p>
        </w:tc>
        <w:tc>
          <w:tcPr>
            <w:tcW w:w="8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57,639</w:t>
            </w:r>
          </w:p>
        </w:tc>
        <w:tc>
          <w:tcPr>
            <w:tcW w:w="8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13.6</w:t>
            </w:r>
          </w:p>
        </w:tc>
        <w:tc>
          <w:tcPr>
            <w:tcW w:w="100" w:type="dxa"/>
            <w:vAlign w:val="bottom"/>
            <w:shd w:val="clear" w:color="auto" w:fill="D2DCE5"/>
          </w:tcPr>
          <w:p>
            <w:pPr>
              <w:spacing w:after="0"/>
              <w:rPr>
                <w:sz w:val="21"/>
                <w:szCs w:val="21"/>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207,576</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13.3</w:t>
            </w:r>
          </w:p>
        </w:tc>
        <w:tc>
          <w:tcPr>
            <w:tcW w:w="100" w:type="dxa"/>
            <w:vAlign w:val="bottom"/>
            <w:shd w:val="clear" w:color="auto" w:fill="D2DCE5"/>
          </w:tcPr>
          <w:p>
            <w:pPr>
              <w:spacing w:after="0"/>
              <w:rPr>
                <w:sz w:val="21"/>
                <w:szCs w:val="21"/>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169,845</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14.2</w:t>
            </w:r>
          </w:p>
        </w:tc>
      </w:tr>
      <w:tr>
        <w:trPr>
          <w:trHeight w:val="242"/>
        </w:trPr>
        <w:tc>
          <w:tcPr>
            <w:tcW w:w="3700" w:type="dxa"/>
            <w:vAlign w:val="bottom"/>
            <w:gridSpan w:val="2"/>
          </w:tcPr>
          <w:p>
            <w:pPr>
              <w:ind w:left="20"/>
              <w:spacing w:after="0"/>
              <w:rPr>
                <w:sz w:val="20"/>
                <w:szCs w:val="20"/>
                <w:color w:val="auto"/>
              </w:rPr>
            </w:pPr>
            <w:r>
              <w:rPr>
                <w:rFonts w:ascii="Arial" w:cs="Arial" w:eastAsia="Arial" w:hAnsi="Arial"/>
                <w:sz w:val="16"/>
                <w:szCs w:val="16"/>
                <w:color w:val="131E29"/>
              </w:rPr>
              <w:t>Net income</w:t>
            </w:r>
          </w:p>
        </w:tc>
        <w:tc>
          <w:tcPr>
            <w:tcW w:w="960" w:type="dxa"/>
            <w:vAlign w:val="bottom"/>
          </w:tcPr>
          <w:p>
            <w:pPr>
              <w:jc w:val="right"/>
              <w:spacing w:after="0"/>
              <w:rPr>
                <w:sz w:val="20"/>
                <w:szCs w:val="20"/>
                <w:color w:val="auto"/>
              </w:rPr>
            </w:pPr>
            <w:r>
              <w:rPr>
                <w:rFonts w:ascii="Arial" w:cs="Arial" w:eastAsia="Arial" w:hAnsi="Arial"/>
                <w:sz w:val="16"/>
                <w:szCs w:val="16"/>
                <w:color w:val="006098"/>
              </w:rPr>
              <w:t>37,228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6098"/>
              </w:rPr>
              <w:t>6.8</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27,283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131E29"/>
              </w:rPr>
              <w:t>6.4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006098"/>
              </w:rPr>
              <w:t>112,497</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6098"/>
              </w:rPr>
              <w:t>7.2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31E29"/>
              </w:rPr>
              <w:t>88,120</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7.4</w:t>
            </w:r>
          </w:p>
        </w:tc>
      </w:tr>
      <w:tr>
        <w:trPr>
          <w:trHeight w:val="244"/>
        </w:trPr>
        <w:tc>
          <w:tcPr>
            <w:tcW w:w="37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 xml:space="preserve">Adjusted EBITDA </w:t>
            </w:r>
            <w:r>
              <w:rPr>
                <w:rFonts w:ascii="Arial" w:cs="Arial" w:eastAsia="Arial" w:hAnsi="Arial"/>
                <w:sz w:val="21"/>
                <w:szCs w:val="21"/>
                <w:color w:val="131E29"/>
                <w:vertAlign w:val="superscript"/>
              </w:rPr>
              <w:t>5</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101,055</w:t>
            </w: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18.4</w:t>
            </w:r>
          </w:p>
        </w:tc>
        <w:tc>
          <w:tcPr>
            <w:tcW w:w="8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78,003</w:t>
            </w:r>
          </w:p>
        </w:tc>
        <w:tc>
          <w:tcPr>
            <w:tcW w:w="8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18.4</w:t>
            </w:r>
          </w:p>
        </w:tc>
        <w:tc>
          <w:tcPr>
            <w:tcW w:w="100" w:type="dxa"/>
            <w:vAlign w:val="bottom"/>
            <w:shd w:val="clear" w:color="auto" w:fill="D2DCE5"/>
          </w:tcPr>
          <w:p>
            <w:pPr>
              <w:spacing w:after="0"/>
              <w:rPr>
                <w:sz w:val="21"/>
                <w:szCs w:val="21"/>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294,142</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18.8</w:t>
            </w:r>
          </w:p>
        </w:tc>
        <w:tc>
          <w:tcPr>
            <w:tcW w:w="100" w:type="dxa"/>
            <w:vAlign w:val="bottom"/>
            <w:shd w:val="clear" w:color="auto" w:fill="D2DCE5"/>
          </w:tcPr>
          <w:p>
            <w:pPr>
              <w:spacing w:after="0"/>
              <w:rPr>
                <w:sz w:val="21"/>
                <w:szCs w:val="21"/>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229,912</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19.2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31E29"/>
        </w:rPr>
        <w:t>___________</w:t>
      </w:r>
    </w:p>
    <w:p>
      <w:pPr>
        <w:spacing w:after="0" w:line="59" w:lineRule="exact"/>
        <w:rPr>
          <w:sz w:val="20"/>
          <w:szCs w:val="20"/>
          <w:color w:val="auto"/>
        </w:rPr>
      </w:pPr>
    </w:p>
    <w:p>
      <w:pPr>
        <w:jc w:val="both"/>
        <w:ind w:left="180" w:hanging="172"/>
        <w:spacing w:after="0"/>
        <w:tabs>
          <w:tab w:leader="none" w:pos="187" w:val="left"/>
        </w:tabs>
        <w:numPr>
          <w:ilvl w:val="0"/>
          <w:numId w:val="9"/>
        </w:numPr>
        <w:rPr>
          <w:rFonts w:ascii="Arial" w:cs="Arial" w:eastAsia="Arial" w:hAnsi="Arial"/>
          <w:sz w:val="19"/>
          <w:szCs w:val="19"/>
          <w:color w:val="131E29"/>
          <w:vertAlign w:val="superscript"/>
        </w:rPr>
      </w:pPr>
      <w:r>
        <w:rPr>
          <w:rFonts w:ascii="Arial" w:cs="Arial" w:eastAsia="Arial" w:hAnsi="Arial"/>
          <w:sz w:val="14"/>
          <w:szCs w:val="14"/>
          <w:color w:val="131E29"/>
        </w:rPr>
        <w:t>In 2026, AUVs are determined based on the net sales for any trailing twelve-month period for systemwide and company-operated shops, and same shop sales represent the percentage change in year-over-year sales, for the comparable shop base, that have been open at least 15 complete months as of the first day of the quarterly reporting period. Prior to 2026, AUVs were determined based on shops that had been open a minimum of 15 months, and same shop base was defined as shops open for 15 complete months or longer as of the first day of the reporting period. Prior period numbers have not been adjusted to conform to the new definition as the changes did not have a material impact. AUVs are calculated by dividing the systemwide and company-operated shops net sales by the total number of systemwide and company-operated shops, respectively. For the three and nine months ended September 30, 2026, the calculation of AUV for company-operated shops includes trailing twelve-month net sales related to the reacquired franchise shops that have been open at least 15 complete months. Management uses these metrics as an indicator of shop growth, expectations of mature locations, and future expansion strategy. The number of shops included in the systemwide and company-operated comparable bases for the respective periods are presented in the following table.</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131E29"/>
              </w:rPr>
              <w:t>Three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131E29"/>
              </w:rPr>
              <w:t>Nine Months Ended</w:t>
            </w: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131E29"/>
              </w:rPr>
              <w:t>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131E29"/>
              </w:rPr>
              <w:t>September 30,</w:t>
            </w:r>
          </w:p>
        </w:tc>
      </w:tr>
      <w:tr>
        <w:trPr>
          <w:trHeight w:val="223"/>
        </w:trPr>
        <w:tc>
          <w:tcPr>
            <w:tcW w:w="6440" w:type="dxa"/>
            <w:vAlign w:val="bottom"/>
            <w:tcBorders>
              <w:bottom w:val="single" w:sz="8" w:color="auto"/>
            </w:tcBorders>
          </w:tcPr>
          <w:p>
            <w:pPr>
              <w:spacing w:after="0"/>
              <w:rPr>
                <w:sz w:val="19"/>
                <w:szCs w:val="19"/>
                <w:color w:val="auto"/>
              </w:rPr>
            </w:pPr>
          </w:p>
        </w:tc>
        <w:tc>
          <w:tcPr>
            <w:tcW w:w="100" w:type="dxa"/>
            <w:vAlign w:val="bottom"/>
            <w:tcBorders>
              <w:bottom w:val="single" w:sz="8" w:color="D2DCE5"/>
            </w:tcBorders>
          </w:tcPr>
          <w:p>
            <w:pPr>
              <w:spacing w:after="0"/>
              <w:rPr>
                <w:sz w:val="19"/>
                <w:szCs w:val="19"/>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2025</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D2DCE5"/>
            </w:tcBorders>
          </w:tcPr>
          <w:p>
            <w:pPr>
              <w:spacing w:after="0"/>
              <w:rPr>
                <w:sz w:val="19"/>
                <w:szCs w:val="19"/>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131E29"/>
              </w:rPr>
              <w:t>2025</w:t>
            </w:r>
          </w:p>
        </w:tc>
      </w:tr>
      <w:tr>
        <w:trPr>
          <w:trHeight w:val="230"/>
        </w:trPr>
        <w:tc>
          <w:tcPr>
            <w:tcW w:w="6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1,012</w:t>
            </w:r>
          </w:p>
        </w:tc>
        <w:tc>
          <w:tcPr>
            <w:tcW w:w="100" w:type="dxa"/>
            <w:vAlign w:val="bottom"/>
            <w:shd w:val="clear" w:color="auto" w:fill="D2DCE5"/>
          </w:tcPr>
          <w:p>
            <w:pPr>
              <w:spacing w:after="0"/>
              <w:rPr>
                <w:sz w:val="19"/>
                <w:szCs w:val="19"/>
                <w:color w:val="auto"/>
              </w:rPr>
            </w:pPr>
          </w:p>
        </w:tc>
        <w:tc>
          <w:tcPr>
            <w:tcW w:w="700" w:type="dxa"/>
            <w:vAlign w:val="bottom"/>
            <w:shd w:val="clear" w:color="auto" w:fill="D2DCE5"/>
          </w:tcPr>
          <w:p>
            <w:pPr>
              <w:spacing w:after="0"/>
              <w:rPr>
                <w:sz w:val="19"/>
                <w:szCs w:val="19"/>
                <w:color w:val="auto"/>
              </w:rPr>
            </w:pPr>
          </w:p>
        </w:tc>
        <w:tc>
          <w:tcPr>
            <w:tcW w:w="3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876</w:t>
            </w:r>
          </w:p>
        </w:tc>
        <w:tc>
          <w:tcPr>
            <w:tcW w:w="100" w:type="dxa"/>
            <w:vAlign w:val="bottom"/>
            <w:shd w:val="clear" w:color="auto" w:fill="D2DCE5"/>
          </w:tcPr>
          <w:p>
            <w:pPr>
              <w:spacing w:after="0"/>
              <w:rPr>
                <w:sz w:val="19"/>
                <w:szCs w:val="19"/>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1,012</w:t>
            </w:r>
          </w:p>
        </w:tc>
        <w:tc>
          <w:tcPr>
            <w:tcW w:w="10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794</w:t>
            </w:r>
          </w:p>
        </w:tc>
      </w:tr>
      <w:tr>
        <w:trPr>
          <w:trHeight w:val="221"/>
        </w:trPr>
        <w:tc>
          <w:tcPr>
            <w:tcW w:w="6540" w:type="dxa"/>
            <w:vAlign w:val="bottom"/>
            <w:gridSpan w:val="2"/>
          </w:tcPr>
          <w:p>
            <w:pPr>
              <w:ind w:left="20"/>
              <w:spacing w:after="0"/>
              <w:rPr>
                <w:sz w:val="20"/>
                <w:szCs w:val="20"/>
                <w:color w:val="auto"/>
              </w:rPr>
            </w:pPr>
            <w:r>
              <w:rPr>
                <w:rFonts w:ascii="Arial" w:cs="Arial" w:eastAsia="Arial" w:hAnsi="Arial"/>
                <w:sz w:val="14"/>
                <w:szCs w:val="14"/>
                <w:color w:val="131E29"/>
              </w:rPr>
              <w:t>Company-operated shop base</w:t>
            </w:r>
          </w:p>
        </w:tc>
        <w:tc>
          <w:tcPr>
            <w:tcW w:w="1060" w:type="dxa"/>
            <w:vAlign w:val="bottom"/>
          </w:tcPr>
          <w:p>
            <w:pPr>
              <w:jc w:val="right"/>
              <w:spacing w:after="0"/>
              <w:rPr>
                <w:sz w:val="20"/>
                <w:szCs w:val="20"/>
                <w:color w:val="auto"/>
              </w:rPr>
            </w:pPr>
            <w:r>
              <w:rPr>
                <w:rFonts w:ascii="Arial" w:cs="Arial" w:eastAsia="Arial" w:hAnsi="Arial"/>
                <w:sz w:val="14"/>
                <w:szCs w:val="14"/>
                <w:color w:val="006098"/>
              </w:rPr>
              <w:t>724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131E29"/>
              </w:rPr>
              <w:t>582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6098"/>
              </w:rPr>
              <w:t>724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510</w:t>
            </w:r>
          </w:p>
        </w:tc>
      </w:tr>
    </w:tbl>
    <w:p>
      <w:pPr>
        <w:spacing w:after="0" w:line="147" w:lineRule="exact"/>
        <w:rPr>
          <w:sz w:val="20"/>
          <w:szCs w:val="20"/>
          <w:color w:val="auto"/>
        </w:rPr>
      </w:pPr>
    </w:p>
    <w:p>
      <w:pPr>
        <w:jc w:val="both"/>
        <w:ind w:left="180" w:hanging="172"/>
        <w:spacing w:after="0" w:line="245" w:lineRule="auto"/>
        <w:tabs>
          <w:tab w:leader="none" w:pos="255" w:val="left"/>
        </w:tabs>
        <w:numPr>
          <w:ilvl w:val="0"/>
          <w:numId w:val="10"/>
        </w:numPr>
        <w:rPr>
          <w:rFonts w:ascii="Arial" w:cs="Arial" w:eastAsia="Arial" w:hAnsi="Arial"/>
          <w:sz w:val="19"/>
          <w:szCs w:val="19"/>
          <w:color w:val="131E29"/>
          <w:vertAlign w:val="superscript"/>
        </w:rPr>
      </w:pPr>
      <w:r>
        <w:rPr>
          <w:rFonts w:ascii="Arial" w:cs="Arial" w:eastAsia="Arial" w:hAnsi="Arial"/>
          <w:sz w:val="14"/>
          <w:szCs w:val="14"/>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franchisees.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U.S. GAAP. Management uses these metrics as indicators of our system’s overall financial health, growth and future expansion prospects.</w:t>
      </w:r>
    </w:p>
    <w:p>
      <w:pPr>
        <w:spacing w:after="0" w:line="38" w:lineRule="exact"/>
        <w:rPr>
          <w:sz w:val="20"/>
          <w:szCs w:val="20"/>
          <w:color w:val="auto"/>
        </w:rPr>
      </w:pPr>
    </w:p>
    <w:p>
      <w:pPr>
        <w:jc w:val="both"/>
        <w:ind w:left="180" w:hanging="172"/>
        <w:spacing w:after="0" w:line="234" w:lineRule="auto"/>
        <w:tabs>
          <w:tab w:leader="none" w:pos="174" w:val="left"/>
        </w:tabs>
        <w:numPr>
          <w:ilvl w:val="0"/>
          <w:numId w:val="11"/>
        </w:numPr>
        <w:rPr>
          <w:rFonts w:ascii="Arial" w:cs="Arial" w:eastAsia="Arial" w:hAnsi="Arial"/>
          <w:sz w:val="19"/>
          <w:szCs w:val="19"/>
          <w:color w:val="131E29"/>
          <w:vertAlign w:val="superscript"/>
        </w:rPr>
      </w:pPr>
      <w:r>
        <w:rPr>
          <w:rFonts w:ascii="Arial" w:cs="Arial" w:eastAsia="Arial" w:hAnsi="Arial"/>
          <w:sz w:val="14"/>
          <w:szCs w:val="14"/>
          <w:color w:val="131E29"/>
        </w:rPr>
        <w:t>Company-operated and franchise shops operating weeks are calculated based on the number of operating days for the shop base and dividing by 7. Our shop base is defined as shops opened as of the end date of the periods presented. The operating weeks calculations reflect re-acquired franchises. Management uses these metrics as indicators of our system’s overall financial health, growth and future expansion prospects.</w:t>
      </w:r>
    </w:p>
    <w:p>
      <w:pPr>
        <w:spacing w:after="0" w:line="40" w:lineRule="exact"/>
        <w:rPr>
          <w:sz w:val="20"/>
          <w:szCs w:val="20"/>
          <w:color w:val="auto"/>
        </w:rPr>
      </w:pPr>
    </w:p>
    <w:p>
      <w:pPr>
        <w:ind w:left="180" w:right="20" w:hanging="172"/>
        <w:spacing w:after="0" w:line="231" w:lineRule="auto"/>
        <w:tabs>
          <w:tab w:leader="none" w:pos="174" w:val="left"/>
        </w:tabs>
        <w:numPr>
          <w:ilvl w:val="0"/>
          <w:numId w:val="12"/>
        </w:numPr>
        <w:rPr>
          <w:rFonts w:ascii="Arial" w:cs="Arial" w:eastAsia="Arial" w:hAnsi="Arial"/>
          <w:sz w:val="19"/>
          <w:szCs w:val="19"/>
          <w:color w:val="131E29"/>
          <w:vertAlign w:val="superscript"/>
        </w:rPr>
      </w:pPr>
      <w:r>
        <w:rPr>
          <w:rFonts w:ascii="Arial" w:cs="Arial" w:eastAsia="Arial" w:hAnsi="Arial"/>
          <w:sz w:val="14"/>
          <w:szCs w:val="14"/>
          <w:color w:val="131E29"/>
        </w:rPr>
        <w:t>Dutch Rewards is our digitally-based rewards program available exclusively through the Dutch Rewards app. Management uses this metric as an indicator of customer loyalty adoption of our Dutch Rewards app and future promotional plans.</w:t>
      </w:r>
    </w:p>
    <w:p>
      <w:pPr>
        <w:spacing w:after="0" w:line="12"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9"/>
          <w:szCs w:val="19"/>
          <w:color w:val="131E29"/>
          <w:vertAlign w:val="superscript"/>
        </w:rPr>
      </w:pPr>
      <w:r>
        <w:rPr>
          <w:rFonts w:ascii="Arial" w:cs="Arial" w:eastAsia="Arial" w:hAnsi="Arial"/>
          <w:sz w:val="14"/>
          <w:szCs w:val="14"/>
          <w:color w:val="131E29"/>
        </w:rPr>
        <w:t>Reconciliation of U.S. GAAP to non-GAAP results is provided in the section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to disclosing financial results in accordance with U.S. GAAP, this press release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U.S. GAAP, and the financial results calculated in accordance with U.S. GAAP and reconciliations from these results should be carefully evaluated.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shops contribution (in dollars and as a percentage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Company-operated shops segment gross profit, before company-operated shops depreciation and amortization.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 (in dollars and as a percentage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Net income before interest expense (net of interest income), income tax expense, and depreciation and amortization expense.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Defined as EBITDA (as defined above), excluding equity-based compensation, expenses associated with credit facility refinancing, acquisitions-related costs, TRA remeasurements, and organization realignment and restructurings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Adjusted selling, general, and administrative (in dollars and as a percentage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Selling, general, and administrative expenses, excluding depreciation and amortization, equity-based compensation, acquisition-related costs, and organization realignment and restructurings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Adjusted net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131E29"/>
        </w:rPr>
        <w:t>Net income, excluding equity-based compensation, expenses associated with credit facility refinancing, acquisitions-related costs, TRA remeasurements, organization realignment and restructurings costs, and income tax effects of items excluded from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We believe this measure facilitates a better comparison with other companies that have different organizational and tax structures, as well as comparisons period over period.</w:t>
      </w:r>
    </w:p>
    <w:p>
      <w:pPr>
        <w:spacing w:after="0" w:line="126" w:lineRule="exact"/>
        <w:rPr>
          <w:sz w:val="20"/>
          <w:szCs w:val="20"/>
          <w:color w:val="auto"/>
        </w:rPr>
      </w:pPr>
    </w:p>
    <w:p>
      <w:pPr>
        <w:ind w:right="3600"/>
        <w:spacing w:after="0" w:line="353" w:lineRule="auto"/>
        <w:rPr>
          <w:sz w:val="20"/>
          <w:szCs w:val="20"/>
          <w:color w:val="auto"/>
        </w:rPr>
      </w:pPr>
      <w:r>
        <w:rPr>
          <w:rFonts w:ascii="Arial" w:cs="Arial" w:eastAsia="Arial" w:hAnsi="Arial"/>
          <w:sz w:val="18"/>
          <w:szCs w:val="18"/>
          <w:b w:val="1"/>
          <w:bCs w:val="1"/>
          <w:i w:val="1"/>
          <w:iCs w:val="1"/>
          <w:color w:val="006098"/>
        </w:rPr>
        <w:t xml:space="preserve">Adjusted fully exchanged weighted-average shares of diluted common stock outstanding </w:t>
      </w:r>
      <w:r>
        <w:rPr>
          <w:rFonts w:ascii="Arial" w:cs="Arial" w:eastAsia="Arial" w:hAnsi="Arial"/>
          <w:sz w:val="18"/>
          <w:szCs w:val="18"/>
          <w:u w:val="single" w:color="auto"/>
          <w:color w:val="006098"/>
        </w:rPr>
        <w:t>Definition and/or calculation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Weighted-average shares of Class A common stock outstanding - basic with addition of dilutive impacts of restricted stock units, as well as the assumed exchange of all of the Dutch Bros OpCo Class A common units not held by Dutch Bros Inc. for Dutch Bros Inc. Class A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By adding in the assumed exchange of all of the outstanding Dutch Bros OpCo Class A common units not held by Dutch Bros Inc. for Dutch Bros Inc. Class A common stock, we believe this measure facilitates a better comparison with other companies that have different organizational and tax structures, as well as comparisons period over period.</w:t>
      </w:r>
    </w:p>
    <w:p>
      <w:pPr>
        <w:spacing w:after="0" w:line="130" w:lineRule="exact"/>
        <w:rPr>
          <w:sz w:val="20"/>
          <w:szCs w:val="20"/>
          <w:color w:val="auto"/>
        </w:rPr>
      </w:pPr>
    </w:p>
    <w:p>
      <w:pPr>
        <w:ind w:right="5020"/>
        <w:spacing w:after="0" w:line="353" w:lineRule="auto"/>
        <w:rPr>
          <w:sz w:val="20"/>
          <w:szCs w:val="20"/>
          <w:color w:val="auto"/>
        </w:rPr>
      </w:pPr>
      <w:r>
        <w:rPr>
          <w:rFonts w:ascii="Arial" w:cs="Arial" w:eastAsia="Arial" w:hAnsi="Arial"/>
          <w:sz w:val="18"/>
          <w:szCs w:val="18"/>
          <w:b w:val="1"/>
          <w:bCs w:val="1"/>
          <w:i w:val="1"/>
          <w:iCs w:val="1"/>
          <w:color w:val="006098"/>
        </w:rPr>
        <w:t xml:space="preserve">Adjusted net income per fully exchanged share of diluted common stock </w:t>
      </w:r>
      <w:r>
        <w:rPr>
          <w:rFonts w:ascii="Arial" w:cs="Arial" w:eastAsia="Arial" w:hAnsi="Arial"/>
          <w:sz w:val="18"/>
          <w:szCs w:val="18"/>
          <w:u w:val="single" w:color="auto"/>
          <w:color w:val="006098"/>
        </w:rPr>
        <w:t>Definition and/or calculation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Net income per share of Class A common stock - diluted, excluding per share impacts of equity-based compensation, expenses associated with credit facility refinancing, acquisitions-related costs, TRA remeasurements, organization realignment and restructurings costs, income tax effects of items excluded from net income, and removal of per share impacts of controlling and non-controlling interests.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By assuming the full exchange of all of the outstanding Dutch Bros OpCo Class A common units not held by Dutch Bros Inc. for Dutch Bros Inc. Class A common stock and related net income adjustments, we believe this measure facilitates a better comparison with other companies that have different organizational and tax structures, as well as comparisons period over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Non-cash expenses related to the grant and vesting of stock awards, including restricted stock units and performance restricted stock units in Dutch Bros Inc. to certain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Expenses associated with 2022 credit facility refinancing</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Costs incurred as a result of refinancing our credit facility in May 2025, including write-off of unamortized loan costs related to the amendment and restatement of our 2022 Credit Facility, and intermediary fees and other costs related to our 2025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Acquisitions-related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Costs incurred as a result of our acquisitions activity, including professional fees and integration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TRAs remeasurements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(Gain) loss impacts related to adjustments of our TRAs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Organization realignment and restructurings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Fees and costs incurred in connection with our comprehensive initiatives to develop and implement a long-term strategy involving changes to our organizational structure to support our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Dilutive effects of restricted stock awards and units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Addition of incremental shares of restricted stock units calculated under the treasury stock method, when they are dilutive for the calculation of weighted-average shares on a non-GAAP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Assumed exchange of weighted-average LLC interests for shares of Class A common stock</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Weighted-average of all outstanding Dutch Bros OpCo Class A common units not held by Dutch Bros Inc. that are assumed to be exchanged for Dutch Bros Inc. Class A common stock.</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Supplemental Reconciliations of U.S. GAAP Actuals to Non-GAAP Actuals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Following are the reconciliations of the most comparable GAAP financial measure to non-GAAP financial measure. These non-GAAP financial measures should not be considered a substitute for, or superior to, financial measures calculated in accordance with U.S. GAAP, and the reconciliations from U.S. GAAP to Non-GAAP measures should be carefully evaluated. Please refer to "Non-GAAP Financial Measures" in this press release for a detailed explanation of the adjustments made to the comparable U.S. GAAP measures, the ways management uses the non-GAAP measures, and the reasons why management believes the non-GAAP measures provide useful information for investors.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80" w:type="dxa"/>
            <w:vAlign w:val="bottom"/>
            <w:gridSpan w:val="8"/>
          </w:tcPr>
          <w:p>
            <w:pPr>
              <w:ind w:left="320"/>
              <w:spacing w:after="0"/>
              <w:rPr>
                <w:sz w:val="20"/>
                <w:szCs w:val="20"/>
                <w:color w:val="auto"/>
              </w:rPr>
            </w:pPr>
            <w:r>
              <w:rPr>
                <w:rFonts w:ascii="Arial" w:cs="Arial" w:eastAsia="Arial" w:hAnsi="Arial"/>
                <w:sz w:val="18"/>
                <w:szCs w:val="18"/>
                <w:b w:val="1"/>
                <w:bCs w:val="1"/>
                <w:color w:val="131E29"/>
              </w:rPr>
              <w:t>Three Months Ended September 30,</w:t>
            </w:r>
          </w:p>
        </w:tc>
        <w:tc>
          <w:tcPr>
            <w:tcW w:w="370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131E29"/>
              </w:rPr>
              <w:t>Nine Months Ended September 30,</w:t>
            </w:r>
          </w:p>
        </w:tc>
      </w:tr>
      <w:tr>
        <w:trPr>
          <w:trHeight w:val="263"/>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131E29"/>
              </w:rPr>
              <w:t>2026</w:t>
            </w:r>
          </w:p>
        </w:tc>
        <w:tc>
          <w:tcPr>
            <w:tcW w:w="6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131E29"/>
              </w:rPr>
              <w:t>2025</w:t>
            </w: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131E29"/>
              </w:rPr>
              <w:t>2026</w:t>
            </w:r>
          </w:p>
        </w:tc>
        <w:tc>
          <w:tcPr>
            <w:tcW w:w="6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131E29"/>
              </w:rPr>
              <w:t>2025</w:t>
            </w:r>
          </w:p>
        </w:tc>
        <w:tc>
          <w:tcPr>
            <w:tcW w:w="640" w:type="dxa"/>
            <w:vAlign w:val="bottom"/>
            <w:tcBorders>
              <w:top w:val="single" w:sz="8" w:color="auto"/>
              <w:bottom w:val="single" w:sz="8" w:color="auto"/>
            </w:tcBorders>
          </w:tcPr>
          <w:p>
            <w:pPr>
              <w:spacing w:after="0"/>
              <w:rPr>
                <w:sz w:val="22"/>
                <w:szCs w:val="22"/>
                <w:color w:val="auto"/>
              </w:rPr>
            </w:pPr>
          </w:p>
        </w:tc>
      </w:tr>
      <w:tr>
        <w:trPr>
          <w:trHeight w:val="26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rPr>
              <w:t>%</w:t>
            </w:r>
          </w:p>
        </w:tc>
      </w:tr>
      <w:tr>
        <w:trPr>
          <w:trHeight w:val="270"/>
        </w:trPr>
        <w:tc>
          <w:tcPr>
            <w:tcW w:w="37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gross profit</w:t>
            </w: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109,479</w:t>
            </w:r>
          </w:p>
        </w:tc>
        <w:tc>
          <w:tcPr>
            <w:tcW w:w="80" w:type="dxa"/>
            <w:vAlign w:val="bottom"/>
            <w:shd w:val="clear" w:color="auto" w:fill="D2DCE5"/>
          </w:tcPr>
          <w:p>
            <w:pPr>
              <w:spacing w:after="0"/>
              <w:rPr>
                <w:sz w:val="23"/>
                <w:szCs w:val="23"/>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21.3</w:t>
            </w:r>
          </w:p>
        </w:tc>
        <w:tc>
          <w:tcPr>
            <w:tcW w:w="100" w:type="dxa"/>
            <w:vAlign w:val="bottom"/>
            <w:shd w:val="clear" w:color="auto" w:fill="D2DCE5"/>
          </w:tcPr>
          <w:p>
            <w:pPr>
              <w:spacing w:after="0"/>
              <w:rPr>
                <w:sz w:val="23"/>
                <w:szCs w:val="23"/>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82,435</w:t>
            </w:r>
          </w:p>
        </w:tc>
        <w:tc>
          <w:tcPr>
            <w:tcW w:w="100" w:type="dxa"/>
            <w:vAlign w:val="bottom"/>
            <w:shd w:val="clear" w:color="auto" w:fill="D2DCE5"/>
          </w:tcPr>
          <w:p>
            <w:pPr>
              <w:spacing w:after="0"/>
              <w:rPr>
                <w:sz w:val="23"/>
                <w:szCs w:val="23"/>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21.0</w:t>
            </w:r>
          </w:p>
        </w:tc>
        <w:tc>
          <w:tcPr>
            <w:tcW w:w="100" w:type="dxa"/>
            <w:vAlign w:val="bottom"/>
            <w:shd w:val="clear" w:color="auto" w:fill="D2DCE5"/>
          </w:tcPr>
          <w:p>
            <w:pPr>
              <w:spacing w:after="0"/>
              <w:rPr>
                <w:sz w:val="23"/>
                <w:szCs w:val="23"/>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318,562</w:t>
            </w:r>
          </w:p>
        </w:tc>
        <w:tc>
          <w:tcPr>
            <w:tcW w:w="80" w:type="dxa"/>
            <w:vAlign w:val="bottom"/>
            <w:shd w:val="clear" w:color="auto" w:fill="D2DCE5"/>
          </w:tcPr>
          <w:p>
            <w:pPr>
              <w:spacing w:after="0"/>
              <w:rPr>
                <w:sz w:val="23"/>
                <w:szCs w:val="23"/>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21.9</w:t>
            </w:r>
          </w:p>
        </w:tc>
        <w:tc>
          <w:tcPr>
            <w:tcW w:w="100" w:type="dxa"/>
            <w:vAlign w:val="bottom"/>
            <w:shd w:val="clear" w:color="auto" w:fill="D2DCE5"/>
          </w:tcPr>
          <w:p>
            <w:pPr>
              <w:spacing w:after="0"/>
              <w:rPr>
                <w:sz w:val="23"/>
                <w:szCs w:val="23"/>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246,485</w:t>
            </w:r>
          </w:p>
        </w:tc>
        <w:tc>
          <w:tcPr>
            <w:tcW w:w="100" w:type="dxa"/>
            <w:vAlign w:val="bottom"/>
            <w:shd w:val="clear" w:color="auto" w:fill="D2DCE5"/>
          </w:tcPr>
          <w:p>
            <w:pPr>
              <w:spacing w:after="0"/>
              <w:rPr>
                <w:sz w:val="23"/>
                <w:szCs w:val="23"/>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22.4</w:t>
            </w:r>
          </w:p>
        </w:tc>
      </w:tr>
      <w:tr>
        <w:trPr>
          <w:trHeight w:val="270"/>
        </w:trPr>
        <w:tc>
          <w:tcPr>
            <w:tcW w:w="3760" w:type="dxa"/>
            <w:vAlign w:val="bottom"/>
            <w:tcBorders>
              <w:bottom w:val="single" w:sz="8" w:color="D2DCE5"/>
            </w:tcBorders>
            <w:gridSpan w:val="2"/>
          </w:tcPr>
          <w:p>
            <w:pPr>
              <w:ind w:left="240"/>
              <w:spacing w:after="0"/>
              <w:rPr>
                <w:sz w:val="20"/>
                <w:szCs w:val="20"/>
                <w:color w:val="auto"/>
              </w:rPr>
            </w:pPr>
            <w:r>
              <w:rPr>
                <w:rFonts w:ascii="Arial" w:cs="Arial" w:eastAsia="Arial" w:hAnsi="Arial"/>
                <w:sz w:val="18"/>
                <w:szCs w:val="18"/>
                <w:color w:val="131E29"/>
              </w:rPr>
              <w:t>Depreciation and amortization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34,997</w:t>
            </w:r>
          </w:p>
        </w:tc>
        <w:tc>
          <w:tcPr>
            <w:tcW w:w="80" w:type="dxa"/>
            <w:vAlign w:val="bottom"/>
            <w:tcBorders>
              <w:bottom w:val="single" w:sz="8" w:color="D2DCE5"/>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6.8</w:t>
            </w:r>
          </w:p>
        </w:tc>
        <w:tc>
          <w:tcPr>
            <w:tcW w:w="100" w:type="dxa"/>
            <w:vAlign w:val="bottom"/>
            <w:tcBorders>
              <w:bottom w:val="single" w:sz="8" w:color="D2DCE5"/>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26,796</w:t>
            </w:r>
          </w:p>
        </w:tc>
        <w:tc>
          <w:tcPr>
            <w:tcW w:w="100" w:type="dxa"/>
            <w:vAlign w:val="bottom"/>
            <w:tcBorders>
              <w:bottom w:val="single" w:sz="8" w:color="D2DCE5"/>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6.8</w:t>
            </w:r>
          </w:p>
        </w:tc>
        <w:tc>
          <w:tcPr>
            <w:tcW w:w="100" w:type="dxa"/>
            <w:vAlign w:val="bottom"/>
            <w:tcBorders>
              <w:bottom w:val="single" w:sz="8" w:color="D2DCE5"/>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103,188</w:t>
            </w:r>
          </w:p>
        </w:tc>
        <w:tc>
          <w:tcPr>
            <w:tcW w:w="80" w:type="dxa"/>
            <w:vAlign w:val="bottom"/>
            <w:tcBorders>
              <w:bottom w:val="single" w:sz="8" w:color="D2DCE5"/>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7.1</w:t>
            </w:r>
          </w:p>
        </w:tc>
        <w:tc>
          <w:tcPr>
            <w:tcW w:w="100" w:type="dxa"/>
            <w:vAlign w:val="bottom"/>
            <w:tcBorders>
              <w:bottom w:val="single" w:sz="8" w:color="D2DCE5"/>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77,047</w:t>
            </w:r>
          </w:p>
        </w:tc>
        <w:tc>
          <w:tcPr>
            <w:tcW w:w="100" w:type="dxa"/>
            <w:vAlign w:val="bottom"/>
            <w:tcBorders>
              <w:bottom w:val="single" w:sz="8" w:color="D2DCE5"/>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7.0</w:t>
            </w:r>
          </w:p>
        </w:tc>
      </w:tr>
      <w:tr>
        <w:trPr>
          <w:trHeight w:val="289"/>
        </w:trPr>
        <w:tc>
          <w:tcPr>
            <w:tcW w:w="37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contribution</w:t>
            </w: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144,476</w:t>
            </w:r>
          </w:p>
        </w:tc>
        <w:tc>
          <w:tcPr>
            <w:tcW w:w="8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28.1</w:t>
            </w:r>
          </w:p>
        </w:tc>
        <w:tc>
          <w:tcPr>
            <w:tcW w:w="100" w:type="dxa"/>
            <w:vAlign w:val="bottom"/>
            <w:tcBorders>
              <w:bottom w:val="single" w:sz="8" w:color="D2DCE5"/>
            </w:tcBorders>
            <w:shd w:val="clear" w:color="auto" w:fill="D2DCE5"/>
          </w:tcPr>
          <w:p>
            <w:pPr>
              <w:spacing w:after="0"/>
              <w:rPr>
                <w:sz w:val="24"/>
                <w:szCs w:val="24"/>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109,231</w:t>
            </w:r>
          </w:p>
        </w:tc>
        <w:tc>
          <w:tcPr>
            <w:tcW w:w="100" w:type="dxa"/>
            <w:vAlign w:val="bottom"/>
            <w:tcBorders>
              <w:bottom w:val="single" w:sz="8" w:color="D2DCE5"/>
            </w:tcBorders>
            <w:shd w:val="clear" w:color="auto" w:fill="D2DCE5"/>
          </w:tcPr>
          <w:p>
            <w:pPr>
              <w:spacing w:after="0"/>
              <w:rPr>
                <w:sz w:val="24"/>
                <w:szCs w:val="24"/>
                <w:color w:val="auto"/>
              </w:rPr>
            </w:pPr>
          </w:p>
        </w:tc>
        <w:tc>
          <w:tcPr>
            <w:tcW w:w="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27.8</w:t>
            </w:r>
          </w:p>
        </w:tc>
        <w:tc>
          <w:tcPr>
            <w:tcW w:w="100" w:type="dxa"/>
            <w:vAlign w:val="bottom"/>
            <w:tcBorders>
              <w:bottom w:val="single" w:sz="8" w:color="D2DCE5"/>
            </w:tcBorders>
            <w:shd w:val="clear" w:color="auto" w:fill="D2DCE5"/>
          </w:tcPr>
          <w:p>
            <w:pPr>
              <w:spacing w:after="0"/>
              <w:rPr>
                <w:sz w:val="24"/>
                <w:szCs w:val="24"/>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421,750</w:t>
            </w:r>
          </w:p>
        </w:tc>
        <w:tc>
          <w:tcPr>
            <w:tcW w:w="8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29.0</w:t>
            </w:r>
          </w:p>
        </w:tc>
        <w:tc>
          <w:tcPr>
            <w:tcW w:w="100" w:type="dxa"/>
            <w:vAlign w:val="bottom"/>
            <w:tcBorders>
              <w:bottom w:val="single" w:sz="8" w:color="D2DCE5"/>
            </w:tcBorders>
            <w:shd w:val="clear" w:color="auto" w:fill="D2DCE5"/>
          </w:tcPr>
          <w:p>
            <w:pPr>
              <w:spacing w:after="0"/>
              <w:rPr>
                <w:sz w:val="24"/>
                <w:szCs w:val="24"/>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323,532</w:t>
            </w:r>
          </w:p>
        </w:tc>
        <w:tc>
          <w:tcPr>
            <w:tcW w:w="100" w:type="dxa"/>
            <w:vAlign w:val="bottom"/>
            <w:tcBorders>
              <w:bottom w:val="single" w:sz="8" w:color="D2DCE5"/>
            </w:tcBorders>
            <w:shd w:val="clear" w:color="auto" w:fill="D2DCE5"/>
          </w:tcPr>
          <w:p>
            <w:pPr>
              <w:spacing w:after="0"/>
              <w:rPr>
                <w:sz w:val="24"/>
                <w:szCs w:val="24"/>
                <w:color w:val="auto"/>
              </w:rPr>
            </w:pPr>
          </w:p>
        </w:tc>
        <w:tc>
          <w:tcPr>
            <w:tcW w:w="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29.4</w:t>
            </w:r>
          </w:p>
        </w:tc>
      </w:tr>
      <w:tr>
        <w:trPr>
          <w:trHeight w:val="20"/>
        </w:trPr>
        <w:tc>
          <w:tcPr>
            <w:tcW w:w="36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60" w:type="dxa"/>
            <w:vAlign w:val="bottom"/>
            <w:gridSpan w:val="17"/>
          </w:tcPr>
          <w:p>
            <w:pPr>
              <w:jc w:val="right"/>
              <w:ind w:right="170"/>
              <w:spacing w:after="0"/>
              <w:rPr>
                <w:sz w:val="20"/>
                <w:szCs w:val="20"/>
                <w:color w:val="auto"/>
              </w:rPr>
            </w:pPr>
            <w:r>
              <w:rPr>
                <w:rFonts w:ascii="Arial" w:cs="Arial" w:eastAsia="Arial" w:hAnsi="Arial"/>
                <w:sz w:val="18"/>
                <w:szCs w:val="18"/>
                <w:b w:val="1"/>
                <w:bCs w:val="1"/>
                <w:color w:val="131E29"/>
              </w:rPr>
              <w:t>Three Months Ended September 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gridSpan w:val="18"/>
          </w:tcPr>
          <w:p>
            <w:pPr>
              <w:jc w:val="right"/>
              <w:ind w:right="480"/>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63"/>
        </w:trPr>
        <w:tc>
          <w:tcPr>
            <w:tcW w:w="3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131E29"/>
              </w:rPr>
              <w:t>2026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131E29"/>
              </w:rPr>
              <w:t>2025</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131E29"/>
              </w:rPr>
              <w:t>2026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131E29"/>
            </w:tcBorders>
            <w:gridSpan w:val="2"/>
          </w:tcPr>
          <w:p>
            <w:pPr>
              <w:spacing w:after="0"/>
              <w:rPr>
                <w:sz w:val="22"/>
                <w:szCs w:val="22"/>
                <w:color w:val="auto"/>
              </w:rPr>
            </w:pPr>
          </w:p>
        </w:tc>
        <w:tc>
          <w:tcPr>
            <w:tcW w:w="840" w:type="dxa"/>
            <w:vAlign w:val="bottom"/>
            <w:tcBorders>
              <w:bottom w:val="single" w:sz="8" w:color="131E29"/>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80" w:type="dxa"/>
            <w:vAlign w:val="bottom"/>
            <w:tcBorders>
              <w:bottom w:val="single" w:sz="8" w:color="131E29"/>
            </w:tcBorders>
          </w:tcPr>
          <w:p>
            <w:pPr>
              <w:spacing w:after="0"/>
              <w:rPr>
                <w:sz w:val="22"/>
                <w:szCs w:val="22"/>
                <w:color w:val="auto"/>
              </w:rPr>
            </w:pPr>
          </w:p>
        </w:tc>
        <w:tc>
          <w:tcPr>
            <w:tcW w:w="100" w:type="dxa"/>
            <w:vAlign w:val="bottom"/>
            <w:tcBorders>
              <w:bottom w:val="single" w:sz="8" w:color="131E29"/>
            </w:tcBorders>
          </w:tcPr>
          <w:p>
            <w:pPr>
              <w:spacing w:after="0"/>
              <w:rPr>
                <w:sz w:val="22"/>
                <w:szCs w:val="22"/>
                <w:color w:val="auto"/>
              </w:rPr>
            </w:pPr>
          </w:p>
        </w:tc>
        <w:tc>
          <w:tcPr>
            <w:tcW w:w="520" w:type="dxa"/>
            <w:vAlign w:val="bottom"/>
            <w:tcBorders>
              <w:bottom w:val="single" w:sz="8" w:color="131E29"/>
            </w:tcBorders>
          </w:tcPr>
          <w:p>
            <w:pPr>
              <w:jc w:val="right"/>
              <w:ind w:right="17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60" w:type="dxa"/>
            <w:vAlign w:val="bottom"/>
            <w:tcBorders>
              <w:bottom w:val="single" w:sz="8" w:color="131E29"/>
            </w:tcBorders>
          </w:tcPr>
          <w:p>
            <w:pPr>
              <w:spacing w:after="0"/>
              <w:rPr>
                <w:sz w:val="22"/>
                <w:szCs w:val="22"/>
                <w:color w:val="auto"/>
              </w:rPr>
            </w:pPr>
          </w:p>
        </w:tc>
        <w:tc>
          <w:tcPr>
            <w:tcW w:w="100" w:type="dxa"/>
            <w:vAlign w:val="bottom"/>
            <w:tcBorders>
              <w:bottom w:val="single" w:sz="8" w:color="131E29"/>
            </w:tcBorders>
          </w:tcPr>
          <w:p>
            <w:pPr>
              <w:spacing w:after="0"/>
              <w:rPr>
                <w:sz w:val="22"/>
                <w:szCs w:val="22"/>
                <w:color w:val="auto"/>
              </w:rPr>
            </w:pPr>
          </w:p>
        </w:tc>
        <w:tc>
          <w:tcPr>
            <w:tcW w:w="80" w:type="dxa"/>
            <w:vAlign w:val="bottom"/>
            <w:tcBorders>
              <w:bottom w:val="single" w:sz="8" w:color="131E29"/>
            </w:tcBorders>
          </w:tcPr>
          <w:p>
            <w:pPr>
              <w:spacing w:after="0"/>
              <w:rPr>
                <w:sz w:val="22"/>
                <w:szCs w:val="22"/>
                <w:color w:val="auto"/>
              </w:rPr>
            </w:pPr>
          </w:p>
        </w:tc>
        <w:tc>
          <w:tcPr>
            <w:tcW w:w="100" w:type="dxa"/>
            <w:vAlign w:val="bottom"/>
            <w:tcBorders>
              <w:bottom w:val="single" w:sz="8" w:color="131E29"/>
            </w:tcBorders>
          </w:tcPr>
          <w:p>
            <w:pPr>
              <w:spacing w:after="0"/>
              <w:rPr>
                <w:sz w:val="22"/>
                <w:szCs w:val="22"/>
                <w:color w:val="auto"/>
              </w:rPr>
            </w:pPr>
          </w:p>
        </w:tc>
        <w:tc>
          <w:tcPr>
            <w:tcW w:w="120" w:type="dxa"/>
            <w:vAlign w:val="bottom"/>
            <w:tcBorders>
              <w:bottom w:val="single" w:sz="8" w:color="131E29"/>
            </w:tcBorders>
          </w:tcPr>
          <w:p>
            <w:pPr>
              <w:spacing w:after="0"/>
              <w:rPr>
                <w:sz w:val="22"/>
                <w:szCs w:val="22"/>
                <w:color w:val="auto"/>
              </w:rPr>
            </w:pPr>
          </w:p>
        </w:tc>
        <w:tc>
          <w:tcPr>
            <w:tcW w:w="58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w w:val="99"/>
              </w:rPr>
              <w:t>$</w:t>
            </w:r>
          </w:p>
        </w:tc>
        <w:tc>
          <w:tcPr>
            <w:tcW w:w="100" w:type="dxa"/>
            <w:vAlign w:val="bottom"/>
            <w:tcBorders>
              <w:bottom w:val="single" w:sz="8" w:color="D2DCE5"/>
            </w:tcBorders>
          </w:tcPr>
          <w:p>
            <w:pPr>
              <w:spacing w:after="0"/>
              <w:rPr>
                <w:sz w:val="22"/>
                <w:szCs w:val="22"/>
                <w:color w:val="auto"/>
              </w:rPr>
            </w:pPr>
          </w:p>
        </w:tc>
        <w:tc>
          <w:tcPr>
            <w:tcW w:w="40" w:type="dxa"/>
            <w:vAlign w:val="bottom"/>
            <w:tcBorders>
              <w:bottom w:val="single" w:sz="8" w:color="131E29"/>
            </w:tcBorders>
          </w:tcPr>
          <w:p>
            <w:pPr>
              <w:spacing w:after="0"/>
              <w:rPr>
                <w:sz w:val="22"/>
                <w:szCs w:val="22"/>
                <w:color w:val="auto"/>
              </w:rPr>
            </w:pPr>
          </w:p>
        </w:tc>
        <w:tc>
          <w:tcPr>
            <w:tcW w:w="80" w:type="dxa"/>
            <w:vAlign w:val="bottom"/>
            <w:tcBorders>
              <w:bottom w:val="single" w:sz="8" w:color="131E29"/>
            </w:tcBorders>
          </w:tcPr>
          <w:p>
            <w:pPr>
              <w:spacing w:after="0"/>
              <w:rPr>
                <w:sz w:val="22"/>
                <w:szCs w:val="22"/>
                <w:color w:val="auto"/>
              </w:rPr>
            </w:pPr>
          </w:p>
        </w:tc>
        <w:tc>
          <w:tcPr>
            <w:tcW w:w="400" w:type="dxa"/>
            <w:vAlign w:val="bottom"/>
            <w:tcBorders>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131E29"/>
            </w:tcBorders>
          </w:tcPr>
          <w:p>
            <w:pPr>
              <w:spacing w:after="0"/>
              <w:rPr>
                <w:sz w:val="22"/>
                <w:szCs w:val="22"/>
                <w:color w:val="auto"/>
              </w:rPr>
            </w:pPr>
          </w:p>
        </w:tc>
        <w:tc>
          <w:tcPr>
            <w:tcW w:w="80" w:type="dxa"/>
            <w:vAlign w:val="bottom"/>
            <w:tcBorders>
              <w:bottom w:val="single" w:sz="8" w:color="131E29"/>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040" w:type="dxa"/>
            <w:vAlign w:val="bottom"/>
            <w:tcBorders>
              <w:bottom w:val="single" w:sz="8" w:color="131E29"/>
            </w:tcBorders>
            <w:gridSpan w:val="2"/>
          </w:tcPr>
          <w:p>
            <w:pPr>
              <w:jc w:val="right"/>
              <w:ind w:right="3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80" w:type="dxa"/>
            <w:vAlign w:val="bottom"/>
            <w:tcBorders>
              <w:bottom w:val="single" w:sz="8" w:color="131E29"/>
            </w:tcBorders>
          </w:tcPr>
          <w:p>
            <w:pPr>
              <w:spacing w:after="0"/>
              <w:rPr>
                <w:sz w:val="22"/>
                <w:szCs w:val="22"/>
                <w:color w:val="auto"/>
              </w:rPr>
            </w:pPr>
          </w:p>
        </w:tc>
        <w:tc>
          <w:tcPr>
            <w:tcW w:w="140" w:type="dxa"/>
            <w:vAlign w:val="bottom"/>
            <w:tcBorders>
              <w:bottom w:val="single" w:sz="8" w:color="131E29"/>
            </w:tcBorders>
          </w:tcPr>
          <w:p>
            <w:pPr>
              <w:spacing w:after="0"/>
              <w:rPr>
                <w:sz w:val="22"/>
                <w:szCs w:val="22"/>
                <w:color w:val="auto"/>
              </w:rPr>
            </w:pPr>
          </w:p>
        </w:tc>
        <w:tc>
          <w:tcPr>
            <w:tcW w:w="420" w:type="dxa"/>
            <w:vAlign w:val="bottom"/>
            <w:tcBorders>
              <w:bottom w:val="single" w:sz="8" w:color="131E29"/>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00" w:type="dxa"/>
            <w:vAlign w:val="bottom"/>
            <w:tcBorders>
              <w:bottom w:val="single" w:sz="8" w:color="D2DCE5"/>
            </w:tcBorders>
          </w:tcPr>
          <w:p>
            <w:pPr>
              <w:spacing w:after="0"/>
              <w:rPr>
                <w:sz w:val="22"/>
                <w:szCs w:val="22"/>
                <w:color w:val="auto"/>
              </w:rPr>
            </w:pPr>
          </w:p>
        </w:tc>
        <w:tc>
          <w:tcPr>
            <w:tcW w:w="20" w:type="dxa"/>
            <w:vAlign w:val="bottom"/>
            <w:tcBorders>
              <w:bottom w:val="single" w:sz="8" w:color="131E29"/>
            </w:tcBorders>
          </w:tcPr>
          <w:p>
            <w:pPr>
              <w:spacing w:after="0"/>
              <w:rPr>
                <w:sz w:val="22"/>
                <w:szCs w:val="22"/>
                <w:color w:val="auto"/>
              </w:rPr>
            </w:pPr>
          </w:p>
        </w:tc>
        <w:tc>
          <w:tcPr>
            <w:tcW w:w="80" w:type="dxa"/>
            <w:vAlign w:val="bottom"/>
            <w:tcBorders>
              <w:bottom w:val="single" w:sz="8" w:color="131E29"/>
            </w:tcBorders>
          </w:tcPr>
          <w:p>
            <w:pPr>
              <w:spacing w:after="0"/>
              <w:rPr>
                <w:sz w:val="22"/>
                <w:szCs w:val="22"/>
                <w:color w:val="auto"/>
              </w:rPr>
            </w:pPr>
          </w:p>
        </w:tc>
        <w:tc>
          <w:tcPr>
            <w:tcW w:w="140" w:type="dxa"/>
            <w:vAlign w:val="bottom"/>
            <w:tcBorders>
              <w:bottom w:val="single" w:sz="8" w:color="131E29"/>
            </w:tcBorders>
          </w:tcPr>
          <w:p>
            <w:pPr>
              <w:spacing w:after="0"/>
              <w:rPr>
                <w:sz w:val="22"/>
                <w:szCs w:val="22"/>
                <w:color w:val="auto"/>
              </w:rPr>
            </w:pPr>
          </w:p>
        </w:tc>
        <w:tc>
          <w:tcPr>
            <w:tcW w:w="340" w:type="dxa"/>
            <w:vAlign w:val="bottom"/>
            <w:tcBorders>
              <w:bottom w:val="single" w:sz="8" w:color="131E29"/>
            </w:tcBorders>
            <w:gridSpan w:val="2"/>
          </w:tcPr>
          <w:p>
            <w:pPr>
              <w:jc w:val="right"/>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131E29"/>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640" w:type="dxa"/>
            <w:vAlign w:val="bottom"/>
            <w:tcBorders>
              <w:bottom w:val="single" w:sz="8" w:color="131E29"/>
            </w:tcBorders>
            <w:gridSpan w:val="2"/>
          </w:tcPr>
          <w:p>
            <w:pPr>
              <w:jc w:val="right"/>
              <w:ind w:right="150"/>
              <w:spacing w:after="0"/>
              <w:rPr>
                <w:sz w:val="20"/>
                <w:szCs w:val="20"/>
                <w:color w:val="auto"/>
              </w:rPr>
            </w:pPr>
            <w:r>
              <w:rPr>
                <w:rFonts w:ascii="Arial" w:cs="Arial" w:eastAsia="Arial" w:hAnsi="Arial"/>
                <w:sz w:val="18"/>
                <w:szCs w:val="18"/>
                <w:b w:val="1"/>
                <w:bCs w:val="1"/>
                <w:color w:val="131E29"/>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w:t>
            </w: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37,228</w:t>
            </w:r>
          </w:p>
        </w:tc>
        <w:tc>
          <w:tcPr>
            <w:tcW w:w="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6.8</w:t>
            </w:r>
          </w:p>
        </w:tc>
        <w:tc>
          <w:tcPr>
            <w:tcW w:w="8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80" w:type="dxa"/>
            <w:vAlign w:val="bottom"/>
            <w:gridSpan w:val="4"/>
            <w:shd w:val="clear" w:color="auto" w:fill="D2DCE5"/>
          </w:tcPr>
          <w:p>
            <w:pPr>
              <w:jc w:val="right"/>
              <w:spacing w:after="0"/>
              <w:rPr>
                <w:sz w:val="20"/>
                <w:szCs w:val="20"/>
                <w:color w:val="auto"/>
              </w:rPr>
            </w:pPr>
            <w:r>
              <w:rPr>
                <w:rFonts w:ascii="Arial" w:cs="Arial" w:eastAsia="Arial" w:hAnsi="Arial"/>
                <w:sz w:val="18"/>
                <w:szCs w:val="18"/>
                <w:b w:val="1"/>
                <w:bCs w:val="1"/>
                <w:color w:val="131E29"/>
              </w:rPr>
              <w:t>27,283</w:t>
            </w:r>
          </w:p>
        </w:tc>
        <w:tc>
          <w:tcPr>
            <w:tcW w:w="10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50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6.4</w:t>
            </w: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006098"/>
              </w:rPr>
              <w:t>112,497</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4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7.2</w:t>
            </w:r>
          </w:p>
        </w:tc>
        <w:tc>
          <w:tcPr>
            <w:tcW w:w="10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800" w:type="dxa"/>
            <w:vAlign w:val="bottom"/>
            <w:gridSpan w:val="4"/>
            <w:shd w:val="clear" w:color="auto" w:fill="D2DCE5"/>
          </w:tcPr>
          <w:p>
            <w:pPr>
              <w:jc w:val="right"/>
              <w:spacing w:after="0"/>
              <w:rPr>
                <w:sz w:val="20"/>
                <w:szCs w:val="20"/>
                <w:color w:val="auto"/>
              </w:rPr>
            </w:pPr>
            <w:r>
              <w:rPr>
                <w:rFonts w:ascii="Arial" w:cs="Arial" w:eastAsia="Arial" w:hAnsi="Arial"/>
                <w:sz w:val="18"/>
                <w:szCs w:val="18"/>
                <w:b w:val="1"/>
                <w:bCs w:val="1"/>
                <w:color w:val="131E29"/>
              </w:rPr>
              <w:t>88,120</w:t>
            </w:r>
          </w:p>
        </w:tc>
        <w:tc>
          <w:tcPr>
            <w:tcW w:w="100" w:type="dxa"/>
            <w:vAlign w:val="bottom"/>
            <w:shd w:val="clear" w:color="auto" w:fill="D2DCE5"/>
          </w:tcPr>
          <w:p>
            <w:pPr>
              <w:spacing w:after="0"/>
              <w:rPr>
                <w:sz w:val="23"/>
                <w:szCs w:val="23"/>
                <w:color w:val="auto"/>
              </w:rPr>
            </w:pPr>
          </w:p>
        </w:tc>
        <w:tc>
          <w:tcPr>
            <w:tcW w:w="64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7.4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Depreciation and amortization</w:t>
            </w:r>
          </w:p>
        </w:tc>
        <w:tc>
          <w:tcPr>
            <w:tcW w:w="840" w:type="dxa"/>
            <w:vAlign w:val="bottom"/>
          </w:tcPr>
          <w:p>
            <w:pPr>
              <w:jc w:val="right"/>
              <w:spacing w:after="0"/>
              <w:rPr>
                <w:sz w:val="20"/>
                <w:szCs w:val="20"/>
                <w:color w:val="auto"/>
              </w:rPr>
            </w:pPr>
            <w:r>
              <w:rPr>
                <w:rFonts w:ascii="Arial" w:cs="Arial" w:eastAsia="Arial" w:hAnsi="Arial"/>
                <w:sz w:val="18"/>
                <w:szCs w:val="18"/>
                <w:color w:val="006098"/>
              </w:rPr>
              <w:t>39,340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6098"/>
              </w:rPr>
              <w:t>7.2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131E29"/>
              </w:rPr>
              <w:t>29,066</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131E29"/>
              </w:rPr>
              <w:t>6.9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006098"/>
              </w:rPr>
              <w:t>113,076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006098"/>
              </w:rPr>
              <w:t>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131E29"/>
              </w:rPr>
              <w:t>83,389</w:t>
            </w: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131E29"/>
              </w:rPr>
              <w:t>7.0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Interest expense, net</w:t>
            </w: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7,079</w:t>
            </w:r>
          </w:p>
        </w:tc>
        <w:tc>
          <w:tcPr>
            <w:tcW w:w="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w:t>
            </w:r>
          </w:p>
        </w:tc>
        <w:tc>
          <w:tcPr>
            <w:tcW w:w="8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6,695</w:t>
            </w:r>
          </w:p>
        </w:tc>
        <w:tc>
          <w:tcPr>
            <w:tcW w:w="10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50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1.6</w:t>
            </w: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006098"/>
              </w:rPr>
              <w:t>21,337</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4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1.4</w:t>
            </w:r>
          </w:p>
        </w:tc>
        <w:tc>
          <w:tcPr>
            <w:tcW w:w="10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800" w:type="dxa"/>
            <w:vAlign w:val="bottom"/>
            <w:gridSpan w:val="4"/>
            <w:shd w:val="clear" w:color="auto" w:fill="D2DCE5"/>
          </w:tcPr>
          <w:p>
            <w:pPr>
              <w:jc w:val="right"/>
              <w:spacing w:after="0"/>
              <w:rPr>
                <w:sz w:val="20"/>
                <w:szCs w:val="20"/>
                <w:color w:val="auto"/>
              </w:rPr>
            </w:pPr>
            <w:r>
              <w:rPr>
                <w:rFonts w:ascii="Arial" w:cs="Arial" w:eastAsia="Arial" w:hAnsi="Arial"/>
                <w:sz w:val="18"/>
                <w:szCs w:val="18"/>
                <w:color w:val="131E29"/>
              </w:rPr>
              <w:t>20,886</w:t>
            </w:r>
          </w:p>
        </w:tc>
        <w:tc>
          <w:tcPr>
            <w:tcW w:w="100" w:type="dxa"/>
            <w:vAlign w:val="bottom"/>
            <w:shd w:val="clear" w:color="auto" w:fill="D2DCE5"/>
          </w:tcPr>
          <w:p>
            <w:pPr>
              <w:spacing w:after="0"/>
              <w:rPr>
                <w:sz w:val="23"/>
                <w:szCs w:val="23"/>
                <w:color w:val="auto"/>
              </w:rPr>
            </w:pPr>
          </w:p>
        </w:tc>
        <w:tc>
          <w:tcPr>
            <w:tcW w:w="6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1.7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Borders>
              <w:bottom w:val="single" w:sz="8" w:color="D2DCE5"/>
            </w:tcBorders>
            <w:gridSpan w:val="2"/>
          </w:tcPr>
          <w:p>
            <w:pPr>
              <w:ind w:left="240"/>
              <w:spacing w:after="0"/>
              <w:rPr>
                <w:sz w:val="20"/>
                <w:szCs w:val="20"/>
                <w:color w:val="auto"/>
              </w:rPr>
            </w:pPr>
            <w:r>
              <w:rPr>
                <w:rFonts w:ascii="Arial" w:cs="Arial" w:eastAsia="Arial" w:hAnsi="Arial"/>
                <w:sz w:val="18"/>
                <w:szCs w:val="18"/>
                <w:color w:val="131E29"/>
              </w:rPr>
              <w:t>Income tax expense</w:t>
            </w:r>
          </w:p>
        </w:tc>
        <w:tc>
          <w:tcPr>
            <w:tcW w:w="200" w:type="dxa"/>
            <w:vAlign w:val="bottom"/>
            <w:tcBorders>
              <w:bottom w:val="single" w:sz="8" w:color="auto"/>
            </w:tcBorders>
            <w:gridSpan w:val="2"/>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8,807</w:t>
            </w:r>
          </w:p>
        </w:tc>
        <w:tc>
          <w:tcPr>
            <w:tcW w:w="80" w:type="dxa"/>
            <w:vAlign w:val="bottom"/>
            <w:tcBorders>
              <w:bottom w:val="single" w:sz="8" w:color="D2DCE5"/>
            </w:tcBorders>
          </w:tcPr>
          <w:p>
            <w:pPr>
              <w:spacing w:after="0"/>
              <w:rPr>
                <w:sz w:val="23"/>
                <w:szCs w:val="23"/>
                <w:color w:val="auto"/>
              </w:rPr>
            </w:pPr>
          </w:p>
        </w:tc>
        <w:tc>
          <w:tcPr>
            <w:tcW w:w="80" w:type="dxa"/>
            <w:vAlign w:val="bottom"/>
            <w:tcBorders>
              <w:bottom w:val="single" w:sz="8" w:color="131E29"/>
            </w:tcBorders>
          </w:tcPr>
          <w:p>
            <w:pPr>
              <w:spacing w:after="0"/>
              <w:rPr>
                <w:sz w:val="23"/>
                <w:szCs w:val="23"/>
                <w:color w:val="auto"/>
              </w:rPr>
            </w:pPr>
          </w:p>
        </w:tc>
        <w:tc>
          <w:tcPr>
            <w:tcW w:w="100" w:type="dxa"/>
            <w:vAlign w:val="bottom"/>
            <w:tcBorders>
              <w:bottom w:val="single" w:sz="8" w:color="131E29"/>
            </w:tcBorders>
          </w:tcPr>
          <w:p>
            <w:pPr>
              <w:spacing w:after="0"/>
              <w:rPr>
                <w:sz w:val="23"/>
                <w:szCs w:val="23"/>
                <w:color w:val="auto"/>
              </w:rPr>
            </w:pPr>
          </w:p>
        </w:tc>
        <w:tc>
          <w:tcPr>
            <w:tcW w:w="52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006098"/>
              </w:rPr>
              <w:t>1.6</w:t>
            </w:r>
          </w:p>
        </w:tc>
        <w:tc>
          <w:tcPr>
            <w:tcW w:w="80" w:type="dxa"/>
            <w:vAlign w:val="bottom"/>
            <w:tcBorders>
              <w:bottom w:val="single" w:sz="8" w:color="D2DCE5"/>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7,661</w:t>
            </w:r>
          </w:p>
        </w:tc>
        <w:tc>
          <w:tcPr>
            <w:tcW w:w="100" w:type="dxa"/>
            <w:vAlign w:val="bottom"/>
            <w:tcBorders>
              <w:bottom w:val="single" w:sz="8" w:color="D2DCE5"/>
            </w:tcBorders>
          </w:tcPr>
          <w:p>
            <w:pPr>
              <w:spacing w:after="0"/>
              <w:rPr>
                <w:sz w:val="23"/>
                <w:szCs w:val="23"/>
                <w:color w:val="auto"/>
              </w:rPr>
            </w:pPr>
          </w:p>
        </w:tc>
        <w:tc>
          <w:tcPr>
            <w:tcW w:w="40" w:type="dxa"/>
            <w:vAlign w:val="bottom"/>
            <w:tcBorders>
              <w:bottom w:val="single" w:sz="8" w:color="131E29"/>
            </w:tcBorders>
          </w:tcPr>
          <w:p>
            <w:pPr>
              <w:spacing w:after="0"/>
              <w:rPr>
                <w:sz w:val="23"/>
                <w:szCs w:val="23"/>
                <w:color w:val="auto"/>
              </w:rPr>
            </w:pPr>
          </w:p>
        </w:tc>
        <w:tc>
          <w:tcPr>
            <w:tcW w:w="80" w:type="dxa"/>
            <w:vAlign w:val="bottom"/>
            <w:tcBorders>
              <w:bottom w:val="single" w:sz="8" w:color="131E29"/>
            </w:tcBorders>
          </w:tcPr>
          <w:p>
            <w:pPr>
              <w:spacing w:after="0"/>
              <w:rPr>
                <w:sz w:val="23"/>
                <w:szCs w:val="23"/>
                <w:color w:val="auto"/>
              </w:rPr>
            </w:pPr>
          </w:p>
        </w:tc>
        <w:tc>
          <w:tcPr>
            <w:tcW w:w="500" w:type="dxa"/>
            <w:vAlign w:val="bottom"/>
            <w:tcBorders>
              <w:bottom w:val="single" w:sz="8" w:color="131E29"/>
            </w:tcBorders>
            <w:gridSpan w:val="2"/>
          </w:tcPr>
          <w:p>
            <w:pPr>
              <w:jc w:val="right"/>
              <w:spacing w:after="0"/>
              <w:rPr>
                <w:sz w:val="20"/>
                <w:szCs w:val="20"/>
                <w:color w:val="auto"/>
              </w:rPr>
            </w:pPr>
            <w:r>
              <w:rPr>
                <w:rFonts w:ascii="Arial" w:cs="Arial" w:eastAsia="Arial" w:hAnsi="Arial"/>
                <w:sz w:val="18"/>
                <w:szCs w:val="18"/>
                <w:color w:val="131E29"/>
              </w:rPr>
              <w:t>1.8</w:t>
            </w:r>
          </w:p>
        </w:tc>
        <w:tc>
          <w:tcPr>
            <w:tcW w:w="80" w:type="dxa"/>
            <w:vAlign w:val="bottom"/>
            <w:tcBorders>
              <w:bottom w:val="single" w:sz="8" w:color="131E29"/>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006098"/>
              </w:rPr>
              <w:t>24,771</w:t>
            </w:r>
          </w:p>
        </w:tc>
        <w:tc>
          <w:tcPr>
            <w:tcW w:w="80" w:type="dxa"/>
            <w:vAlign w:val="bottom"/>
            <w:tcBorders>
              <w:bottom w:val="single" w:sz="8" w:color="D2DCE5"/>
            </w:tcBorders>
          </w:tcPr>
          <w:p>
            <w:pPr>
              <w:spacing w:after="0"/>
              <w:rPr>
                <w:sz w:val="23"/>
                <w:szCs w:val="23"/>
                <w:color w:val="auto"/>
              </w:rPr>
            </w:pPr>
          </w:p>
        </w:tc>
        <w:tc>
          <w:tcPr>
            <w:tcW w:w="20" w:type="dxa"/>
            <w:vAlign w:val="bottom"/>
            <w:tcBorders>
              <w:bottom w:val="single" w:sz="8" w:color="D2DCE5"/>
            </w:tcBorders>
          </w:tcPr>
          <w:p>
            <w:pPr>
              <w:spacing w:after="0"/>
              <w:rPr>
                <w:sz w:val="23"/>
                <w:szCs w:val="23"/>
                <w:color w:val="auto"/>
              </w:rPr>
            </w:pPr>
          </w:p>
        </w:tc>
        <w:tc>
          <w:tcPr>
            <w:tcW w:w="80" w:type="dxa"/>
            <w:vAlign w:val="bottom"/>
            <w:tcBorders>
              <w:bottom w:val="single" w:sz="8" w:color="131E29"/>
            </w:tcBorders>
          </w:tcPr>
          <w:p>
            <w:pPr>
              <w:spacing w:after="0"/>
              <w:rPr>
                <w:sz w:val="23"/>
                <w:szCs w:val="23"/>
                <w:color w:val="auto"/>
              </w:rPr>
            </w:pPr>
          </w:p>
        </w:tc>
        <w:tc>
          <w:tcPr>
            <w:tcW w:w="140" w:type="dxa"/>
            <w:vAlign w:val="bottom"/>
            <w:tcBorders>
              <w:bottom w:val="single" w:sz="8" w:color="131E29"/>
            </w:tcBorders>
          </w:tcPr>
          <w:p>
            <w:pPr>
              <w:spacing w:after="0"/>
              <w:rPr>
                <w:sz w:val="23"/>
                <w:szCs w:val="23"/>
                <w:color w:val="auto"/>
              </w:rPr>
            </w:pPr>
          </w:p>
        </w:tc>
        <w:tc>
          <w:tcPr>
            <w:tcW w:w="42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006098"/>
              </w:rPr>
              <w:t>1.6</w:t>
            </w:r>
          </w:p>
        </w:tc>
        <w:tc>
          <w:tcPr>
            <w:tcW w:w="100" w:type="dxa"/>
            <w:vAlign w:val="bottom"/>
            <w:tcBorders>
              <w:bottom w:val="single" w:sz="8" w:color="D2DCE5"/>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131E29"/>
              </w:rPr>
              <w:t>16,363</w:t>
            </w:r>
          </w:p>
        </w:tc>
        <w:tc>
          <w:tcPr>
            <w:tcW w:w="100" w:type="dxa"/>
            <w:vAlign w:val="bottom"/>
            <w:tcBorders>
              <w:bottom w:val="single" w:sz="8" w:color="D2DCE5"/>
            </w:tcBorders>
          </w:tcPr>
          <w:p>
            <w:pPr>
              <w:spacing w:after="0"/>
              <w:rPr>
                <w:sz w:val="23"/>
                <w:szCs w:val="23"/>
                <w:color w:val="auto"/>
              </w:rPr>
            </w:pPr>
          </w:p>
        </w:tc>
        <w:tc>
          <w:tcPr>
            <w:tcW w:w="640" w:type="dxa"/>
            <w:vAlign w:val="bottom"/>
            <w:tcBorders>
              <w:bottom w:val="single" w:sz="8" w:color="131E29"/>
            </w:tcBorders>
            <w:gridSpan w:val="2"/>
          </w:tcPr>
          <w:p>
            <w:pPr>
              <w:jc w:val="right"/>
              <w:spacing w:after="0"/>
              <w:rPr>
                <w:sz w:val="20"/>
                <w:szCs w:val="20"/>
                <w:color w:val="auto"/>
              </w:rPr>
            </w:pPr>
            <w:r>
              <w:rPr>
                <w:rFonts w:ascii="Arial" w:cs="Arial" w:eastAsia="Arial" w:hAnsi="Arial"/>
                <w:sz w:val="18"/>
                <w:szCs w:val="18"/>
                <w:color w:val="131E29"/>
              </w:rPr>
              <w:t>1.4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2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200" w:type="dxa"/>
            <w:vAlign w:val="bottom"/>
            <w:tcBorders>
              <w:bottom w:val="single" w:sz="8" w:color="auto"/>
            </w:tcBorders>
            <w:gridSpan w:val="2"/>
            <w:shd w:val="clear" w:color="auto" w:fill="D2DCE5"/>
          </w:tcPr>
          <w:p>
            <w:pPr>
              <w:spacing w:after="0"/>
              <w:rPr>
                <w:sz w:val="22"/>
                <w:szCs w:val="22"/>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92,454</w:t>
            </w:r>
          </w:p>
        </w:tc>
        <w:tc>
          <w:tcPr>
            <w:tcW w:w="80" w:type="dxa"/>
            <w:vAlign w:val="bottom"/>
            <w:shd w:val="clear" w:color="auto" w:fill="D2DCE5"/>
          </w:tcPr>
          <w:p>
            <w:pPr>
              <w:spacing w:after="0"/>
              <w:rPr>
                <w:sz w:val="22"/>
                <w:szCs w:val="22"/>
                <w:color w:val="auto"/>
              </w:rPr>
            </w:pPr>
          </w:p>
        </w:tc>
        <w:tc>
          <w:tcPr>
            <w:tcW w:w="80" w:type="dxa"/>
            <w:vAlign w:val="bottom"/>
            <w:tcBorders>
              <w:bottom w:val="single" w:sz="8" w:color="131E29"/>
            </w:tcBorders>
            <w:shd w:val="clear" w:color="auto" w:fill="D2DCE5"/>
          </w:tcPr>
          <w:p>
            <w:pPr>
              <w:spacing w:after="0"/>
              <w:rPr>
                <w:sz w:val="22"/>
                <w:szCs w:val="22"/>
                <w:color w:val="auto"/>
              </w:rPr>
            </w:pPr>
          </w:p>
        </w:tc>
        <w:tc>
          <w:tcPr>
            <w:tcW w:w="100" w:type="dxa"/>
            <w:vAlign w:val="bottom"/>
            <w:tcBorders>
              <w:bottom w:val="single" w:sz="8" w:color="131E29"/>
            </w:tcBorders>
            <w:shd w:val="clear" w:color="auto" w:fill="D2DCE5"/>
          </w:tcPr>
          <w:p>
            <w:pPr>
              <w:spacing w:after="0"/>
              <w:rPr>
                <w:sz w:val="22"/>
                <w:szCs w:val="22"/>
                <w:color w:val="auto"/>
              </w:rPr>
            </w:pPr>
          </w:p>
        </w:tc>
        <w:tc>
          <w:tcPr>
            <w:tcW w:w="5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16.8</w:t>
            </w:r>
          </w:p>
        </w:tc>
        <w:tc>
          <w:tcPr>
            <w:tcW w:w="80" w:type="dxa"/>
            <w:vAlign w:val="bottom"/>
            <w:shd w:val="clear" w:color="auto" w:fill="D2DCE5"/>
          </w:tcPr>
          <w:p>
            <w:pPr>
              <w:spacing w:after="0"/>
              <w:rPr>
                <w:sz w:val="22"/>
                <w:szCs w:val="22"/>
                <w:color w:val="auto"/>
              </w:rPr>
            </w:pPr>
          </w:p>
        </w:tc>
        <w:tc>
          <w:tcPr>
            <w:tcW w:w="60" w:type="dxa"/>
            <w:vAlign w:val="bottom"/>
            <w:tcBorders>
              <w:bottom w:val="single" w:sz="8" w:color="auto"/>
            </w:tcBorders>
            <w:shd w:val="clear" w:color="auto" w:fill="D2DCE5"/>
          </w:tcPr>
          <w:p>
            <w:pPr>
              <w:spacing w:after="0"/>
              <w:rPr>
                <w:sz w:val="22"/>
                <w:szCs w:val="22"/>
                <w:color w:val="auto"/>
              </w:rPr>
            </w:pPr>
          </w:p>
        </w:tc>
        <w:tc>
          <w:tcPr>
            <w:tcW w:w="100" w:type="dxa"/>
            <w:vAlign w:val="bottom"/>
            <w:tcBorders>
              <w:bottom w:val="single" w:sz="8" w:color="auto"/>
            </w:tcBorders>
            <w:shd w:val="clear" w:color="auto" w:fill="D2DCE5"/>
          </w:tcPr>
          <w:p>
            <w:pPr>
              <w:spacing w:after="0"/>
              <w:rPr>
                <w:sz w:val="22"/>
                <w:szCs w:val="22"/>
                <w:color w:val="auto"/>
              </w:rPr>
            </w:pPr>
          </w:p>
        </w:tc>
        <w:tc>
          <w:tcPr>
            <w:tcW w:w="880" w:type="dxa"/>
            <w:vAlign w:val="bottom"/>
            <w:tcBorders>
              <w:bottom w:val="single" w:sz="8" w:color="auto"/>
            </w:tcBorders>
            <w:gridSpan w:val="4"/>
            <w:shd w:val="clear" w:color="auto" w:fill="D2DCE5"/>
          </w:tcPr>
          <w:p>
            <w:pPr>
              <w:jc w:val="right"/>
              <w:spacing w:after="0"/>
              <w:rPr>
                <w:sz w:val="20"/>
                <w:szCs w:val="20"/>
                <w:color w:val="auto"/>
              </w:rPr>
            </w:pPr>
            <w:r>
              <w:rPr>
                <w:rFonts w:ascii="Arial" w:cs="Arial" w:eastAsia="Arial" w:hAnsi="Arial"/>
                <w:sz w:val="18"/>
                <w:szCs w:val="18"/>
                <w:b w:val="1"/>
                <w:bCs w:val="1"/>
                <w:color w:val="131E29"/>
              </w:rPr>
              <w:t>70,705</w:t>
            </w:r>
          </w:p>
        </w:tc>
        <w:tc>
          <w:tcPr>
            <w:tcW w:w="100" w:type="dxa"/>
            <w:vAlign w:val="bottom"/>
            <w:shd w:val="clear" w:color="auto" w:fill="D2DCE5"/>
          </w:tcPr>
          <w:p>
            <w:pPr>
              <w:spacing w:after="0"/>
              <w:rPr>
                <w:sz w:val="22"/>
                <w:szCs w:val="22"/>
                <w:color w:val="auto"/>
              </w:rPr>
            </w:pPr>
          </w:p>
        </w:tc>
        <w:tc>
          <w:tcPr>
            <w:tcW w:w="40" w:type="dxa"/>
            <w:vAlign w:val="bottom"/>
            <w:tcBorders>
              <w:bottom w:val="single" w:sz="8" w:color="131E29"/>
            </w:tcBorders>
            <w:shd w:val="clear" w:color="auto" w:fill="D2DCE5"/>
          </w:tcPr>
          <w:p>
            <w:pPr>
              <w:spacing w:after="0"/>
              <w:rPr>
                <w:sz w:val="22"/>
                <w:szCs w:val="22"/>
                <w:color w:val="auto"/>
              </w:rPr>
            </w:pPr>
          </w:p>
        </w:tc>
        <w:tc>
          <w:tcPr>
            <w:tcW w:w="80" w:type="dxa"/>
            <w:vAlign w:val="bottom"/>
            <w:tcBorders>
              <w:bottom w:val="single" w:sz="8" w:color="131E29"/>
            </w:tcBorders>
            <w:shd w:val="clear" w:color="auto" w:fill="D2DCE5"/>
          </w:tcPr>
          <w:p>
            <w:pPr>
              <w:spacing w:after="0"/>
              <w:rPr>
                <w:sz w:val="22"/>
                <w:szCs w:val="22"/>
                <w:color w:val="auto"/>
              </w:rPr>
            </w:pPr>
          </w:p>
        </w:tc>
        <w:tc>
          <w:tcPr>
            <w:tcW w:w="500" w:type="dxa"/>
            <w:vAlign w:val="bottom"/>
            <w:tcBorders>
              <w:bottom w:val="single" w:sz="8" w:color="131E29"/>
            </w:tcBorders>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16.7</w:t>
            </w:r>
          </w:p>
        </w:tc>
        <w:tc>
          <w:tcPr>
            <w:tcW w:w="80" w:type="dxa"/>
            <w:vAlign w:val="bottom"/>
            <w:tcBorders>
              <w:bottom w:val="single" w:sz="8" w:color="131E29"/>
            </w:tcBorders>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040" w:type="dxa"/>
            <w:vAlign w:val="bottom"/>
            <w:tcBorders>
              <w:bottom w:val="single" w:sz="8" w:color="auto"/>
            </w:tcBorders>
            <w:gridSpan w:val="2"/>
            <w:shd w:val="clear" w:color="auto" w:fill="D2DCE5"/>
          </w:tcPr>
          <w:p>
            <w:pPr>
              <w:jc w:val="right"/>
              <w:spacing w:after="0"/>
              <w:rPr>
                <w:sz w:val="20"/>
                <w:szCs w:val="20"/>
                <w:color w:val="auto"/>
              </w:rPr>
            </w:pPr>
            <w:r>
              <w:rPr>
                <w:rFonts w:ascii="Arial" w:cs="Arial" w:eastAsia="Arial" w:hAnsi="Arial"/>
                <w:sz w:val="18"/>
                <w:szCs w:val="18"/>
                <w:b w:val="1"/>
                <w:bCs w:val="1"/>
                <w:color w:val="006098"/>
              </w:rPr>
              <w:t>271,681</w:t>
            </w:r>
          </w:p>
        </w:tc>
        <w:tc>
          <w:tcPr>
            <w:tcW w:w="8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80" w:type="dxa"/>
            <w:vAlign w:val="bottom"/>
            <w:tcBorders>
              <w:bottom w:val="single" w:sz="8" w:color="131E29"/>
            </w:tcBorders>
            <w:shd w:val="clear" w:color="auto" w:fill="D2DCE5"/>
          </w:tcPr>
          <w:p>
            <w:pPr>
              <w:spacing w:after="0"/>
              <w:rPr>
                <w:sz w:val="22"/>
                <w:szCs w:val="22"/>
                <w:color w:val="auto"/>
              </w:rPr>
            </w:pPr>
          </w:p>
        </w:tc>
        <w:tc>
          <w:tcPr>
            <w:tcW w:w="140" w:type="dxa"/>
            <w:vAlign w:val="bottom"/>
            <w:tcBorders>
              <w:bottom w:val="single" w:sz="8" w:color="131E29"/>
            </w:tcBorders>
            <w:shd w:val="clear" w:color="auto" w:fill="D2DCE5"/>
          </w:tcPr>
          <w:p>
            <w:pPr>
              <w:spacing w:after="0"/>
              <w:rPr>
                <w:sz w:val="22"/>
                <w:szCs w:val="22"/>
                <w:color w:val="auto"/>
              </w:rPr>
            </w:pPr>
          </w:p>
        </w:tc>
        <w:tc>
          <w:tcPr>
            <w:tcW w:w="4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1"/>
              </w:rPr>
              <w:t>17.4</w:t>
            </w:r>
          </w:p>
        </w:tc>
        <w:tc>
          <w:tcPr>
            <w:tcW w:w="100" w:type="dxa"/>
            <w:vAlign w:val="bottom"/>
            <w:shd w:val="clear" w:color="auto" w:fill="D2DCE5"/>
          </w:tcPr>
          <w:p>
            <w:pPr>
              <w:spacing w:after="0"/>
              <w:rPr>
                <w:sz w:val="22"/>
                <w:szCs w:val="22"/>
                <w:color w:val="auto"/>
              </w:rPr>
            </w:pPr>
          </w:p>
        </w:tc>
        <w:tc>
          <w:tcPr>
            <w:tcW w:w="20" w:type="dxa"/>
            <w:vAlign w:val="bottom"/>
            <w:tcBorders>
              <w:bottom w:val="single" w:sz="8" w:color="auto"/>
            </w:tcBorders>
            <w:shd w:val="clear" w:color="auto" w:fill="D2DCE5"/>
          </w:tcPr>
          <w:p>
            <w:pPr>
              <w:spacing w:after="0"/>
              <w:rPr>
                <w:sz w:val="22"/>
                <w:szCs w:val="22"/>
                <w:color w:val="auto"/>
              </w:rPr>
            </w:pPr>
          </w:p>
        </w:tc>
        <w:tc>
          <w:tcPr>
            <w:tcW w:w="80" w:type="dxa"/>
            <w:vAlign w:val="bottom"/>
            <w:tcBorders>
              <w:bottom w:val="single" w:sz="8" w:color="auto"/>
            </w:tcBorders>
            <w:shd w:val="clear" w:color="auto" w:fill="D2DCE5"/>
          </w:tcPr>
          <w:p>
            <w:pPr>
              <w:spacing w:after="0"/>
              <w:rPr>
                <w:sz w:val="22"/>
                <w:szCs w:val="22"/>
                <w:color w:val="auto"/>
              </w:rPr>
            </w:pPr>
          </w:p>
        </w:tc>
        <w:tc>
          <w:tcPr>
            <w:tcW w:w="140" w:type="dxa"/>
            <w:vAlign w:val="bottom"/>
            <w:tcBorders>
              <w:bottom w:val="single" w:sz="8" w:color="auto"/>
            </w:tcBorders>
            <w:shd w:val="clear" w:color="auto" w:fill="D2DCE5"/>
          </w:tcPr>
          <w:p>
            <w:pPr>
              <w:spacing w:after="0"/>
              <w:rPr>
                <w:sz w:val="22"/>
                <w:szCs w:val="22"/>
                <w:color w:val="auto"/>
              </w:rPr>
            </w:pPr>
          </w:p>
        </w:tc>
        <w:tc>
          <w:tcPr>
            <w:tcW w:w="800" w:type="dxa"/>
            <w:vAlign w:val="bottom"/>
            <w:tcBorders>
              <w:bottom w:val="single" w:sz="8" w:color="auto"/>
            </w:tcBorders>
            <w:gridSpan w:val="4"/>
            <w:shd w:val="clear" w:color="auto" w:fill="D2DCE5"/>
          </w:tcPr>
          <w:p>
            <w:pPr>
              <w:jc w:val="right"/>
              <w:spacing w:after="0"/>
              <w:rPr>
                <w:sz w:val="20"/>
                <w:szCs w:val="20"/>
                <w:color w:val="auto"/>
              </w:rPr>
            </w:pPr>
            <w:r>
              <w:rPr>
                <w:rFonts w:ascii="Arial" w:cs="Arial" w:eastAsia="Arial" w:hAnsi="Arial"/>
                <w:sz w:val="18"/>
                <w:szCs w:val="18"/>
                <w:b w:val="1"/>
                <w:bCs w:val="1"/>
                <w:color w:val="131E29"/>
              </w:rPr>
              <w:t>208,758</w:t>
            </w:r>
          </w:p>
        </w:tc>
        <w:tc>
          <w:tcPr>
            <w:tcW w:w="100" w:type="dxa"/>
            <w:vAlign w:val="bottom"/>
            <w:shd w:val="clear" w:color="auto" w:fill="D2DCE5"/>
          </w:tcPr>
          <w:p>
            <w:pPr>
              <w:spacing w:after="0"/>
              <w:rPr>
                <w:sz w:val="22"/>
                <w:szCs w:val="22"/>
                <w:color w:val="auto"/>
              </w:rPr>
            </w:pPr>
          </w:p>
        </w:tc>
        <w:tc>
          <w:tcPr>
            <w:tcW w:w="640" w:type="dxa"/>
            <w:vAlign w:val="bottom"/>
            <w:tcBorders>
              <w:bottom w:val="single" w:sz="8" w:color="131E29"/>
            </w:tcBorders>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17.5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Equity-based compensation</w:t>
            </w:r>
          </w:p>
        </w:tc>
        <w:tc>
          <w:tcPr>
            <w:tcW w:w="840" w:type="dxa"/>
            <w:vAlign w:val="bottom"/>
          </w:tcPr>
          <w:p>
            <w:pPr>
              <w:jc w:val="right"/>
              <w:spacing w:after="0"/>
              <w:rPr>
                <w:sz w:val="20"/>
                <w:szCs w:val="20"/>
                <w:color w:val="auto"/>
              </w:rPr>
            </w:pPr>
            <w:r>
              <w:rPr>
                <w:rFonts w:ascii="Arial" w:cs="Arial" w:eastAsia="Arial" w:hAnsi="Arial"/>
                <w:sz w:val="18"/>
                <w:szCs w:val="18"/>
                <w:color w:val="006098"/>
              </w:rPr>
              <w:t>6,955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6098"/>
              </w:rPr>
              <w:t>1.3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31E29"/>
              </w:rPr>
              <w:t>4,648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131E29"/>
              </w:rPr>
              <w:t>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006098"/>
              </w:rPr>
              <w:t>19,112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006098"/>
              </w:rPr>
              <w:t>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131E29"/>
              </w:rPr>
              <w:t>13,513</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131E29"/>
              </w:rPr>
              <w:t>1.1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Expenses associated with 2022 credit</w:t>
            </w:r>
          </w:p>
        </w:tc>
        <w:tc>
          <w:tcPr>
            <w:tcW w:w="8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5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5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4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facility refinancing</w:t>
            </w:r>
          </w:p>
        </w:tc>
        <w:tc>
          <w:tcPr>
            <w:tcW w:w="1100" w:type="dxa"/>
            <w:vAlign w:val="bottom"/>
            <w:gridSpan w:val="4"/>
            <w:shd w:val="clear" w:color="auto" w:fill="D2DCE5"/>
          </w:tcPr>
          <w:p>
            <w:pPr>
              <w:jc w:val="right"/>
              <w:ind w:right="340"/>
              <w:spacing w:after="0"/>
              <w:rPr>
                <w:sz w:val="20"/>
                <w:szCs w:val="20"/>
                <w:color w:val="auto"/>
              </w:rPr>
            </w:pPr>
            <w:r>
              <w:rPr>
                <w:rFonts w:ascii="Arial" w:cs="Arial" w:eastAsia="Arial" w:hAnsi="Arial"/>
                <w:sz w:val="18"/>
                <w:szCs w:val="18"/>
                <w:color w:val="006098"/>
              </w:rPr>
              <w:t>—</w:t>
            </w:r>
          </w:p>
        </w:tc>
        <w:tc>
          <w:tcPr>
            <w:tcW w:w="760" w:type="dxa"/>
            <w:vAlign w:val="bottom"/>
            <w:gridSpan w:val="4"/>
            <w:shd w:val="clear" w:color="auto" w:fill="D2DCE5"/>
          </w:tcPr>
          <w:p>
            <w:pPr>
              <w:jc w:val="right"/>
              <w:ind w:right="320"/>
              <w:spacing w:after="0"/>
              <w:rPr>
                <w:sz w:val="20"/>
                <w:szCs w:val="20"/>
                <w:color w:val="auto"/>
              </w:rPr>
            </w:pPr>
            <w:r>
              <w:rPr>
                <w:rFonts w:ascii="Arial" w:cs="Arial" w:eastAsia="Arial" w:hAnsi="Arial"/>
                <w:sz w:val="18"/>
                <w:szCs w:val="18"/>
                <w:color w:val="006098"/>
              </w:rPr>
              <w:t>—</w:t>
            </w:r>
          </w:p>
        </w:tc>
        <w:tc>
          <w:tcPr>
            <w:tcW w:w="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800" w:type="dxa"/>
            <w:vAlign w:val="bottom"/>
            <w:gridSpan w:val="4"/>
            <w:shd w:val="clear" w:color="auto" w:fill="D2DCE5"/>
          </w:tcPr>
          <w:p>
            <w:pPr>
              <w:jc w:val="right"/>
              <w:ind w:right="280"/>
              <w:spacing w:after="0"/>
              <w:rPr>
                <w:sz w:val="20"/>
                <w:szCs w:val="20"/>
                <w:color w:val="auto"/>
              </w:rPr>
            </w:pPr>
            <w:r>
              <w:rPr>
                <w:rFonts w:ascii="Arial" w:cs="Arial" w:eastAsia="Arial" w:hAnsi="Arial"/>
                <w:sz w:val="18"/>
                <w:szCs w:val="18"/>
                <w:color w:val="131E29"/>
              </w:rPr>
              <w:t>—</w:t>
            </w:r>
          </w:p>
        </w:tc>
        <w:tc>
          <w:tcPr>
            <w:tcW w:w="50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120" w:type="dxa"/>
            <w:vAlign w:val="bottom"/>
            <w:gridSpan w:val="4"/>
            <w:shd w:val="clear" w:color="auto" w:fill="D2DCE5"/>
          </w:tcPr>
          <w:p>
            <w:pPr>
              <w:jc w:val="right"/>
              <w:ind w:right="260"/>
              <w:spacing w:after="0"/>
              <w:rPr>
                <w:sz w:val="20"/>
                <w:szCs w:val="20"/>
                <w:color w:val="auto"/>
              </w:rPr>
            </w:pPr>
            <w:r>
              <w:rPr>
                <w:rFonts w:ascii="Arial" w:cs="Arial" w:eastAsia="Arial" w:hAnsi="Arial"/>
                <w:sz w:val="18"/>
                <w:szCs w:val="18"/>
                <w:color w:val="006098"/>
              </w:rPr>
              <w:t>—</w:t>
            </w:r>
          </w:p>
        </w:tc>
        <w:tc>
          <w:tcPr>
            <w:tcW w:w="140" w:type="dxa"/>
            <w:vAlign w:val="bottom"/>
            <w:shd w:val="clear" w:color="auto" w:fill="D2DCE5"/>
          </w:tcPr>
          <w:p>
            <w:pPr>
              <w:spacing w:after="0"/>
              <w:rPr>
                <w:sz w:val="22"/>
                <w:szCs w:val="22"/>
                <w:color w:val="auto"/>
              </w:rPr>
            </w:pPr>
          </w:p>
        </w:tc>
        <w:tc>
          <w:tcPr>
            <w:tcW w:w="760" w:type="dxa"/>
            <w:vAlign w:val="bottom"/>
            <w:gridSpan w:val="5"/>
            <w:shd w:val="clear" w:color="auto" w:fill="D2DCE5"/>
          </w:tcPr>
          <w:p>
            <w:pPr>
              <w:jc w:val="right"/>
              <w:ind w:right="420"/>
              <w:spacing w:after="0"/>
              <w:rPr>
                <w:sz w:val="20"/>
                <w:szCs w:val="20"/>
                <w:color w:val="auto"/>
              </w:rPr>
            </w:pPr>
            <w:r>
              <w:rPr>
                <w:rFonts w:ascii="Arial" w:cs="Arial" w:eastAsia="Arial" w:hAnsi="Arial"/>
                <w:sz w:val="18"/>
                <w:szCs w:val="18"/>
                <w:color w:val="006098"/>
              </w:rPr>
              <w:t>—</w:t>
            </w:r>
          </w:p>
        </w:tc>
        <w:tc>
          <w:tcPr>
            <w:tcW w:w="260" w:type="dxa"/>
            <w:vAlign w:val="bottom"/>
            <w:shd w:val="clear" w:color="auto" w:fill="D2DCE5"/>
          </w:tcPr>
          <w:p>
            <w:pPr>
              <w:spacing w:after="0"/>
              <w:rPr>
                <w:sz w:val="22"/>
                <w:szCs w:val="22"/>
                <w:color w:val="auto"/>
              </w:rPr>
            </w:pPr>
          </w:p>
        </w:tc>
        <w:tc>
          <w:tcPr>
            <w:tcW w:w="540" w:type="dxa"/>
            <w:vAlign w:val="bottom"/>
            <w:gridSpan w:val="3"/>
            <w:shd w:val="clear" w:color="auto" w:fill="D2DCE5"/>
          </w:tcPr>
          <w:p>
            <w:pPr>
              <w:jc w:val="right"/>
              <w:spacing w:after="0"/>
              <w:rPr>
                <w:sz w:val="20"/>
                <w:szCs w:val="20"/>
                <w:color w:val="auto"/>
              </w:rPr>
            </w:pPr>
            <w:r>
              <w:rPr>
                <w:rFonts w:ascii="Arial" w:cs="Arial" w:eastAsia="Arial" w:hAnsi="Arial"/>
                <w:sz w:val="18"/>
                <w:szCs w:val="18"/>
                <w:color w:val="131E29"/>
                <w:w w:val="97"/>
              </w:rPr>
              <w:t>2,000</w:t>
            </w:r>
          </w:p>
        </w:tc>
        <w:tc>
          <w:tcPr>
            <w:tcW w:w="100" w:type="dxa"/>
            <w:vAlign w:val="bottom"/>
            <w:shd w:val="clear" w:color="auto" w:fill="D2DCE5"/>
          </w:tcPr>
          <w:p>
            <w:pPr>
              <w:spacing w:after="0"/>
              <w:rPr>
                <w:sz w:val="22"/>
                <w:szCs w:val="22"/>
                <w:color w:val="auto"/>
              </w:rPr>
            </w:pPr>
          </w:p>
        </w:tc>
        <w:tc>
          <w:tcPr>
            <w:tcW w:w="6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0.2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Acquisitions-related costs</w:t>
            </w:r>
          </w:p>
        </w:tc>
        <w:tc>
          <w:tcPr>
            <w:tcW w:w="840" w:type="dxa"/>
            <w:vAlign w:val="bottom"/>
          </w:tcPr>
          <w:p>
            <w:pPr>
              <w:jc w:val="right"/>
              <w:spacing w:after="0"/>
              <w:rPr>
                <w:sz w:val="20"/>
                <w:szCs w:val="20"/>
                <w:color w:val="auto"/>
              </w:rPr>
            </w:pPr>
            <w:r>
              <w:rPr>
                <w:rFonts w:ascii="Arial" w:cs="Arial" w:eastAsia="Arial" w:hAnsi="Arial"/>
                <w:sz w:val="18"/>
                <w:szCs w:val="18"/>
                <w:color w:val="006098"/>
              </w:rPr>
              <w:t>1,209</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6098"/>
              </w:rPr>
              <w:t>0.2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4"/>
          </w:tcPr>
          <w:p>
            <w:pPr>
              <w:jc w:val="right"/>
              <w:ind w:right="280"/>
              <w:spacing w:after="0"/>
              <w:rPr>
                <w:sz w:val="20"/>
                <w:szCs w:val="20"/>
                <w:color w:val="auto"/>
              </w:rPr>
            </w:pPr>
            <w:r>
              <w:rPr>
                <w:rFonts w:ascii="Arial" w:cs="Arial" w:eastAsia="Arial" w:hAnsi="Arial"/>
                <w:sz w:val="18"/>
                <w:szCs w:val="18"/>
                <w:color w:val="131E2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006098"/>
              </w:rPr>
              <w:t>1,518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006098"/>
              </w:rPr>
              <w:t>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TRAs remeasurements</w:t>
            </w: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437</w:t>
            </w:r>
          </w:p>
        </w:tc>
        <w:tc>
          <w:tcPr>
            <w:tcW w:w="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0.1</w:t>
            </w:r>
          </w:p>
        </w:tc>
        <w:tc>
          <w:tcPr>
            <w:tcW w:w="8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800" w:type="dxa"/>
            <w:vAlign w:val="bottom"/>
            <w:gridSpan w:val="4"/>
            <w:shd w:val="clear" w:color="auto" w:fill="D2DCE5"/>
          </w:tcPr>
          <w:p>
            <w:pPr>
              <w:jc w:val="right"/>
              <w:ind w:right="280"/>
              <w:spacing w:after="0"/>
              <w:rPr>
                <w:sz w:val="20"/>
                <w:szCs w:val="20"/>
                <w:color w:val="auto"/>
              </w:rPr>
            </w:pPr>
            <w:r>
              <w:rPr>
                <w:rFonts w:ascii="Arial" w:cs="Arial" w:eastAsia="Arial" w:hAnsi="Arial"/>
                <w:sz w:val="18"/>
                <w:szCs w:val="18"/>
                <w:color w:val="131E29"/>
              </w:rPr>
              <w:t>—</w:t>
            </w:r>
          </w:p>
        </w:tc>
        <w:tc>
          <w:tcPr>
            <w:tcW w:w="50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120" w:type="dxa"/>
            <w:vAlign w:val="bottom"/>
            <w:gridSpan w:val="4"/>
            <w:shd w:val="clear" w:color="auto" w:fill="D2DCE5"/>
          </w:tcPr>
          <w:p>
            <w:pPr>
              <w:jc w:val="right"/>
              <w:ind w:right="260"/>
              <w:spacing w:after="0"/>
              <w:rPr>
                <w:sz w:val="20"/>
                <w:szCs w:val="20"/>
                <w:color w:val="auto"/>
              </w:rPr>
            </w:pPr>
            <w:r>
              <w:rPr>
                <w:rFonts w:ascii="Arial" w:cs="Arial" w:eastAsia="Arial" w:hAnsi="Arial"/>
                <w:sz w:val="18"/>
                <w:szCs w:val="18"/>
                <w:color w:val="006098"/>
              </w:rPr>
              <w:t>—</w:t>
            </w:r>
          </w:p>
        </w:tc>
        <w:tc>
          <w:tcPr>
            <w:tcW w:w="140" w:type="dxa"/>
            <w:vAlign w:val="bottom"/>
            <w:shd w:val="clear" w:color="auto" w:fill="D2DCE5"/>
          </w:tcPr>
          <w:p>
            <w:pPr>
              <w:spacing w:after="0"/>
              <w:rPr>
                <w:sz w:val="23"/>
                <w:szCs w:val="23"/>
                <w:color w:val="auto"/>
              </w:rPr>
            </w:pPr>
          </w:p>
        </w:tc>
        <w:tc>
          <w:tcPr>
            <w:tcW w:w="760" w:type="dxa"/>
            <w:vAlign w:val="bottom"/>
            <w:gridSpan w:val="5"/>
            <w:shd w:val="clear" w:color="auto" w:fill="D2DCE5"/>
          </w:tcPr>
          <w:p>
            <w:pPr>
              <w:jc w:val="right"/>
              <w:ind w:right="420"/>
              <w:spacing w:after="0"/>
              <w:rPr>
                <w:sz w:val="20"/>
                <w:szCs w:val="20"/>
                <w:color w:val="auto"/>
              </w:rPr>
            </w:pPr>
            <w:r>
              <w:rPr>
                <w:rFonts w:ascii="Arial" w:cs="Arial" w:eastAsia="Arial" w:hAnsi="Arial"/>
                <w:sz w:val="18"/>
                <w:szCs w:val="18"/>
                <w:color w:val="006098"/>
              </w:rPr>
              <w:t>—</w:t>
            </w:r>
          </w:p>
        </w:tc>
        <w:tc>
          <w:tcPr>
            <w:tcW w:w="26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6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Organization realignment and</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D2DCE5"/>
            </w:tcBorders>
            <w:gridSpan w:val="2"/>
          </w:tcPr>
          <w:p>
            <w:pPr>
              <w:ind w:left="240"/>
              <w:spacing w:after="0"/>
              <w:rPr>
                <w:sz w:val="20"/>
                <w:szCs w:val="20"/>
                <w:color w:val="auto"/>
              </w:rPr>
            </w:pPr>
            <w:r>
              <w:rPr>
                <w:rFonts w:ascii="Arial" w:cs="Arial" w:eastAsia="Arial" w:hAnsi="Arial"/>
                <w:sz w:val="18"/>
                <w:szCs w:val="18"/>
                <w:color w:val="131E29"/>
              </w:rPr>
              <w:t>restructurings</w:t>
            </w:r>
          </w:p>
        </w:tc>
        <w:tc>
          <w:tcPr>
            <w:tcW w:w="200" w:type="dxa"/>
            <w:vAlign w:val="bottom"/>
            <w:tcBorders>
              <w:bottom w:val="single" w:sz="8" w:color="auto"/>
            </w:tcBorders>
            <w:gridSpan w:val="2"/>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w:t>
            </w:r>
          </w:p>
        </w:tc>
        <w:tc>
          <w:tcPr>
            <w:tcW w:w="80" w:type="dxa"/>
            <w:vAlign w:val="bottom"/>
            <w:tcBorders>
              <w:bottom w:val="single" w:sz="8" w:color="D2DCE5"/>
            </w:tcBorders>
          </w:tcPr>
          <w:p>
            <w:pPr>
              <w:spacing w:after="0"/>
              <w:rPr>
                <w:sz w:val="22"/>
                <w:szCs w:val="22"/>
                <w:color w:val="auto"/>
              </w:rPr>
            </w:pPr>
          </w:p>
        </w:tc>
        <w:tc>
          <w:tcPr>
            <w:tcW w:w="180" w:type="dxa"/>
            <w:vAlign w:val="bottom"/>
            <w:tcBorders>
              <w:bottom w:val="single" w:sz="8" w:color="auto"/>
            </w:tcBorders>
            <w:gridSpan w:val="2"/>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w:t>
            </w:r>
          </w:p>
        </w:tc>
        <w:tc>
          <w:tcPr>
            <w:tcW w:w="80" w:type="dxa"/>
            <w:vAlign w:val="bottom"/>
            <w:tcBorders>
              <w:bottom w:val="single" w:sz="8" w:color="D2DCE5"/>
            </w:tcBorders>
          </w:tcPr>
          <w:p>
            <w:pPr>
              <w:spacing w:after="0"/>
              <w:rPr>
                <w:sz w:val="22"/>
                <w:szCs w:val="22"/>
                <w:color w:val="auto"/>
              </w:rPr>
            </w:pPr>
          </w:p>
        </w:tc>
        <w:tc>
          <w:tcPr>
            <w:tcW w:w="160" w:type="dxa"/>
            <w:vAlign w:val="bottom"/>
            <w:tcBorders>
              <w:bottom w:val="single" w:sz="8" w:color="auto"/>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2,650</w:t>
            </w:r>
          </w:p>
        </w:tc>
        <w:tc>
          <w:tcPr>
            <w:tcW w:w="100" w:type="dxa"/>
            <w:vAlign w:val="bottom"/>
            <w:tcBorders>
              <w:bottom w:val="single" w:sz="8" w:color="D2DCE5"/>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131E29"/>
              </w:rPr>
              <w:t>0.6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006098"/>
              </w:rPr>
              <w:t>1,831</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0.1</w:t>
            </w:r>
          </w:p>
        </w:tc>
        <w:tc>
          <w:tcPr>
            <w:tcW w:w="100" w:type="dxa"/>
            <w:vAlign w:val="bottom"/>
            <w:tcBorders>
              <w:bottom w:val="single" w:sz="8" w:color="D2DCE5"/>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131E29"/>
                <w:w w:val="97"/>
              </w:rPr>
              <w:t>5,641</w:t>
            </w:r>
          </w:p>
        </w:tc>
        <w:tc>
          <w:tcPr>
            <w:tcW w:w="100" w:type="dxa"/>
            <w:vAlign w:val="bottom"/>
            <w:tcBorders>
              <w:bottom w:val="single" w:sz="8" w:color="D2DCE5"/>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131E29"/>
              </w:rPr>
              <w:t>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Adjusted EBITDA</w:t>
            </w:r>
          </w:p>
        </w:tc>
        <w:tc>
          <w:tcPr>
            <w:tcW w:w="200" w:type="dxa"/>
            <w:vAlign w:val="bottom"/>
            <w:tcBorders>
              <w:bottom w:val="single" w:sz="8" w:color="auto"/>
            </w:tcBorders>
            <w:gridSpan w:val="2"/>
            <w:shd w:val="clear" w:color="auto" w:fill="D2DCE5"/>
          </w:tcPr>
          <w:p>
            <w:pPr>
              <w:spacing w:after="0"/>
              <w:rPr>
                <w:sz w:val="24"/>
                <w:szCs w:val="24"/>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101,055</w:t>
            </w:r>
          </w:p>
        </w:tc>
        <w:tc>
          <w:tcPr>
            <w:tcW w:w="80" w:type="dxa"/>
            <w:vAlign w:val="bottom"/>
            <w:tcBorders>
              <w:bottom w:val="single" w:sz="8" w:color="D2DCE5"/>
            </w:tcBorders>
            <w:shd w:val="clear" w:color="auto" w:fill="D2DCE5"/>
          </w:tcPr>
          <w:p>
            <w:pPr>
              <w:spacing w:after="0"/>
              <w:rPr>
                <w:sz w:val="24"/>
                <w:szCs w:val="24"/>
                <w:color w:val="auto"/>
              </w:rPr>
            </w:pPr>
          </w:p>
        </w:tc>
        <w:tc>
          <w:tcPr>
            <w:tcW w:w="80" w:type="dxa"/>
            <w:vAlign w:val="bottom"/>
            <w:tcBorders>
              <w:bottom w:val="single" w:sz="8" w:color="auto"/>
            </w:tcBorders>
            <w:shd w:val="clear" w:color="auto" w:fill="D2DCE5"/>
          </w:tcPr>
          <w:p>
            <w:pPr>
              <w:spacing w:after="0"/>
              <w:rPr>
                <w:sz w:val="24"/>
                <w:szCs w:val="24"/>
                <w:color w:val="auto"/>
              </w:rPr>
            </w:pPr>
          </w:p>
        </w:tc>
        <w:tc>
          <w:tcPr>
            <w:tcW w:w="100" w:type="dxa"/>
            <w:vAlign w:val="bottom"/>
            <w:tcBorders>
              <w:bottom w:val="single" w:sz="8" w:color="auto"/>
            </w:tcBorders>
            <w:shd w:val="clear" w:color="auto" w:fill="D2DCE5"/>
          </w:tcPr>
          <w:p>
            <w:pPr>
              <w:spacing w:after="0"/>
              <w:rPr>
                <w:sz w:val="24"/>
                <w:szCs w:val="24"/>
                <w:color w:val="auto"/>
              </w:rPr>
            </w:pPr>
          </w:p>
        </w:tc>
        <w:tc>
          <w:tcPr>
            <w:tcW w:w="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18.4</w:t>
            </w:r>
          </w:p>
        </w:tc>
        <w:tc>
          <w:tcPr>
            <w:tcW w:w="80" w:type="dxa"/>
            <w:vAlign w:val="bottom"/>
            <w:tcBorders>
              <w:bottom w:val="single" w:sz="8" w:color="D2DCE5"/>
            </w:tcBorders>
            <w:shd w:val="clear" w:color="auto" w:fill="D2DCE5"/>
          </w:tcPr>
          <w:p>
            <w:pPr>
              <w:spacing w:after="0"/>
              <w:rPr>
                <w:sz w:val="24"/>
                <w:szCs w:val="24"/>
                <w:color w:val="auto"/>
              </w:rPr>
            </w:pPr>
          </w:p>
        </w:tc>
        <w:tc>
          <w:tcPr>
            <w:tcW w:w="60" w:type="dxa"/>
            <w:vAlign w:val="bottom"/>
            <w:tcBorders>
              <w:bottom w:val="single" w:sz="8" w:color="auto"/>
            </w:tcBorders>
            <w:shd w:val="clear" w:color="auto" w:fill="D2DCE5"/>
          </w:tcPr>
          <w:p>
            <w:pPr>
              <w:spacing w:after="0"/>
              <w:rPr>
                <w:sz w:val="24"/>
                <w:szCs w:val="24"/>
                <w:color w:val="auto"/>
              </w:rPr>
            </w:pPr>
          </w:p>
        </w:tc>
        <w:tc>
          <w:tcPr>
            <w:tcW w:w="100" w:type="dxa"/>
            <w:vAlign w:val="bottom"/>
            <w:tcBorders>
              <w:bottom w:val="single" w:sz="8" w:color="auto"/>
            </w:tcBorders>
            <w:shd w:val="clear" w:color="auto" w:fill="D2DCE5"/>
          </w:tcPr>
          <w:p>
            <w:pPr>
              <w:spacing w:after="0"/>
              <w:rPr>
                <w:sz w:val="24"/>
                <w:szCs w:val="24"/>
                <w:color w:val="auto"/>
              </w:rPr>
            </w:pPr>
          </w:p>
        </w:tc>
        <w:tc>
          <w:tcPr>
            <w:tcW w:w="880" w:type="dxa"/>
            <w:vAlign w:val="bottom"/>
            <w:tcBorders>
              <w:bottom w:val="single" w:sz="8" w:color="auto"/>
            </w:tcBorders>
            <w:gridSpan w:val="4"/>
            <w:shd w:val="clear" w:color="auto" w:fill="D2DCE5"/>
          </w:tcPr>
          <w:p>
            <w:pPr>
              <w:jc w:val="right"/>
              <w:spacing w:after="0"/>
              <w:rPr>
                <w:sz w:val="20"/>
                <w:szCs w:val="20"/>
                <w:color w:val="auto"/>
              </w:rPr>
            </w:pPr>
            <w:r>
              <w:rPr>
                <w:rFonts w:ascii="Arial" w:cs="Arial" w:eastAsia="Arial" w:hAnsi="Arial"/>
                <w:sz w:val="18"/>
                <w:szCs w:val="18"/>
                <w:b w:val="1"/>
                <w:bCs w:val="1"/>
                <w:color w:val="131E29"/>
              </w:rPr>
              <w:t>78,003</w:t>
            </w:r>
          </w:p>
        </w:tc>
        <w:tc>
          <w:tcPr>
            <w:tcW w:w="100" w:type="dxa"/>
            <w:vAlign w:val="bottom"/>
            <w:tcBorders>
              <w:bottom w:val="single" w:sz="8" w:color="D2DCE5"/>
            </w:tcBorders>
            <w:shd w:val="clear" w:color="auto" w:fill="D2DCE5"/>
          </w:tcPr>
          <w:p>
            <w:pPr>
              <w:spacing w:after="0"/>
              <w:rPr>
                <w:sz w:val="24"/>
                <w:szCs w:val="24"/>
                <w:color w:val="auto"/>
              </w:rPr>
            </w:pPr>
          </w:p>
        </w:tc>
        <w:tc>
          <w:tcPr>
            <w:tcW w:w="40" w:type="dxa"/>
            <w:vAlign w:val="bottom"/>
            <w:tcBorders>
              <w:bottom w:val="single" w:sz="8" w:color="auto"/>
            </w:tcBorders>
            <w:shd w:val="clear" w:color="auto" w:fill="D2DCE5"/>
          </w:tcPr>
          <w:p>
            <w:pPr>
              <w:spacing w:after="0"/>
              <w:rPr>
                <w:sz w:val="24"/>
                <w:szCs w:val="24"/>
                <w:color w:val="auto"/>
              </w:rPr>
            </w:pPr>
          </w:p>
        </w:tc>
        <w:tc>
          <w:tcPr>
            <w:tcW w:w="80" w:type="dxa"/>
            <w:vAlign w:val="bottom"/>
            <w:tcBorders>
              <w:bottom w:val="single" w:sz="8" w:color="auto"/>
            </w:tcBorders>
            <w:shd w:val="clear" w:color="auto" w:fill="D2DCE5"/>
          </w:tcPr>
          <w:p>
            <w:pPr>
              <w:spacing w:after="0"/>
              <w:rPr>
                <w:sz w:val="24"/>
                <w:szCs w:val="24"/>
                <w:color w:val="auto"/>
              </w:rPr>
            </w:pPr>
          </w:p>
        </w:tc>
        <w:tc>
          <w:tcPr>
            <w:tcW w:w="500" w:type="dxa"/>
            <w:vAlign w:val="bottom"/>
            <w:tcBorders>
              <w:bottom w:val="single" w:sz="8" w:color="auto"/>
            </w:tcBorders>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18.4</w:t>
            </w:r>
          </w:p>
        </w:tc>
        <w:tc>
          <w:tcPr>
            <w:tcW w:w="80" w:type="dxa"/>
            <w:vAlign w:val="bottom"/>
            <w:tcBorders>
              <w:bottom w:val="single" w:sz="8" w:color="auto"/>
            </w:tcBorders>
            <w:shd w:val="clear" w:color="auto" w:fill="D2DCE5"/>
          </w:tcPr>
          <w:p>
            <w:pPr>
              <w:spacing w:after="0"/>
              <w:rPr>
                <w:sz w:val="24"/>
                <w:szCs w:val="24"/>
                <w:color w:val="auto"/>
              </w:rPr>
            </w:pPr>
          </w:p>
        </w:tc>
        <w:tc>
          <w:tcPr>
            <w:tcW w:w="100" w:type="dxa"/>
            <w:vAlign w:val="bottom"/>
            <w:tcBorders>
              <w:bottom w:val="single" w:sz="8" w:color="D2DCE5"/>
            </w:tcBorders>
            <w:shd w:val="clear" w:color="auto" w:fill="D2DCE5"/>
          </w:tcPr>
          <w:p>
            <w:pPr>
              <w:spacing w:after="0"/>
              <w:rPr>
                <w:sz w:val="24"/>
                <w:szCs w:val="24"/>
                <w:color w:val="auto"/>
              </w:rPr>
            </w:pPr>
          </w:p>
        </w:tc>
        <w:tc>
          <w:tcPr>
            <w:tcW w:w="1040" w:type="dxa"/>
            <w:vAlign w:val="bottom"/>
            <w:tcBorders>
              <w:bottom w:val="single" w:sz="8" w:color="auto"/>
            </w:tcBorders>
            <w:gridSpan w:val="2"/>
            <w:shd w:val="clear" w:color="auto" w:fill="D2DCE5"/>
          </w:tcPr>
          <w:p>
            <w:pPr>
              <w:jc w:val="right"/>
              <w:spacing w:after="0"/>
              <w:rPr>
                <w:sz w:val="20"/>
                <w:szCs w:val="20"/>
                <w:color w:val="auto"/>
              </w:rPr>
            </w:pPr>
            <w:r>
              <w:rPr>
                <w:rFonts w:ascii="Arial" w:cs="Arial" w:eastAsia="Arial" w:hAnsi="Arial"/>
                <w:sz w:val="18"/>
                <w:szCs w:val="18"/>
                <w:b w:val="1"/>
                <w:bCs w:val="1"/>
                <w:color w:val="006098"/>
              </w:rPr>
              <w:t>294,142</w:t>
            </w:r>
          </w:p>
        </w:tc>
        <w:tc>
          <w:tcPr>
            <w:tcW w:w="80" w:type="dxa"/>
            <w:vAlign w:val="bottom"/>
            <w:tcBorders>
              <w:bottom w:val="single" w:sz="8" w:color="D2DCE5"/>
            </w:tcBorders>
            <w:shd w:val="clear" w:color="auto" w:fill="D2DCE5"/>
          </w:tcPr>
          <w:p>
            <w:pPr>
              <w:spacing w:after="0"/>
              <w:rPr>
                <w:sz w:val="24"/>
                <w:szCs w:val="24"/>
                <w:color w:val="auto"/>
              </w:rPr>
            </w:pPr>
          </w:p>
        </w:tc>
        <w:tc>
          <w:tcPr>
            <w:tcW w:w="20" w:type="dxa"/>
            <w:vAlign w:val="bottom"/>
            <w:tcBorders>
              <w:bottom w:val="single" w:sz="8" w:color="D2DCE5"/>
            </w:tcBorders>
            <w:shd w:val="clear" w:color="auto" w:fill="D2DCE5"/>
          </w:tcPr>
          <w:p>
            <w:pPr>
              <w:spacing w:after="0"/>
              <w:rPr>
                <w:sz w:val="24"/>
                <w:szCs w:val="24"/>
                <w:color w:val="auto"/>
              </w:rPr>
            </w:pPr>
          </w:p>
        </w:tc>
        <w:tc>
          <w:tcPr>
            <w:tcW w:w="80" w:type="dxa"/>
            <w:vAlign w:val="bottom"/>
            <w:tcBorders>
              <w:bottom w:val="single" w:sz="8" w:color="auto"/>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spacing w:after="0"/>
              <w:rPr>
                <w:sz w:val="24"/>
                <w:szCs w:val="24"/>
                <w:color w:val="auto"/>
              </w:rPr>
            </w:pPr>
          </w:p>
        </w:tc>
        <w:tc>
          <w:tcPr>
            <w:tcW w:w="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1"/>
              </w:rPr>
              <w:t>18.8</w:t>
            </w:r>
          </w:p>
        </w:tc>
        <w:tc>
          <w:tcPr>
            <w:tcW w:w="100" w:type="dxa"/>
            <w:vAlign w:val="bottom"/>
            <w:tcBorders>
              <w:bottom w:val="single" w:sz="8" w:color="D2DCE5"/>
            </w:tcBorders>
            <w:shd w:val="clear" w:color="auto" w:fill="D2DCE5"/>
          </w:tcPr>
          <w:p>
            <w:pPr>
              <w:spacing w:after="0"/>
              <w:rPr>
                <w:sz w:val="24"/>
                <w:szCs w:val="24"/>
                <w:color w:val="auto"/>
              </w:rPr>
            </w:pPr>
          </w:p>
        </w:tc>
        <w:tc>
          <w:tcPr>
            <w:tcW w:w="20" w:type="dxa"/>
            <w:vAlign w:val="bottom"/>
            <w:tcBorders>
              <w:bottom w:val="single" w:sz="8" w:color="auto"/>
            </w:tcBorders>
            <w:shd w:val="clear" w:color="auto" w:fill="D2DCE5"/>
          </w:tcPr>
          <w:p>
            <w:pPr>
              <w:spacing w:after="0"/>
              <w:rPr>
                <w:sz w:val="24"/>
                <w:szCs w:val="24"/>
                <w:color w:val="auto"/>
              </w:rPr>
            </w:pPr>
          </w:p>
        </w:tc>
        <w:tc>
          <w:tcPr>
            <w:tcW w:w="80" w:type="dxa"/>
            <w:vAlign w:val="bottom"/>
            <w:tcBorders>
              <w:bottom w:val="single" w:sz="8" w:color="auto"/>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spacing w:after="0"/>
              <w:rPr>
                <w:sz w:val="24"/>
                <w:szCs w:val="24"/>
                <w:color w:val="auto"/>
              </w:rPr>
            </w:pPr>
          </w:p>
        </w:tc>
        <w:tc>
          <w:tcPr>
            <w:tcW w:w="800" w:type="dxa"/>
            <w:vAlign w:val="bottom"/>
            <w:tcBorders>
              <w:bottom w:val="single" w:sz="8" w:color="auto"/>
            </w:tcBorders>
            <w:gridSpan w:val="4"/>
            <w:shd w:val="clear" w:color="auto" w:fill="D2DCE5"/>
          </w:tcPr>
          <w:p>
            <w:pPr>
              <w:jc w:val="right"/>
              <w:spacing w:after="0"/>
              <w:rPr>
                <w:sz w:val="20"/>
                <w:szCs w:val="20"/>
                <w:color w:val="auto"/>
              </w:rPr>
            </w:pPr>
            <w:r>
              <w:rPr>
                <w:rFonts w:ascii="Arial" w:cs="Arial" w:eastAsia="Arial" w:hAnsi="Arial"/>
                <w:sz w:val="18"/>
                <w:szCs w:val="18"/>
                <w:b w:val="1"/>
                <w:bCs w:val="1"/>
                <w:color w:val="131E29"/>
              </w:rPr>
              <w:t>229,912</w:t>
            </w:r>
          </w:p>
        </w:tc>
        <w:tc>
          <w:tcPr>
            <w:tcW w:w="100" w:type="dxa"/>
            <w:vAlign w:val="bottom"/>
            <w:tcBorders>
              <w:bottom w:val="single" w:sz="8" w:color="D2DCE5"/>
            </w:tcBorders>
            <w:shd w:val="clear" w:color="auto" w:fill="D2DCE5"/>
          </w:tcPr>
          <w:p>
            <w:pPr>
              <w:spacing w:after="0"/>
              <w:rPr>
                <w:sz w:val="24"/>
                <w:szCs w:val="24"/>
                <w:color w:val="auto"/>
              </w:rPr>
            </w:pPr>
          </w:p>
        </w:tc>
        <w:tc>
          <w:tcPr>
            <w:tcW w:w="640" w:type="dxa"/>
            <w:vAlign w:val="bottom"/>
            <w:tcBorders>
              <w:bottom w:val="single" w:sz="8" w:color="auto"/>
            </w:tcBorders>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19.2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auto"/>
            </w:tcBorders>
            <w:gridSpan w:val="17"/>
          </w:tcPr>
          <w:p>
            <w:pPr>
              <w:jc w:val="right"/>
              <w:ind w:right="30"/>
              <w:spacing w:after="0"/>
              <w:rPr>
                <w:sz w:val="20"/>
                <w:szCs w:val="20"/>
                <w:color w:val="auto"/>
              </w:rPr>
            </w:pPr>
            <w:r>
              <w:rPr>
                <w:rFonts w:ascii="Arial" w:cs="Arial" w:eastAsia="Arial" w:hAnsi="Arial"/>
                <w:sz w:val="18"/>
                <w:szCs w:val="18"/>
                <w:b w:val="1"/>
                <w:bCs w:val="1"/>
                <w:color w:val="131E29"/>
              </w:rPr>
              <w:t>Three Months Ended 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Borders>
              <w:bottom w:val="single" w:sz="8" w:color="auto"/>
            </w:tcBorders>
            <w:gridSpan w:val="18"/>
          </w:tcPr>
          <w:p>
            <w:pPr>
              <w:jc w:val="right"/>
              <w:ind w:right="360"/>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63"/>
        </w:trPr>
        <w:tc>
          <w:tcPr>
            <w:tcW w:w="3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131E29"/>
              </w:rPr>
              <w:t>2026</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131E29"/>
              </w:rPr>
              <w:t>2025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131E29"/>
              </w:rPr>
              <w:t>2026</w:t>
            </w: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2025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131E29"/>
                <w:w w:val="99"/>
              </w:rPr>
              <w:t>$</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1E29"/>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Selling, general, and administrative</w:t>
            </w:r>
          </w:p>
        </w:tc>
        <w:tc>
          <w:tcPr>
            <w:tcW w:w="1000" w:type="dxa"/>
            <w:vAlign w:val="bottom"/>
            <w:gridSpan w:val="3"/>
            <w:shd w:val="clear" w:color="auto" w:fill="D2DCE5"/>
          </w:tcPr>
          <w:p>
            <w:pPr>
              <w:jc w:val="right"/>
              <w:ind w:right="60"/>
              <w:spacing w:after="0"/>
              <w:rPr>
                <w:sz w:val="20"/>
                <w:szCs w:val="20"/>
                <w:color w:val="auto"/>
              </w:rPr>
            </w:pPr>
            <w:r>
              <w:rPr>
                <w:rFonts w:ascii="Arial" w:cs="Arial" w:eastAsia="Arial" w:hAnsi="Arial"/>
                <w:sz w:val="18"/>
                <w:szCs w:val="18"/>
                <w:b w:val="1"/>
                <w:bCs w:val="1"/>
                <w:color w:val="006098"/>
              </w:rPr>
              <w:t>78,954</w:t>
            </w:r>
          </w:p>
        </w:tc>
        <w:tc>
          <w:tcPr>
            <w:tcW w:w="100" w:type="dxa"/>
            <w:vAlign w:val="bottom"/>
            <w:shd w:val="clear" w:color="auto" w:fill="D2DCE5"/>
          </w:tcPr>
          <w:p>
            <w:pPr>
              <w:spacing w:after="0"/>
              <w:rPr>
                <w:sz w:val="23"/>
                <w:szCs w:val="23"/>
                <w:color w:val="auto"/>
              </w:rPr>
            </w:pPr>
          </w:p>
        </w:tc>
        <w:tc>
          <w:tcPr>
            <w:tcW w:w="600" w:type="dxa"/>
            <w:vAlign w:val="bottom"/>
            <w:gridSpan w:val="2"/>
            <w:shd w:val="clear" w:color="auto" w:fill="D2DCE5"/>
          </w:tcPr>
          <w:p>
            <w:pPr>
              <w:jc w:val="right"/>
              <w:ind w:right="20"/>
              <w:spacing w:after="0"/>
              <w:rPr>
                <w:sz w:val="20"/>
                <w:szCs w:val="20"/>
                <w:color w:val="auto"/>
              </w:rPr>
            </w:pPr>
            <w:r>
              <w:rPr>
                <w:rFonts w:ascii="Arial" w:cs="Arial" w:eastAsia="Arial" w:hAnsi="Arial"/>
                <w:sz w:val="18"/>
                <w:szCs w:val="18"/>
                <w:b w:val="1"/>
                <w:bCs w:val="1"/>
                <w:color w:val="006098"/>
              </w:rPr>
              <w:t>14.4</w:t>
            </w: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8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65,289</w:t>
            </w:r>
          </w:p>
        </w:tc>
        <w:tc>
          <w:tcPr>
            <w:tcW w:w="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680" w:type="dxa"/>
            <w:vAlign w:val="bottom"/>
            <w:gridSpan w:val="4"/>
            <w:shd w:val="clear" w:color="auto" w:fill="D2DCE5"/>
          </w:tcPr>
          <w:p>
            <w:pPr>
              <w:jc w:val="right"/>
              <w:ind w:right="80"/>
              <w:spacing w:after="0"/>
              <w:rPr>
                <w:sz w:val="20"/>
                <w:szCs w:val="20"/>
                <w:color w:val="auto"/>
              </w:rPr>
            </w:pPr>
            <w:r>
              <w:rPr>
                <w:rFonts w:ascii="Arial" w:cs="Arial" w:eastAsia="Arial" w:hAnsi="Arial"/>
                <w:sz w:val="18"/>
                <w:szCs w:val="18"/>
                <w:b w:val="1"/>
                <w:bCs w:val="1"/>
                <w:color w:val="131E29"/>
              </w:rPr>
              <w:t>15.4</w:t>
            </w:r>
          </w:p>
        </w:tc>
        <w:tc>
          <w:tcPr>
            <w:tcW w:w="1120" w:type="dxa"/>
            <w:vAlign w:val="bottom"/>
            <w:gridSpan w:val="3"/>
            <w:shd w:val="clear" w:color="auto" w:fill="D2DCE5"/>
          </w:tcPr>
          <w:p>
            <w:pPr>
              <w:jc w:val="right"/>
              <w:ind w:right="80"/>
              <w:spacing w:after="0"/>
              <w:rPr>
                <w:sz w:val="20"/>
                <w:szCs w:val="20"/>
                <w:color w:val="auto"/>
              </w:rPr>
            </w:pPr>
            <w:r>
              <w:rPr>
                <w:rFonts w:ascii="Arial" w:cs="Arial" w:eastAsia="Arial" w:hAnsi="Arial"/>
                <w:sz w:val="18"/>
                <w:szCs w:val="18"/>
                <w:b w:val="1"/>
                <w:bCs w:val="1"/>
                <w:color w:val="006098"/>
              </w:rPr>
              <w:t>232,781</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520" w:type="dxa"/>
            <w:vAlign w:val="bottom"/>
            <w:gridSpan w:val="2"/>
            <w:shd w:val="clear" w:color="auto" w:fill="D2DCE5"/>
          </w:tcPr>
          <w:p>
            <w:pPr>
              <w:ind w:left="100"/>
              <w:spacing w:after="0"/>
              <w:rPr>
                <w:sz w:val="20"/>
                <w:szCs w:val="20"/>
                <w:color w:val="auto"/>
              </w:rPr>
            </w:pPr>
            <w:r>
              <w:rPr>
                <w:rFonts w:ascii="Arial" w:cs="Arial" w:eastAsia="Arial" w:hAnsi="Arial"/>
                <w:sz w:val="18"/>
                <w:szCs w:val="18"/>
                <w:b w:val="1"/>
                <w:bCs w:val="1"/>
                <w:color w:val="006098"/>
              </w:rPr>
              <w:t>14.9</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900" w:type="dxa"/>
            <w:vAlign w:val="bottom"/>
            <w:gridSpan w:val="5"/>
            <w:shd w:val="clear" w:color="auto" w:fill="D2DCE5"/>
          </w:tcPr>
          <w:p>
            <w:pPr>
              <w:jc w:val="right"/>
              <w:ind w:right="80"/>
              <w:spacing w:after="0"/>
              <w:rPr>
                <w:sz w:val="20"/>
                <w:szCs w:val="20"/>
                <w:color w:val="auto"/>
              </w:rPr>
            </w:pPr>
            <w:r>
              <w:rPr>
                <w:rFonts w:ascii="Arial" w:cs="Arial" w:eastAsia="Arial" w:hAnsi="Arial"/>
                <w:sz w:val="18"/>
                <w:szCs w:val="18"/>
                <w:b w:val="1"/>
                <w:bCs w:val="1"/>
                <w:color w:val="131E29"/>
              </w:rPr>
              <w:t>189,595</w:t>
            </w:r>
          </w:p>
        </w:tc>
        <w:tc>
          <w:tcPr>
            <w:tcW w:w="760" w:type="dxa"/>
            <w:vAlign w:val="bottom"/>
            <w:gridSpan w:val="3"/>
            <w:shd w:val="clear" w:color="auto" w:fill="D2DCE5"/>
          </w:tcPr>
          <w:p>
            <w:pPr>
              <w:jc w:val="right"/>
              <w:ind w:right="80"/>
              <w:spacing w:after="0"/>
              <w:rPr>
                <w:sz w:val="20"/>
                <w:szCs w:val="20"/>
                <w:color w:val="auto"/>
              </w:rPr>
            </w:pPr>
            <w:r>
              <w:rPr>
                <w:rFonts w:ascii="Arial" w:cs="Arial" w:eastAsia="Arial" w:hAnsi="Arial"/>
                <w:sz w:val="18"/>
                <w:szCs w:val="18"/>
                <w:b w:val="1"/>
                <w:bCs w:val="1"/>
                <w:color w:val="131E29"/>
              </w:rPr>
              <w:t>15.9</w:t>
            </w:r>
          </w:p>
        </w:tc>
        <w:tc>
          <w:tcPr>
            <w:tcW w:w="0" w:type="dxa"/>
            <w:vAlign w:val="bottom"/>
          </w:tcPr>
          <w:p>
            <w:pPr>
              <w:spacing w:after="0"/>
              <w:rPr>
                <w:sz w:val="1"/>
                <w:szCs w:val="1"/>
                <w:color w:val="auto"/>
              </w:rPr>
            </w:pPr>
          </w:p>
        </w:tc>
      </w:tr>
      <w:tr>
        <w:trPr>
          <w:trHeight w:val="270"/>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Depreciation and amortization</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006098"/>
              </w:rPr>
              <w:t>(2,109)</w:t>
            </w:r>
          </w:p>
        </w:tc>
        <w:tc>
          <w:tcPr>
            <w:tcW w:w="100" w:type="dxa"/>
            <w:vAlign w:val="bottom"/>
          </w:tcPr>
          <w:p>
            <w:pPr>
              <w:spacing w:after="0"/>
              <w:rPr>
                <w:sz w:val="23"/>
                <w:szCs w:val="23"/>
                <w:color w:val="auto"/>
              </w:rPr>
            </w:pPr>
          </w:p>
        </w:tc>
        <w:tc>
          <w:tcPr>
            <w:tcW w:w="660" w:type="dxa"/>
            <w:vAlign w:val="bottom"/>
            <w:gridSpan w:val="3"/>
          </w:tcPr>
          <w:p>
            <w:pPr>
              <w:ind w:left="260"/>
              <w:spacing w:after="0"/>
              <w:rPr>
                <w:sz w:val="20"/>
                <w:szCs w:val="20"/>
                <w:color w:val="auto"/>
              </w:rPr>
            </w:pPr>
            <w:r>
              <w:rPr>
                <w:rFonts w:ascii="Arial" w:cs="Arial" w:eastAsia="Arial" w:hAnsi="Arial"/>
                <w:sz w:val="18"/>
                <w:szCs w:val="18"/>
                <w:color w:val="006098"/>
              </w:rPr>
              <w:t>(0.4)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131E29"/>
              </w:rPr>
              <w:t>(924)</w:t>
            </w:r>
          </w:p>
        </w:tc>
        <w:tc>
          <w:tcPr>
            <w:tcW w:w="80" w:type="dxa"/>
            <w:vAlign w:val="bottom"/>
          </w:tcPr>
          <w:p>
            <w:pPr>
              <w:spacing w:after="0"/>
              <w:rPr>
                <w:sz w:val="23"/>
                <w:szCs w:val="23"/>
                <w:color w:val="auto"/>
              </w:rPr>
            </w:pPr>
          </w:p>
        </w:tc>
        <w:tc>
          <w:tcPr>
            <w:tcW w:w="680" w:type="dxa"/>
            <w:vAlign w:val="bottom"/>
            <w:gridSpan w:val="4"/>
          </w:tcPr>
          <w:p>
            <w:pPr>
              <w:jc w:val="center"/>
              <w:ind w:left="170"/>
              <w:spacing w:after="0"/>
              <w:rPr>
                <w:sz w:val="20"/>
                <w:szCs w:val="20"/>
                <w:color w:val="auto"/>
              </w:rPr>
            </w:pPr>
            <w:r>
              <w:rPr>
                <w:rFonts w:ascii="Arial" w:cs="Arial" w:eastAsia="Arial" w:hAnsi="Arial"/>
                <w:sz w:val="18"/>
                <w:szCs w:val="18"/>
                <w:color w:val="131E29"/>
              </w:rPr>
              <w:t>(0.2)</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006098"/>
              </w:rPr>
              <w:t>(5,195)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006098"/>
                <w:w w:val="97"/>
              </w:rPr>
              <w:t>(0.3)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131E29"/>
              </w:rPr>
              <w:t>(2,143)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131E29"/>
              </w:rPr>
              <w:t>(0.2)</w:t>
            </w: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Equity-based compensation</w:t>
            </w:r>
          </w:p>
        </w:tc>
        <w:tc>
          <w:tcPr>
            <w:tcW w:w="1000" w:type="dxa"/>
            <w:vAlign w:val="bottom"/>
            <w:gridSpan w:val="3"/>
            <w:shd w:val="clear" w:color="auto" w:fill="D2DCE5"/>
          </w:tcPr>
          <w:p>
            <w:pPr>
              <w:jc w:val="right"/>
              <w:ind w:right="20"/>
              <w:spacing w:after="0"/>
              <w:rPr>
                <w:sz w:val="20"/>
                <w:szCs w:val="20"/>
                <w:color w:val="auto"/>
              </w:rPr>
            </w:pPr>
            <w:r>
              <w:rPr>
                <w:rFonts w:ascii="Arial" w:cs="Arial" w:eastAsia="Arial" w:hAnsi="Arial"/>
                <w:sz w:val="18"/>
                <w:szCs w:val="18"/>
                <w:color w:val="006098"/>
              </w:rPr>
              <w:t>(6,063)</w:t>
            </w:r>
          </w:p>
        </w:tc>
        <w:tc>
          <w:tcPr>
            <w:tcW w:w="100" w:type="dxa"/>
            <w:vAlign w:val="bottom"/>
            <w:shd w:val="clear" w:color="auto" w:fill="D2DCE5"/>
          </w:tcPr>
          <w:p>
            <w:pPr>
              <w:spacing w:after="0"/>
              <w:rPr>
                <w:sz w:val="23"/>
                <w:szCs w:val="23"/>
                <w:color w:val="auto"/>
              </w:rPr>
            </w:pPr>
          </w:p>
        </w:tc>
        <w:tc>
          <w:tcPr>
            <w:tcW w:w="660" w:type="dxa"/>
            <w:vAlign w:val="bottom"/>
            <w:gridSpan w:val="3"/>
            <w:shd w:val="clear" w:color="auto" w:fill="D2DCE5"/>
          </w:tcPr>
          <w:p>
            <w:pPr>
              <w:ind w:left="260"/>
              <w:spacing w:after="0"/>
              <w:rPr>
                <w:sz w:val="20"/>
                <w:szCs w:val="20"/>
                <w:color w:val="auto"/>
              </w:rPr>
            </w:pPr>
            <w:r>
              <w:rPr>
                <w:rFonts w:ascii="Arial" w:cs="Arial" w:eastAsia="Arial" w:hAnsi="Arial"/>
                <w:sz w:val="18"/>
                <w:szCs w:val="18"/>
                <w:color w:val="006098"/>
              </w:rPr>
              <w:t>(1.1)</w:t>
            </w: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720" w:type="dxa"/>
            <w:vAlign w:val="bottom"/>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(4,076)</w:t>
            </w:r>
          </w:p>
        </w:tc>
        <w:tc>
          <w:tcPr>
            <w:tcW w:w="80" w:type="dxa"/>
            <w:vAlign w:val="bottom"/>
            <w:shd w:val="clear" w:color="auto" w:fill="D2DCE5"/>
          </w:tcPr>
          <w:p>
            <w:pPr>
              <w:spacing w:after="0"/>
              <w:rPr>
                <w:sz w:val="23"/>
                <w:szCs w:val="23"/>
                <w:color w:val="auto"/>
              </w:rPr>
            </w:pPr>
          </w:p>
        </w:tc>
        <w:tc>
          <w:tcPr>
            <w:tcW w:w="680" w:type="dxa"/>
            <w:vAlign w:val="bottom"/>
            <w:gridSpan w:val="4"/>
            <w:shd w:val="clear" w:color="auto" w:fill="D2DCE5"/>
          </w:tcPr>
          <w:p>
            <w:pPr>
              <w:jc w:val="center"/>
              <w:ind w:left="170"/>
              <w:spacing w:after="0"/>
              <w:rPr>
                <w:sz w:val="20"/>
                <w:szCs w:val="20"/>
                <w:color w:val="auto"/>
              </w:rPr>
            </w:pPr>
            <w:r>
              <w:rPr>
                <w:rFonts w:ascii="Arial" w:cs="Arial" w:eastAsia="Arial" w:hAnsi="Arial"/>
                <w:sz w:val="18"/>
                <w:szCs w:val="18"/>
                <w:color w:val="131E29"/>
              </w:rPr>
              <w:t>(1.0)</w:t>
            </w:r>
          </w:p>
        </w:tc>
        <w:tc>
          <w:tcPr>
            <w:tcW w:w="1120" w:type="dxa"/>
            <w:vAlign w:val="bottom"/>
            <w:gridSpan w:val="3"/>
            <w:shd w:val="clear" w:color="auto" w:fill="D2DCE5"/>
          </w:tcPr>
          <w:p>
            <w:pPr>
              <w:jc w:val="right"/>
              <w:ind w:right="20"/>
              <w:spacing w:after="0"/>
              <w:rPr>
                <w:sz w:val="20"/>
                <w:szCs w:val="20"/>
                <w:color w:val="auto"/>
              </w:rPr>
            </w:pPr>
            <w:r>
              <w:rPr>
                <w:rFonts w:ascii="Arial" w:cs="Arial" w:eastAsia="Arial" w:hAnsi="Arial"/>
                <w:sz w:val="18"/>
                <w:szCs w:val="18"/>
                <w:color w:val="006098"/>
              </w:rPr>
              <w:t>(16,661)</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5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006098"/>
                <w:w w:val="97"/>
              </w:rPr>
              <w:t>(1.1)</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900" w:type="dxa"/>
            <w:vAlign w:val="bottom"/>
            <w:gridSpan w:val="5"/>
            <w:shd w:val="clear" w:color="auto" w:fill="D2DCE5"/>
          </w:tcPr>
          <w:p>
            <w:pPr>
              <w:jc w:val="right"/>
              <w:ind w:right="40"/>
              <w:spacing w:after="0"/>
              <w:rPr>
                <w:sz w:val="20"/>
                <w:szCs w:val="20"/>
                <w:color w:val="auto"/>
              </w:rPr>
            </w:pPr>
            <w:r>
              <w:rPr>
                <w:rFonts w:ascii="Arial" w:cs="Arial" w:eastAsia="Arial" w:hAnsi="Arial"/>
                <w:sz w:val="18"/>
                <w:szCs w:val="18"/>
                <w:color w:val="131E29"/>
              </w:rPr>
              <w:t>(11,966)</w:t>
            </w:r>
          </w:p>
        </w:tc>
        <w:tc>
          <w:tcPr>
            <w:tcW w:w="760" w:type="dxa"/>
            <w:vAlign w:val="bottom"/>
            <w:gridSpan w:val="3"/>
            <w:shd w:val="clear" w:color="auto" w:fill="D2DCE5"/>
          </w:tcPr>
          <w:p>
            <w:pPr>
              <w:jc w:val="right"/>
              <w:ind w:right="20"/>
              <w:spacing w:after="0"/>
              <w:rPr>
                <w:sz w:val="20"/>
                <w:szCs w:val="20"/>
                <w:color w:val="auto"/>
              </w:rPr>
            </w:pPr>
            <w:r>
              <w:rPr>
                <w:rFonts w:ascii="Arial" w:cs="Arial" w:eastAsia="Arial" w:hAnsi="Arial"/>
                <w:sz w:val="18"/>
                <w:szCs w:val="18"/>
                <w:color w:val="131E29"/>
              </w:rPr>
              <w:t>(1.1)</w:t>
            </w:r>
          </w:p>
        </w:tc>
        <w:tc>
          <w:tcPr>
            <w:tcW w:w="0" w:type="dxa"/>
            <w:vAlign w:val="bottom"/>
          </w:tcPr>
          <w:p>
            <w:pPr>
              <w:spacing w:after="0"/>
              <w:rPr>
                <w:sz w:val="1"/>
                <w:szCs w:val="1"/>
                <w:color w:val="auto"/>
              </w:rPr>
            </w:pPr>
          </w:p>
        </w:tc>
      </w:tr>
      <w:tr>
        <w:trPr>
          <w:trHeight w:val="270"/>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Acquisitions-related costs</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006098"/>
              </w:rPr>
              <w:t>(1,209)</w:t>
            </w:r>
          </w:p>
        </w:tc>
        <w:tc>
          <w:tcPr>
            <w:tcW w:w="100" w:type="dxa"/>
            <w:vAlign w:val="bottom"/>
          </w:tcPr>
          <w:p>
            <w:pPr>
              <w:spacing w:after="0"/>
              <w:rPr>
                <w:sz w:val="23"/>
                <w:szCs w:val="23"/>
                <w:color w:val="auto"/>
              </w:rPr>
            </w:pPr>
          </w:p>
        </w:tc>
        <w:tc>
          <w:tcPr>
            <w:tcW w:w="660" w:type="dxa"/>
            <w:vAlign w:val="bottom"/>
            <w:gridSpan w:val="3"/>
          </w:tcPr>
          <w:p>
            <w:pPr>
              <w:ind w:left="260"/>
              <w:spacing w:after="0"/>
              <w:rPr>
                <w:sz w:val="20"/>
                <w:szCs w:val="20"/>
                <w:color w:val="auto"/>
              </w:rPr>
            </w:pPr>
            <w:r>
              <w:rPr>
                <w:rFonts w:ascii="Arial" w:cs="Arial" w:eastAsia="Arial" w:hAnsi="Arial"/>
                <w:sz w:val="18"/>
                <w:szCs w:val="18"/>
                <w:color w:val="006098"/>
              </w:rPr>
              <w:t>(0.2)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131E29"/>
              </w:rPr>
              <w:t>—</w:t>
            </w:r>
          </w:p>
        </w:tc>
        <w:tc>
          <w:tcPr>
            <w:tcW w:w="400" w:type="dxa"/>
            <w:vAlign w:val="bottom"/>
          </w:tcPr>
          <w:p>
            <w:pPr>
              <w:spacing w:after="0"/>
              <w:rPr>
                <w:sz w:val="23"/>
                <w:szCs w:val="23"/>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131E29"/>
                <w:w w:val="99"/>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006098"/>
              </w:rPr>
              <w:t>(1,518)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006098"/>
                <w:w w:val="97"/>
              </w:rPr>
              <w:t>(0.1)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24"/>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Organization realignment and</w:t>
            </w:r>
          </w:p>
        </w:tc>
        <w:tc>
          <w:tcPr>
            <w:tcW w:w="8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5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5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4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restructurings</w:t>
            </w:r>
          </w:p>
        </w:tc>
        <w:tc>
          <w:tcPr>
            <w:tcW w:w="100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8"/>
                <w:szCs w:val="18"/>
                <w:color w:val="006098"/>
              </w:rPr>
              <w:t>—</w:t>
            </w:r>
          </w:p>
        </w:tc>
        <w:tc>
          <w:tcPr>
            <w:tcW w:w="100" w:type="dxa"/>
            <w:vAlign w:val="bottom"/>
            <w:shd w:val="clear" w:color="auto" w:fill="D2DCE5"/>
          </w:tcPr>
          <w:p>
            <w:pPr>
              <w:spacing w:after="0"/>
              <w:rPr>
                <w:sz w:val="22"/>
                <w:szCs w:val="22"/>
                <w:color w:val="auto"/>
              </w:rPr>
            </w:pPr>
          </w:p>
        </w:tc>
        <w:tc>
          <w:tcPr>
            <w:tcW w:w="660" w:type="dxa"/>
            <w:vAlign w:val="bottom"/>
            <w:tcBorders>
              <w:bottom w:val="single" w:sz="8" w:color="auto"/>
            </w:tcBorders>
            <w:gridSpan w:val="3"/>
            <w:shd w:val="clear" w:color="auto" w:fill="D2DCE5"/>
          </w:tcPr>
          <w:p>
            <w:pPr>
              <w:jc w:val="right"/>
              <w:ind w:right="80"/>
              <w:spacing w:after="0"/>
              <w:rPr>
                <w:sz w:val="20"/>
                <w:szCs w:val="20"/>
                <w:color w:val="auto"/>
              </w:rPr>
            </w:pPr>
            <w:r>
              <w:rPr>
                <w:rFonts w:ascii="Arial" w:cs="Arial" w:eastAsia="Arial" w:hAnsi="Arial"/>
                <w:sz w:val="18"/>
                <w:szCs w:val="18"/>
                <w:color w:val="006098"/>
              </w:rPr>
              <w:t>—</w:t>
            </w:r>
          </w:p>
        </w:tc>
        <w:tc>
          <w:tcPr>
            <w:tcW w:w="100" w:type="dxa"/>
            <w:vAlign w:val="bottom"/>
            <w:shd w:val="clear" w:color="auto" w:fill="D2DCE5"/>
          </w:tcPr>
          <w:p>
            <w:pPr>
              <w:spacing w:after="0"/>
              <w:rPr>
                <w:sz w:val="22"/>
                <w:szCs w:val="22"/>
                <w:color w:val="auto"/>
              </w:rPr>
            </w:pPr>
          </w:p>
        </w:tc>
        <w:tc>
          <w:tcPr>
            <w:tcW w:w="80" w:type="dxa"/>
            <w:vAlign w:val="bottom"/>
            <w:tcBorders>
              <w:bottom w:val="single" w:sz="8" w:color="auto"/>
            </w:tcBorders>
            <w:shd w:val="clear" w:color="auto" w:fill="D2DCE5"/>
          </w:tcPr>
          <w:p>
            <w:pPr>
              <w:spacing w:after="0"/>
              <w:rPr>
                <w:sz w:val="22"/>
                <w:szCs w:val="22"/>
                <w:color w:val="auto"/>
              </w:rPr>
            </w:pPr>
          </w:p>
        </w:tc>
        <w:tc>
          <w:tcPr>
            <w:tcW w:w="100" w:type="dxa"/>
            <w:vAlign w:val="bottom"/>
            <w:tcBorders>
              <w:bottom w:val="single" w:sz="8" w:color="auto"/>
            </w:tcBorders>
            <w:shd w:val="clear" w:color="auto" w:fill="D2DCE5"/>
          </w:tcPr>
          <w:p>
            <w:pPr>
              <w:spacing w:after="0"/>
              <w:rPr>
                <w:sz w:val="22"/>
                <w:szCs w:val="22"/>
                <w:color w:val="auto"/>
              </w:rPr>
            </w:pPr>
          </w:p>
        </w:tc>
        <w:tc>
          <w:tcPr>
            <w:tcW w:w="120" w:type="dxa"/>
            <w:vAlign w:val="bottom"/>
            <w:tcBorders>
              <w:bottom w:val="single" w:sz="8" w:color="auto"/>
            </w:tcBorders>
            <w:shd w:val="clear" w:color="auto" w:fill="D2DCE5"/>
          </w:tcPr>
          <w:p>
            <w:pPr>
              <w:spacing w:after="0"/>
              <w:rPr>
                <w:sz w:val="22"/>
                <w:szCs w:val="22"/>
                <w:color w:val="auto"/>
              </w:rPr>
            </w:pPr>
          </w:p>
        </w:tc>
        <w:tc>
          <w:tcPr>
            <w:tcW w:w="720" w:type="dxa"/>
            <w:vAlign w:val="bottom"/>
            <w:tcBorders>
              <w:bottom w:val="single" w:sz="8" w:color="auto"/>
            </w:tcBorders>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(2,650)</w:t>
            </w:r>
          </w:p>
        </w:tc>
        <w:tc>
          <w:tcPr>
            <w:tcW w:w="80" w:type="dxa"/>
            <w:vAlign w:val="bottom"/>
            <w:shd w:val="clear" w:color="auto" w:fill="D2DCE5"/>
          </w:tcPr>
          <w:p>
            <w:pPr>
              <w:spacing w:after="0"/>
              <w:rPr>
                <w:sz w:val="22"/>
                <w:szCs w:val="22"/>
                <w:color w:val="auto"/>
              </w:rPr>
            </w:pPr>
          </w:p>
        </w:tc>
        <w:tc>
          <w:tcPr>
            <w:tcW w:w="680" w:type="dxa"/>
            <w:vAlign w:val="bottom"/>
            <w:tcBorders>
              <w:bottom w:val="single" w:sz="8" w:color="auto"/>
            </w:tcBorders>
            <w:gridSpan w:val="4"/>
            <w:shd w:val="clear" w:color="auto" w:fill="D2DCE5"/>
          </w:tcPr>
          <w:p>
            <w:pPr>
              <w:jc w:val="center"/>
              <w:ind w:left="170"/>
              <w:spacing w:after="0"/>
              <w:rPr>
                <w:sz w:val="20"/>
                <w:szCs w:val="20"/>
                <w:color w:val="auto"/>
              </w:rPr>
            </w:pPr>
            <w:r>
              <w:rPr>
                <w:rFonts w:ascii="Arial" w:cs="Arial" w:eastAsia="Arial" w:hAnsi="Arial"/>
                <w:sz w:val="18"/>
                <w:szCs w:val="18"/>
                <w:color w:val="131E29"/>
              </w:rPr>
              <w:t>(0.6)</w:t>
            </w:r>
          </w:p>
        </w:tc>
        <w:tc>
          <w:tcPr>
            <w:tcW w:w="100" w:type="dxa"/>
            <w:vAlign w:val="bottom"/>
            <w:shd w:val="clear" w:color="auto" w:fill="D2DCE5"/>
          </w:tcPr>
          <w:p>
            <w:pPr>
              <w:spacing w:after="0"/>
              <w:rPr>
                <w:sz w:val="22"/>
                <w:szCs w:val="22"/>
                <w:color w:val="auto"/>
              </w:rPr>
            </w:pPr>
          </w:p>
        </w:tc>
        <w:tc>
          <w:tcPr>
            <w:tcW w:w="1020" w:type="dxa"/>
            <w:vAlign w:val="bottom"/>
            <w:tcBorders>
              <w:bottom w:val="single" w:sz="8" w:color="auto"/>
            </w:tcBorders>
            <w:gridSpan w:val="2"/>
            <w:shd w:val="clear" w:color="auto" w:fill="D2DCE5"/>
          </w:tcPr>
          <w:p>
            <w:pPr>
              <w:jc w:val="right"/>
              <w:ind w:right="20"/>
              <w:spacing w:after="0"/>
              <w:rPr>
                <w:sz w:val="20"/>
                <w:szCs w:val="20"/>
                <w:color w:val="auto"/>
              </w:rPr>
            </w:pPr>
            <w:r>
              <w:rPr>
                <w:rFonts w:ascii="Arial" w:cs="Arial" w:eastAsia="Arial" w:hAnsi="Arial"/>
                <w:sz w:val="18"/>
                <w:szCs w:val="18"/>
                <w:color w:val="006098"/>
              </w:rPr>
              <w:t>(1,831)</w:t>
            </w:r>
          </w:p>
        </w:tc>
        <w:tc>
          <w:tcPr>
            <w:tcW w:w="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40" w:type="dxa"/>
            <w:vAlign w:val="bottom"/>
            <w:tcBorders>
              <w:bottom w:val="single" w:sz="8" w:color="auto"/>
            </w:tcBorders>
            <w:shd w:val="clear" w:color="auto" w:fill="D2DCE5"/>
          </w:tcPr>
          <w:p>
            <w:pPr>
              <w:spacing w:after="0"/>
              <w:rPr>
                <w:sz w:val="22"/>
                <w:szCs w:val="22"/>
                <w:color w:val="auto"/>
              </w:rPr>
            </w:pPr>
          </w:p>
        </w:tc>
        <w:tc>
          <w:tcPr>
            <w:tcW w:w="520" w:type="dxa"/>
            <w:vAlign w:val="bottom"/>
            <w:tcBorders>
              <w:bottom w:val="single" w:sz="8" w:color="auto"/>
            </w:tcBorders>
            <w:gridSpan w:val="2"/>
            <w:shd w:val="clear" w:color="auto" w:fill="D2DCE5"/>
          </w:tcPr>
          <w:p>
            <w:pPr>
              <w:ind w:left="140"/>
              <w:spacing w:after="0"/>
              <w:rPr>
                <w:sz w:val="20"/>
                <w:szCs w:val="20"/>
                <w:color w:val="auto"/>
              </w:rPr>
            </w:pPr>
            <w:r>
              <w:rPr>
                <w:rFonts w:ascii="Arial" w:cs="Arial" w:eastAsia="Arial" w:hAnsi="Arial"/>
                <w:sz w:val="18"/>
                <w:szCs w:val="18"/>
                <w:color w:val="006098"/>
                <w:w w:val="97"/>
              </w:rPr>
              <w:t>(0.1)</w:t>
            </w:r>
          </w:p>
        </w:tc>
        <w:tc>
          <w:tcPr>
            <w:tcW w:w="20" w:type="dxa"/>
            <w:vAlign w:val="bottom"/>
            <w:tcBorders>
              <w:bottom w:val="single" w:sz="8" w:color="auto"/>
            </w:tcBorders>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40" w:type="dxa"/>
            <w:vAlign w:val="bottom"/>
            <w:tcBorders>
              <w:bottom w:val="single" w:sz="8" w:color="auto"/>
            </w:tcBorders>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640" w:type="dxa"/>
            <w:vAlign w:val="bottom"/>
            <w:tcBorders>
              <w:bottom w:val="single" w:sz="8" w:color="auto"/>
            </w:tcBorders>
            <w:gridSpan w:val="4"/>
            <w:shd w:val="clear" w:color="auto" w:fill="D2DCE5"/>
          </w:tcPr>
          <w:p>
            <w:pPr>
              <w:jc w:val="right"/>
              <w:ind w:right="40"/>
              <w:spacing w:after="0"/>
              <w:rPr>
                <w:sz w:val="20"/>
                <w:szCs w:val="20"/>
                <w:color w:val="auto"/>
              </w:rPr>
            </w:pPr>
            <w:r>
              <w:rPr>
                <w:rFonts w:ascii="Arial" w:cs="Arial" w:eastAsia="Arial" w:hAnsi="Arial"/>
                <w:sz w:val="18"/>
                <w:szCs w:val="18"/>
                <w:color w:val="131E29"/>
              </w:rPr>
              <w:t>(5,641)</w:t>
            </w:r>
          </w:p>
        </w:tc>
        <w:tc>
          <w:tcPr>
            <w:tcW w:w="80" w:type="dxa"/>
            <w:vAlign w:val="bottom"/>
            <w:shd w:val="clear" w:color="auto" w:fill="D2DCE5"/>
          </w:tcPr>
          <w:p>
            <w:pPr>
              <w:spacing w:after="0"/>
              <w:rPr>
                <w:sz w:val="22"/>
                <w:szCs w:val="22"/>
                <w:color w:val="auto"/>
              </w:rPr>
            </w:pPr>
          </w:p>
        </w:tc>
        <w:tc>
          <w:tcPr>
            <w:tcW w:w="680" w:type="dxa"/>
            <w:vAlign w:val="bottom"/>
            <w:tcBorders>
              <w:bottom w:val="single" w:sz="8" w:color="auto"/>
            </w:tcBorders>
            <w:gridSpan w:val="2"/>
            <w:shd w:val="clear" w:color="auto" w:fill="D2DCE5"/>
          </w:tcPr>
          <w:p>
            <w:pPr>
              <w:jc w:val="right"/>
              <w:ind w:right="20"/>
              <w:spacing w:after="0"/>
              <w:rPr>
                <w:sz w:val="20"/>
                <w:szCs w:val="20"/>
                <w:color w:val="auto"/>
              </w:rPr>
            </w:pPr>
            <w:r>
              <w:rPr>
                <w:rFonts w:ascii="Arial" w:cs="Arial" w:eastAsia="Arial" w:hAnsi="Arial"/>
                <w:sz w:val="18"/>
                <w:szCs w:val="18"/>
                <w:color w:val="131E29"/>
              </w:rPr>
              <w:t>(0.4)</w:t>
            </w:r>
          </w:p>
        </w:tc>
        <w:tc>
          <w:tcPr>
            <w:tcW w:w="0" w:type="dxa"/>
            <w:vAlign w:val="bottom"/>
          </w:tcPr>
          <w:p>
            <w:pPr>
              <w:spacing w:after="0"/>
              <w:rPr>
                <w:sz w:val="1"/>
                <w:szCs w:val="1"/>
                <w:color w:val="auto"/>
              </w:rPr>
            </w:pPr>
          </w:p>
        </w:tc>
      </w:tr>
      <w:tr>
        <w:trPr>
          <w:trHeight w:val="204"/>
        </w:trPr>
        <w:tc>
          <w:tcPr>
            <w:tcW w:w="3820" w:type="dxa"/>
            <w:vAlign w:val="bottom"/>
            <w:gridSpan w:val="4"/>
          </w:tcPr>
          <w:p>
            <w:pPr>
              <w:ind w:left="360"/>
              <w:spacing w:after="0" w:line="204" w:lineRule="exact"/>
              <w:rPr>
                <w:sz w:val="20"/>
                <w:szCs w:val="20"/>
                <w:color w:val="auto"/>
              </w:rPr>
            </w:pPr>
            <w:r>
              <w:rPr>
                <w:rFonts w:ascii="Arial" w:cs="Arial" w:eastAsia="Arial" w:hAnsi="Arial"/>
                <w:sz w:val="18"/>
                <w:szCs w:val="18"/>
                <w:b w:val="1"/>
                <w:bCs w:val="1"/>
                <w:color w:val="131E29"/>
              </w:rPr>
              <w:t>Adjusted selling, general, and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1E29"/>
              </w:rPr>
              <w:t>57,639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131E29"/>
              </w:rPr>
              <w:t>13.6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5"/>
            <w:vMerge w:val="restart"/>
          </w:tcPr>
          <w:p>
            <w:pPr>
              <w:jc w:val="right"/>
              <w:ind w:right="80"/>
              <w:spacing w:after="0"/>
              <w:rPr>
                <w:sz w:val="20"/>
                <w:szCs w:val="20"/>
                <w:color w:val="auto"/>
              </w:rPr>
            </w:pPr>
            <w:r>
              <w:rPr>
                <w:rFonts w:ascii="Arial" w:cs="Arial" w:eastAsia="Arial" w:hAnsi="Arial"/>
                <w:sz w:val="18"/>
                <w:szCs w:val="18"/>
                <w:b w:val="1"/>
                <w:bCs w:val="1"/>
                <w:color w:val="131E29"/>
              </w:rPr>
              <w:t>169,845</w:t>
            </w:r>
          </w:p>
        </w:tc>
        <w:tc>
          <w:tcPr>
            <w:tcW w:w="80" w:type="dxa"/>
            <w:vAlign w:val="bottom"/>
            <w:vMerge w:val="restart"/>
          </w:tcPr>
          <w:p>
            <w:pPr>
              <w:spacing w:after="0"/>
              <w:rPr>
                <w:sz w:val="17"/>
                <w:szCs w:val="17"/>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131E29"/>
              </w:rPr>
              <w:t>14.2</w:t>
            </w:r>
          </w:p>
        </w:tc>
        <w:tc>
          <w:tcPr>
            <w:tcW w:w="0" w:type="dxa"/>
            <w:vAlign w:val="bottom"/>
          </w:tcPr>
          <w:p>
            <w:pPr>
              <w:spacing w:after="0"/>
              <w:rPr>
                <w:sz w:val="1"/>
                <w:szCs w:val="1"/>
                <w:color w:val="auto"/>
              </w:rPr>
            </w:pPr>
          </w:p>
        </w:tc>
      </w:tr>
      <w:tr>
        <w:trPr>
          <w:trHeight w:val="235"/>
        </w:trPr>
        <w:tc>
          <w:tcPr>
            <w:tcW w:w="3820" w:type="dxa"/>
            <w:vAlign w:val="bottom"/>
            <w:gridSpan w:val="4"/>
          </w:tcPr>
          <w:p>
            <w:pPr>
              <w:ind w:left="360"/>
              <w:spacing w:after="0"/>
              <w:rPr>
                <w:sz w:val="20"/>
                <w:szCs w:val="20"/>
                <w:color w:val="auto"/>
              </w:rPr>
            </w:pPr>
            <w:r>
              <w:rPr>
                <w:rFonts w:ascii="Arial" w:cs="Arial" w:eastAsia="Arial" w:hAnsi="Arial"/>
                <w:sz w:val="18"/>
                <w:szCs w:val="18"/>
                <w:b w:val="1"/>
                <w:bCs w:val="1"/>
                <w:color w:val="131E29"/>
              </w:rPr>
              <w:t>administrative</w:t>
            </w: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006098"/>
              </w:rPr>
              <w:t>69,573</w:t>
            </w:r>
          </w:p>
        </w:tc>
        <w:tc>
          <w:tcPr>
            <w:tcW w:w="10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006098"/>
              </w:rPr>
              <w:t>12.7</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006098"/>
              </w:rPr>
              <w:t>207,576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006098"/>
              </w:rPr>
              <w:t>13.3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5"/>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13"/>
          </w:tcPr>
          <w:p>
            <w:pPr>
              <w:jc w:val="center"/>
              <w:ind w:right="200"/>
              <w:spacing w:after="0"/>
              <w:rPr>
                <w:sz w:val="20"/>
                <w:szCs w:val="20"/>
                <w:color w:val="auto"/>
              </w:rPr>
            </w:pPr>
            <w:r>
              <w:rPr>
                <w:rFonts w:ascii="Arial" w:cs="Arial" w:eastAsia="Arial" w:hAnsi="Arial"/>
                <w:sz w:val="18"/>
                <w:szCs w:val="18"/>
                <w:b w:val="1"/>
                <w:bCs w:val="1"/>
                <w:color w:val="131E29"/>
                <w:w w:val="99"/>
              </w:rPr>
              <w:t>Three Months Ended</w:t>
            </w:r>
          </w:p>
        </w:tc>
        <w:tc>
          <w:tcPr>
            <w:tcW w:w="140" w:type="dxa"/>
            <w:vAlign w:val="bottom"/>
          </w:tcPr>
          <w:p>
            <w:pPr>
              <w:spacing w:after="0"/>
              <w:rPr>
                <w:sz w:val="24"/>
                <w:szCs w:val="24"/>
                <w:color w:val="auto"/>
              </w:rPr>
            </w:pPr>
          </w:p>
        </w:tc>
        <w:tc>
          <w:tcPr>
            <w:tcW w:w="2420" w:type="dxa"/>
            <w:vAlign w:val="bottom"/>
            <w:gridSpan w:val="13"/>
          </w:tcPr>
          <w:p>
            <w:pPr>
              <w:jc w:val="center"/>
              <w:ind w:right="140"/>
              <w:spacing w:after="0"/>
              <w:rPr>
                <w:sz w:val="20"/>
                <w:szCs w:val="20"/>
                <w:color w:val="auto"/>
              </w:rPr>
            </w:pPr>
            <w:r>
              <w:rPr>
                <w:rFonts w:ascii="Arial" w:cs="Arial" w:eastAsia="Arial" w:hAnsi="Arial"/>
                <w:sz w:val="18"/>
                <w:szCs w:val="18"/>
                <w:b w:val="1"/>
                <w:bCs w:val="1"/>
                <w:color w:val="131E29"/>
                <w:w w:val="99"/>
              </w:rPr>
              <w:t>Nine Months Ended</w:t>
            </w:r>
          </w:p>
        </w:tc>
        <w:tc>
          <w:tcPr>
            <w:tcW w:w="0" w:type="dxa"/>
            <w:vAlign w:val="bottom"/>
          </w:tcPr>
          <w:p>
            <w:pPr>
              <w:spacing w:after="0"/>
              <w:rPr>
                <w:sz w:val="1"/>
                <w:szCs w:val="1"/>
                <w:color w:val="auto"/>
              </w:rPr>
            </w:pPr>
          </w:p>
        </w:tc>
      </w:tr>
      <w:tr>
        <w:trPr>
          <w:trHeight w:val="255"/>
        </w:trPr>
        <w:tc>
          <w:tcPr>
            <w:tcW w:w="3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120" w:type="dxa"/>
            <w:vAlign w:val="bottom"/>
            <w:gridSpan w:val="12"/>
          </w:tcPr>
          <w:p>
            <w:pPr>
              <w:jc w:val="center"/>
              <w:ind w:right="800"/>
              <w:spacing w:after="0"/>
              <w:rPr>
                <w:sz w:val="20"/>
                <w:szCs w:val="20"/>
                <w:color w:val="auto"/>
              </w:rPr>
            </w:pPr>
            <w:r>
              <w:rPr>
                <w:rFonts w:ascii="Arial" w:cs="Arial" w:eastAsia="Arial" w:hAnsi="Arial"/>
                <w:sz w:val="18"/>
                <w:szCs w:val="18"/>
                <w:b w:val="1"/>
                <w:bCs w:val="1"/>
                <w:color w:val="131E29"/>
              </w:rPr>
              <w:t>September 30,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11"/>
          </w:tcPr>
          <w:p>
            <w:pPr>
              <w:jc w:val="center"/>
              <w:ind w:right="660"/>
              <w:spacing w:after="0"/>
              <w:rPr>
                <w:sz w:val="20"/>
                <w:szCs w:val="20"/>
                <w:color w:val="auto"/>
              </w:rPr>
            </w:pPr>
            <w:r>
              <w:rPr>
                <w:rFonts w:ascii="Arial" w:cs="Arial" w:eastAsia="Arial" w:hAnsi="Arial"/>
                <w:sz w:val="18"/>
                <w:szCs w:val="18"/>
                <w:b w:val="1"/>
                <w:bCs w:val="1"/>
                <w:color w:val="131E29"/>
              </w:rPr>
              <w:t>September 30,</w:t>
            </w:r>
          </w:p>
        </w:tc>
        <w:tc>
          <w:tcPr>
            <w:tcW w:w="0" w:type="dxa"/>
            <w:vAlign w:val="bottom"/>
          </w:tcPr>
          <w:p>
            <w:pPr>
              <w:spacing w:after="0"/>
              <w:rPr>
                <w:sz w:val="1"/>
                <w:szCs w:val="1"/>
                <w:color w:val="auto"/>
              </w:rPr>
            </w:pPr>
          </w:p>
        </w:tc>
      </w:tr>
      <w:tr>
        <w:trPr>
          <w:trHeight w:val="263"/>
        </w:trPr>
        <w:tc>
          <w:tcPr>
            <w:tcW w:w="3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131E29"/>
              </w:rPr>
              <w:t>(in thousands; unaudited)</w:t>
            </w: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131E29"/>
              </w:rPr>
              <w:t>2026</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D2DCE5"/>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131E29"/>
              </w:rPr>
              <w:t>2026</w:t>
            </w:r>
          </w:p>
        </w:tc>
        <w:tc>
          <w:tcPr>
            <w:tcW w:w="2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D2DCE5"/>
            </w:tcBorders>
          </w:tcPr>
          <w:p>
            <w:pPr>
              <w:spacing w:after="0"/>
              <w:rPr>
                <w:sz w:val="22"/>
                <w:szCs w:val="22"/>
                <w:color w:val="auto"/>
              </w:rPr>
            </w:pPr>
          </w:p>
        </w:tc>
        <w:tc>
          <w:tcPr>
            <w:tcW w:w="110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131E29"/>
              </w:rPr>
              <w:t>2025</w:t>
            </w:r>
          </w:p>
        </w:tc>
        <w:tc>
          <w:tcPr>
            <w:tcW w:w="1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w:t>
            </w:r>
          </w:p>
        </w:tc>
        <w:tc>
          <w:tcPr>
            <w:tcW w:w="8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gridSpan w:val="3"/>
            <w:shd w:val="clear" w:color="auto" w:fill="D2DCE5"/>
          </w:tcPr>
          <w:p>
            <w:pPr>
              <w:jc w:val="right"/>
              <w:spacing w:after="0"/>
              <w:rPr>
                <w:sz w:val="20"/>
                <w:szCs w:val="20"/>
                <w:color w:val="auto"/>
              </w:rPr>
            </w:pPr>
            <w:r>
              <w:rPr>
                <w:rFonts w:ascii="Arial" w:cs="Arial" w:eastAsia="Arial" w:hAnsi="Arial"/>
                <w:sz w:val="18"/>
                <w:szCs w:val="18"/>
                <w:b w:val="1"/>
                <w:bCs w:val="1"/>
                <w:color w:val="006098"/>
              </w:rPr>
              <w:t>$</w:t>
            </w:r>
          </w:p>
        </w:tc>
        <w:tc>
          <w:tcPr>
            <w:tcW w:w="1200" w:type="dxa"/>
            <w:vAlign w:val="bottom"/>
            <w:gridSpan w:val="5"/>
            <w:shd w:val="clear" w:color="auto" w:fill="D2DCE5"/>
          </w:tcPr>
          <w:p>
            <w:pPr>
              <w:jc w:val="right"/>
              <w:spacing w:after="0"/>
              <w:rPr>
                <w:sz w:val="20"/>
                <w:szCs w:val="20"/>
                <w:color w:val="auto"/>
              </w:rPr>
            </w:pPr>
            <w:r>
              <w:rPr>
                <w:rFonts w:ascii="Arial" w:cs="Arial" w:eastAsia="Arial" w:hAnsi="Arial"/>
                <w:sz w:val="18"/>
                <w:szCs w:val="18"/>
                <w:b w:val="1"/>
                <w:bCs w:val="1"/>
                <w:color w:val="006098"/>
              </w:rPr>
              <w:t>37,228</w:t>
            </w:r>
          </w:p>
        </w:tc>
        <w:tc>
          <w:tcPr>
            <w:tcW w:w="100" w:type="dxa"/>
            <w:vAlign w:val="bottom"/>
            <w:shd w:val="clear" w:color="auto" w:fill="D2DCE5"/>
          </w:tcPr>
          <w:p>
            <w:pPr>
              <w:spacing w:after="0"/>
              <w:rPr>
                <w:sz w:val="23"/>
                <w:szCs w:val="23"/>
                <w:color w:val="auto"/>
              </w:rPr>
            </w:pPr>
          </w:p>
        </w:tc>
        <w:tc>
          <w:tcPr>
            <w:tcW w:w="18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b w:val="1"/>
                <w:bCs w:val="1"/>
                <w:color w:val="131E29"/>
                <w:w w:val="79"/>
              </w:rPr>
              <w:t>$</w:t>
            </w:r>
          </w:p>
        </w:tc>
        <w:tc>
          <w:tcPr>
            <w:tcW w:w="1120" w:type="dxa"/>
            <w:vAlign w:val="bottom"/>
            <w:gridSpan w:val="3"/>
            <w:shd w:val="clear" w:color="auto" w:fill="D2DCE5"/>
          </w:tcPr>
          <w:p>
            <w:pPr>
              <w:jc w:val="right"/>
              <w:ind w:right="60"/>
              <w:spacing w:after="0"/>
              <w:rPr>
                <w:sz w:val="20"/>
                <w:szCs w:val="20"/>
                <w:color w:val="auto"/>
              </w:rPr>
            </w:pPr>
            <w:r>
              <w:rPr>
                <w:rFonts w:ascii="Arial" w:cs="Arial" w:eastAsia="Arial" w:hAnsi="Arial"/>
                <w:sz w:val="18"/>
                <w:szCs w:val="18"/>
                <w:b w:val="1"/>
                <w:bCs w:val="1"/>
                <w:color w:val="131E29"/>
              </w:rPr>
              <w:t>27,283</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gridSpan w:val="6"/>
            <w:shd w:val="clear" w:color="auto" w:fill="D2DCE5"/>
          </w:tcPr>
          <w:p>
            <w:pPr>
              <w:jc w:val="right"/>
              <w:spacing w:after="0"/>
              <w:rPr>
                <w:sz w:val="20"/>
                <w:szCs w:val="20"/>
                <w:color w:val="auto"/>
              </w:rPr>
            </w:pPr>
            <w:r>
              <w:rPr>
                <w:rFonts w:ascii="Arial" w:cs="Arial" w:eastAsia="Arial" w:hAnsi="Arial"/>
                <w:sz w:val="18"/>
                <w:szCs w:val="18"/>
                <w:b w:val="1"/>
                <w:bCs w:val="1"/>
                <w:color w:val="006098"/>
              </w:rPr>
              <w:t>112,497</w:t>
            </w:r>
          </w:p>
        </w:tc>
        <w:tc>
          <w:tcPr>
            <w:tcW w:w="540" w:type="dxa"/>
            <w:vAlign w:val="bottom"/>
            <w:gridSpan w:val="3"/>
            <w:shd w:val="clear" w:color="auto" w:fill="D2DCE5"/>
          </w:tcPr>
          <w:p>
            <w:pPr>
              <w:ind w:left="180"/>
              <w:spacing w:after="0"/>
              <w:rPr>
                <w:sz w:val="20"/>
                <w:szCs w:val="20"/>
                <w:color w:val="auto"/>
              </w:rPr>
            </w:pPr>
            <w:r>
              <w:rPr>
                <w:rFonts w:ascii="Arial" w:cs="Arial" w:eastAsia="Arial" w:hAnsi="Arial"/>
                <w:sz w:val="18"/>
                <w:szCs w:val="18"/>
                <w:b w:val="1"/>
                <w:bCs w:val="1"/>
                <w:color w:val="131E29"/>
              </w:rPr>
              <w:t>$</w:t>
            </w:r>
          </w:p>
        </w:tc>
        <w:tc>
          <w:tcPr>
            <w:tcW w:w="100" w:type="dxa"/>
            <w:vAlign w:val="bottom"/>
            <w:shd w:val="clear" w:color="auto" w:fill="D2DCE5"/>
          </w:tcPr>
          <w:p>
            <w:pPr>
              <w:spacing w:after="0"/>
              <w:rPr>
                <w:sz w:val="23"/>
                <w:szCs w:val="23"/>
                <w:color w:val="auto"/>
              </w:rPr>
            </w:pPr>
          </w:p>
        </w:tc>
        <w:tc>
          <w:tcPr>
            <w:tcW w:w="760" w:type="dxa"/>
            <w:vAlign w:val="bottom"/>
            <w:gridSpan w:val="3"/>
            <w:shd w:val="clear" w:color="auto" w:fill="D2DCE5"/>
          </w:tcPr>
          <w:p>
            <w:pPr>
              <w:jc w:val="right"/>
              <w:ind w:right="80"/>
              <w:spacing w:after="0"/>
              <w:rPr>
                <w:sz w:val="20"/>
                <w:szCs w:val="20"/>
                <w:color w:val="auto"/>
              </w:rPr>
            </w:pPr>
            <w:r>
              <w:rPr>
                <w:rFonts w:ascii="Arial" w:cs="Arial" w:eastAsia="Arial" w:hAnsi="Arial"/>
                <w:sz w:val="18"/>
                <w:szCs w:val="18"/>
                <w:b w:val="1"/>
                <w:bCs w:val="1"/>
                <w:color w:val="131E29"/>
              </w:rPr>
              <w:t>88,120</w:t>
            </w:r>
          </w:p>
        </w:tc>
        <w:tc>
          <w:tcPr>
            <w:tcW w:w="0" w:type="dxa"/>
            <w:vAlign w:val="bottom"/>
          </w:tcPr>
          <w:p>
            <w:pPr>
              <w:spacing w:after="0"/>
              <w:rPr>
                <w:sz w:val="1"/>
                <w:szCs w:val="1"/>
                <w:color w:val="auto"/>
              </w:rPr>
            </w:pPr>
          </w:p>
        </w:tc>
      </w:tr>
      <w:tr>
        <w:trPr>
          <w:trHeight w:val="270"/>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Equity-based compensation</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006098"/>
              </w:rPr>
              <w:t>6,955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131E29"/>
              </w:rPr>
              <w:t>4,648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006098"/>
              </w:rPr>
              <w:t>19,112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131E29"/>
              </w:rPr>
              <w:t>13,513</w:t>
            </w:r>
          </w:p>
        </w:tc>
        <w:tc>
          <w:tcPr>
            <w:tcW w:w="0" w:type="dxa"/>
            <w:vAlign w:val="bottom"/>
          </w:tcPr>
          <w:p>
            <w:pPr>
              <w:spacing w:after="0"/>
              <w:rPr>
                <w:sz w:val="1"/>
                <w:szCs w:val="1"/>
                <w:color w:val="auto"/>
              </w:rPr>
            </w:pPr>
          </w:p>
        </w:tc>
      </w:tr>
      <w:tr>
        <w:trPr>
          <w:trHeight w:val="270"/>
        </w:trPr>
        <w:tc>
          <w:tcPr>
            <w:tcW w:w="4920" w:type="dxa"/>
            <w:vAlign w:val="bottom"/>
            <w:gridSpan w:val="8"/>
            <w:shd w:val="clear" w:color="auto" w:fill="D2DCE5"/>
          </w:tcPr>
          <w:p>
            <w:pPr>
              <w:ind w:left="240"/>
              <w:spacing w:after="0"/>
              <w:rPr>
                <w:sz w:val="20"/>
                <w:szCs w:val="20"/>
                <w:color w:val="auto"/>
              </w:rPr>
            </w:pPr>
            <w:r>
              <w:rPr>
                <w:rFonts w:ascii="Arial" w:cs="Arial" w:eastAsia="Arial" w:hAnsi="Arial"/>
                <w:sz w:val="18"/>
                <w:szCs w:val="18"/>
                <w:color w:val="131E29"/>
              </w:rPr>
              <w:t>Expenses associated with 2022 credit facility refinancing</w:t>
            </w:r>
          </w:p>
        </w:tc>
        <w:tc>
          <w:tcPr>
            <w:tcW w:w="5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5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500" w:type="dxa"/>
            <w:vAlign w:val="bottom"/>
            <w:gridSpan w:val="2"/>
            <w:shd w:val="clear" w:color="auto" w:fill="D2DCE5"/>
          </w:tcPr>
          <w:p>
            <w:pPr>
              <w:jc w:val="right"/>
              <w:ind w:right="90"/>
              <w:spacing w:after="0"/>
              <w:rPr>
                <w:sz w:val="20"/>
                <w:szCs w:val="20"/>
                <w:color w:val="auto"/>
              </w:rPr>
            </w:pPr>
            <w:r>
              <w:rPr>
                <w:rFonts w:ascii="Arial" w:cs="Arial" w:eastAsia="Arial" w:hAnsi="Arial"/>
                <w:sz w:val="18"/>
                <w:szCs w:val="18"/>
                <w:color w:val="006098"/>
              </w:rPr>
              <w:t>—</w:t>
            </w: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120" w:type="dxa"/>
            <w:vAlign w:val="bottom"/>
            <w:gridSpan w:val="4"/>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40" w:type="dxa"/>
            <w:vAlign w:val="bottom"/>
            <w:shd w:val="clear" w:color="auto" w:fill="D2DCE5"/>
          </w:tcPr>
          <w:p>
            <w:pPr>
              <w:spacing w:after="0"/>
              <w:rPr>
                <w:sz w:val="23"/>
                <w:szCs w:val="23"/>
                <w:color w:val="auto"/>
              </w:rPr>
            </w:pPr>
          </w:p>
        </w:tc>
        <w:tc>
          <w:tcPr>
            <w:tcW w:w="4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2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760" w:type="dxa"/>
            <w:vAlign w:val="bottom"/>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2,000</w:t>
            </w:r>
          </w:p>
        </w:tc>
        <w:tc>
          <w:tcPr>
            <w:tcW w:w="0" w:type="dxa"/>
            <w:vAlign w:val="bottom"/>
          </w:tcPr>
          <w:p>
            <w:pPr>
              <w:spacing w:after="0"/>
              <w:rPr>
                <w:sz w:val="1"/>
                <w:szCs w:val="1"/>
                <w:color w:val="auto"/>
              </w:rPr>
            </w:pPr>
          </w:p>
        </w:tc>
      </w:tr>
      <w:tr>
        <w:trPr>
          <w:trHeight w:val="270"/>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Acquisitions-related costs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006098"/>
              </w:rPr>
              <w:t>1,209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131E29"/>
              </w:rPr>
              <w:t>—</w:t>
            </w:r>
          </w:p>
        </w:tc>
        <w:tc>
          <w:tcPr>
            <w:tcW w:w="140" w:type="dxa"/>
            <w:vAlign w:val="bottom"/>
          </w:tcPr>
          <w:p>
            <w:pPr>
              <w:spacing w:after="0"/>
              <w:rPr>
                <w:sz w:val="23"/>
                <w:szCs w:val="23"/>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006098"/>
              </w:rPr>
              <w:t>1,518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TRAs remeasurements</w:t>
            </w:r>
          </w:p>
        </w:tc>
        <w:tc>
          <w:tcPr>
            <w:tcW w:w="8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5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437</w:t>
            </w: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120" w:type="dxa"/>
            <w:vAlign w:val="bottom"/>
            <w:gridSpan w:val="4"/>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40" w:type="dxa"/>
            <w:vAlign w:val="bottom"/>
            <w:shd w:val="clear" w:color="auto" w:fill="D2DCE5"/>
          </w:tcPr>
          <w:p>
            <w:pPr>
              <w:spacing w:after="0"/>
              <w:rPr>
                <w:sz w:val="23"/>
                <w:szCs w:val="23"/>
                <w:color w:val="auto"/>
              </w:rPr>
            </w:pPr>
          </w:p>
        </w:tc>
        <w:tc>
          <w:tcPr>
            <w:tcW w:w="4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2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68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3820" w:type="dxa"/>
            <w:vAlign w:val="bottom"/>
            <w:gridSpan w:val="4"/>
          </w:tcPr>
          <w:p>
            <w:pPr>
              <w:ind w:left="240"/>
              <w:spacing w:after="0"/>
              <w:rPr>
                <w:sz w:val="20"/>
                <w:szCs w:val="20"/>
                <w:color w:val="auto"/>
              </w:rPr>
            </w:pPr>
            <w:r>
              <w:rPr>
                <w:rFonts w:ascii="Arial" w:cs="Arial" w:eastAsia="Arial" w:hAnsi="Arial"/>
                <w:sz w:val="18"/>
                <w:szCs w:val="18"/>
                <w:color w:val="131E29"/>
              </w:rPr>
              <w:t>Organization realignment and restructuring</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006098"/>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131E29"/>
              </w:rPr>
              <w:t>2,650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006098"/>
              </w:rPr>
              <w:t>1,831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131E29"/>
              </w:rPr>
              <w:t>5,641</w:t>
            </w: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D2DCE5"/>
          </w:tcPr>
          <w:p>
            <w:pPr>
              <w:ind w:left="240"/>
              <w:spacing w:after="0"/>
              <w:rPr>
                <w:sz w:val="20"/>
                <w:szCs w:val="20"/>
                <w:color w:val="auto"/>
              </w:rPr>
            </w:pPr>
            <w:r>
              <w:rPr>
                <w:rFonts w:ascii="Arial" w:cs="Arial" w:eastAsia="Arial" w:hAnsi="Arial"/>
                <w:sz w:val="18"/>
                <w:szCs w:val="18"/>
                <w:color w:val="131E29"/>
              </w:rPr>
              <w:t>Income tax effects</w:t>
            </w:r>
          </w:p>
        </w:tc>
        <w:tc>
          <w:tcPr>
            <w:tcW w:w="8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tcBorders>
              <w:bottom w:val="single" w:sz="8" w:color="auto"/>
            </w:tcBorders>
            <w:shd w:val="clear" w:color="auto" w:fill="D2DCE5"/>
          </w:tcPr>
          <w:p>
            <w:pPr>
              <w:spacing w:after="0"/>
              <w:rPr>
                <w:sz w:val="23"/>
                <w:szCs w:val="23"/>
                <w:color w:val="auto"/>
              </w:rPr>
            </w:pPr>
          </w:p>
        </w:tc>
        <w:tc>
          <w:tcPr>
            <w:tcW w:w="1200" w:type="dxa"/>
            <w:vAlign w:val="bottom"/>
            <w:tcBorders>
              <w:bottom w:val="single" w:sz="8" w:color="auto"/>
            </w:tcBorders>
            <w:gridSpan w:val="5"/>
            <w:shd w:val="clear" w:color="auto" w:fill="D2DCE5"/>
          </w:tcPr>
          <w:p>
            <w:pPr>
              <w:jc w:val="right"/>
              <w:spacing w:after="0"/>
              <w:rPr>
                <w:sz w:val="20"/>
                <w:szCs w:val="20"/>
                <w:color w:val="auto"/>
              </w:rPr>
            </w:pPr>
            <w:r>
              <w:rPr>
                <w:rFonts w:ascii="Arial" w:cs="Arial" w:eastAsia="Arial" w:hAnsi="Arial"/>
                <w:sz w:val="18"/>
                <w:szCs w:val="18"/>
                <w:color w:val="006098"/>
              </w:rPr>
              <w:t>(1,724)</w:t>
            </w:r>
          </w:p>
        </w:tc>
        <w:tc>
          <w:tcPr>
            <w:tcW w:w="100" w:type="dxa"/>
            <w:vAlign w:val="bottom"/>
            <w:shd w:val="clear" w:color="auto" w:fill="D2DCE5"/>
          </w:tcPr>
          <w:p>
            <w:pPr>
              <w:spacing w:after="0"/>
              <w:rPr>
                <w:sz w:val="23"/>
                <w:szCs w:val="23"/>
                <w:color w:val="auto"/>
              </w:rPr>
            </w:pPr>
          </w:p>
        </w:tc>
        <w:tc>
          <w:tcPr>
            <w:tcW w:w="80" w:type="dxa"/>
            <w:vAlign w:val="bottom"/>
            <w:tcBorders>
              <w:bottom w:val="single" w:sz="8" w:color="auto"/>
            </w:tcBorders>
            <w:shd w:val="clear" w:color="auto" w:fill="D2DCE5"/>
          </w:tcPr>
          <w:p>
            <w:pPr>
              <w:spacing w:after="0"/>
              <w:rPr>
                <w:sz w:val="23"/>
                <w:szCs w:val="23"/>
                <w:color w:val="auto"/>
              </w:rPr>
            </w:pPr>
          </w:p>
        </w:tc>
        <w:tc>
          <w:tcPr>
            <w:tcW w:w="100" w:type="dxa"/>
            <w:vAlign w:val="bottom"/>
            <w:tcBorders>
              <w:bottom w:val="single" w:sz="8" w:color="auto"/>
            </w:tcBorders>
            <w:shd w:val="clear" w:color="auto" w:fill="D2DCE5"/>
          </w:tcPr>
          <w:p>
            <w:pPr>
              <w:spacing w:after="0"/>
              <w:rPr>
                <w:sz w:val="23"/>
                <w:szCs w:val="23"/>
                <w:color w:val="auto"/>
              </w:rPr>
            </w:pPr>
          </w:p>
        </w:tc>
        <w:tc>
          <w:tcPr>
            <w:tcW w:w="1120" w:type="dxa"/>
            <w:vAlign w:val="bottom"/>
            <w:tcBorders>
              <w:bottom w:val="single" w:sz="8" w:color="auto"/>
            </w:tcBorders>
            <w:gridSpan w:val="3"/>
            <w:shd w:val="clear" w:color="auto" w:fill="D2DCE5"/>
          </w:tcPr>
          <w:p>
            <w:pPr>
              <w:jc w:val="right"/>
              <w:ind w:right="20"/>
              <w:spacing w:after="0"/>
              <w:rPr>
                <w:sz w:val="20"/>
                <w:szCs w:val="20"/>
                <w:color w:val="auto"/>
              </w:rPr>
            </w:pPr>
            <w:r>
              <w:rPr>
                <w:rFonts w:ascii="Arial" w:cs="Arial" w:eastAsia="Arial" w:hAnsi="Arial"/>
                <w:sz w:val="18"/>
                <w:szCs w:val="18"/>
                <w:color w:val="131E29"/>
              </w:rPr>
              <w:t>(1,080)</w:t>
            </w:r>
          </w:p>
        </w:tc>
        <w:tc>
          <w:tcPr>
            <w:tcW w:w="20" w:type="dxa"/>
            <w:vAlign w:val="bottom"/>
            <w:tcBorders>
              <w:bottom w:val="single" w:sz="8" w:color="auto"/>
            </w:tcBorders>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tcBorders>
              <w:bottom w:val="single" w:sz="8" w:color="auto"/>
            </w:tcBorders>
            <w:shd w:val="clear" w:color="auto" w:fill="D2DCE5"/>
          </w:tcPr>
          <w:p>
            <w:pPr>
              <w:spacing w:after="0"/>
              <w:rPr>
                <w:sz w:val="23"/>
                <w:szCs w:val="23"/>
                <w:color w:val="auto"/>
              </w:rPr>
            </w:pPr>
          </w:p>
        </w:tc>
        <w:tc>
          <w:tcPr>
            <w:tcW w:w="1100" w:type="dxa"/>
            <w:vAlign w:val="bottom"/>
            <w:tcBorders>
              <w:bottom w:val="single" w:sz="8" w:color="auto"/>
            </w:tcBorders>
            <w:gridSpan w:val="7"/>
            <w:shd w:val="clear" w:color="auto" w:fill="D2DCE5"/>
          </w:tcPr>
          <w:p>
            <w:pPr>
              <w:jc w:val="right"/>
              <w:spacing w:after="0"/>
              <w:rPr>
                <w:sz w:val="20"/>
                <w:szCs w:val="20"/>
                <w:color w:val="auto"/>
              </w:rPr>
            </w:pPr>
            <w:r>
              <w:rPr>
                <w:rFonts w:ascii="Arial" w:cs="Arial" w:eastAsia="Arial" w:hAnsi="Arial"/>
                <w:sz w:val="18"/>
                <w:szCs w:val="18"/>
                <w:color w:val="006098"/>
              </w:rPr>
              <w:t>(3,949)</w:t>
            </w:r>
          </w:p>
        </w:tc>
        <w:tc>
          <w:tcPr>
            <w:tcW w:w="100" w:type="dxa"/>
            <w:vAlign w:val="bottom"/>
            <w:shd w:val="clear" w:color="auto" w:fill="D2DCE5"/>
          </w:tcPr>
          <w:p>
            <w:pPr>
              <w:spacing w:after="0"/>
              <w:rPr>
                <w:sz w:val="23"/>
                <w:szCs w:val="23"/>
                <w:color w:val="auto"/>
              </w:rPr>
            </w:pPr>
          </w:p>
        </w:tc>
        <w:tc>
          <w:tcPr>
            <w:tcW w:w="360" w:type="dxa"/>
            <w:vAlign w:val="bottom"/>
            <w:tcBorders>
              <w:bottom w:val="single" w:sz="8" w:color="auto"/>
            </w:tcBorders>
            <w:shd w:val="clear" w:color="auto" w:fill="D2DCE5"/>
          </w:tcPr>
          <w:p>
            <w:pPr>
              <w:spacing w:after="0"/>
              <w:rPr>
                <w:sz w:val="23"/>
                <w:szCs w:val="23"/>
                <w:color w:val="auto"/>
              </w:rPr>
            </w:pPr>
          </w:p>
        </w:tc>
        <w:tc>
          <w:tcPr>
            <w:tcW w:w="100" w:type="dxa"/>
            <w:vAlign w:val="bottom"/>
            <w:tcBorders>
              <w:bottom w:val="single" w:sz="8" w:color="auto"/>
            </w:tcBorders>
            <w:shd w:val="clear" w:color="auto" w:fill="D2DCE5"/>
          </w:tcPr>
          <w:p>
            <w:pPr>
              <w:spacing w:after="0"/>
              <w:rPr>
                <w:sz w:val="23"/>
                <w:szCs w:val="23"/>
                <w:color w:val="auto"/>
              </w:rPr>
            </w:pPr>
          </w:p>
        </w:tc>
        <w:tc>
          <w:tcPr>
            <w:tcW w:w="760" w:type="dxa"/>
            <w:vAlign w:val="bottom"/>
            <w:tcBorders>
              <w:bottom w:val="single" w:sz="8" w:color="auto"/>
            </w:tcBorders>
            <w:gridSpan w:val="3"/>
            <w:shd w:val="clear" w:color="auto" w:fill="D2DCE5"/>
          </w:tcPr>
          <w:p>
            <w:pPr>
              <w:jc w:val="right"/>
              <w:ind w:right="20"/>
              <w:spacing w:after="0"/>
              <w:rPr>
                <w:sz w:val="20"/>
                <w:szCs w:val="20"/>
                <w:color w:val="auto"/>
              </w:rPr>
            </w:pPr>
            <w:r>
              <w:rPr>
                <w:rFonts w:ascii="Arial" w:cs="Arial" w:eastAsia="Arial" w:hAnsi="Arial"/>
                <w:sz w:val="18"/>
                <w:szCs w:val="18"/>
                <w:color w:val="131E29"/>
              </w:rPr>
              <w:t>(5,461)</w:t>
            </w:r>
          </w:p>
        </w:tc>
        <w:tc>
          <w:tcPr>
            <w:tcW w:w="0" w:type="dxa"/>
            <w:vAlign w:val="bottom"/>
          </w:tcPr>
          <w:p>
            <w:pPr>
              <w:spacing w:after="0"/>
              <w:rPr>
                <w:sz w:val="1"/>
                <w:szCs w:val="1"/>
                <w:color w:val="auto"/>
              </w:rPr>
            </w:pPr>
          </w:p>
        </w:tc>
      </w:tr>
      <w:tr>
        <w:trPr>
          <w:trHeight w:val="264"/>
        </w:trPr>
        <w:tc>
          <w:tcPr>
            <w:tcW w:w="3820" w:type="dxa"/>
            <w:vAlign w:val="bottom"/>
            <w:gridSpan w:val="4"/>
          </w:tcPr>
          <w:p>
            <w:pPr>
              <w:ind w:left="360"/>
              <w:spacing w:after="0"/>
              <w:rPr>
                <w:sz w:val="20"/>
                <w:szCs w:val="20"/>
                <w:color w:val="auto"/>
              </w:rPr>
            </w:pPr>
            <w:r>
              <w:rPr>
                <w:rFonts w:ascii="Arial" w:cs="Arial" w:eastAsia="Arial" w:hAnsi="Arial"/>
                <w:sz w:val="18"/>
                <w:szCs w:val="18"/>
                <w:b w:val="1"/>
                <w:bCs w:val="1"/>
                <w:color w:val="131E29"/>
              </w:rPr>
              <w:t>Adjusted net income</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006098"/>
              </w:rPr>
              <w:t>$</w:t>
            </w:r>
          </w:p>
        </w:tc>
        <w:tc>
          <w:tcPr>
            <w:tcW w:w="1200" w:type="dxa"/>
            <w:vAlign w:val="bottom"/>
            <w:gridSpan w:val="5"/>
          </w:tcPr>
          <w:p>
            <w:pPr>
              <w:jc w:val="right"/>
              <w:spacing w:after="0"/>
              <w:rPr>
                <w:sz w:val="20"/>
                <w:szCs w:val="20"/>
                <w:color w:val="auto"/>
              </w:rPr>
            </w:pPr>
            <w:r>
              <w:rPr>
                <w:rFonts w:ascii="Arial" w:cs="Arial" w:eastAsia="Arial" w:hAnsi="Arial"/>
                <w:sz w:val="18"/>
                <w:szCs w:val="18"/>
                <w:b w:val="1"/>
                <w:bCs w:val="1"/>
                <w:color w:val="006098"/>
              </w:rPr>
              <w:t>44,105</w:t>
            </w:r>
          </w:p>
        </w:tc>
        <w:tc>
          <w:tcPr>
            <w:tcW w:w="100" w:type="dxa"/>
            <w:vAlign w:val="bottom"/>
          </w:tcPr>
          <w:p>
            <w:pPr>
              <w:spacing w:after="0"/>
              <w:rPr>
                <w:sz w:val="22"/>
                <w:szCs w:val="2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31E29"/>
                <w:w w:val="79"/>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131E29"/>
              </w:rPr>
              <w:t>33,501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gridSpan w:val="6"/>
          </w:tcPr>
          <w:p>
            <w:pPr>
              <w:jc w:val="right"/>
              <w:spacing w:after="0"/>
              <w:rPr>
                <w:sz w:val="20"/>
                <w:szCs w:val="20"/>
                <w:color w:val="auto"/>
              </w:rPr>
            </w:pPr>
            <w:r>
              <w:rPr>
                <w:rFonts w:ascii="Arial" w:cs="Arial" w:eastAsia="Arial" w:hAnsi="Arial"/>
                <w:sz w:val="18"/>
                <w:szCs w:val="18"/>
                <w:b w:val="1"/>
                <w:bCs w:val="1"/>
                <w:color w:val="006098"/>
              </w:rPr>
              <w:t>131,009</w:t>
            </w:r>
          </w:p>
        </w:tc>
        <w:tc>
          <w:tcPr>
            <w:tcW w:w="540" w:type="dxa"/>
            <w:vAlign w:val="bottom"/>
            <w:gridSpan w:val="3"/>
          </w:tcPr>
          <w:p>
            <w:pPr>
              <w:ind w:left="18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131E29"/>
              </w:rPr>
              <w:t>103,813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500"/>
        <w:spacing w:after="0"/>
        <w:rPr>
          <w:sz w:val="20"/>
          <w:szCs w:val="20"/>
          <w:color w:val="auto"/>
        </w:rPr>
      </w:pPr>
      <w:r>
        <w:rPr>
          <w:sz w:val="1"/>
          <w:szCs w:val="1"/>
          <w:color w:val="auto"/>
        </w:rPr>
        <w:drawing>
          <wp:inline distT="0" distB="0" distL="0" distR="0">
            <wp:extent cx="171450" cy="24003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316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52" w:lineRule="exact"/>
        <w:rPr>
          <w:sz w:val="20"/>
          <w:szCs w:val="20"/>
          <w:color w:val="auto"/>
        </w:rPr>
      </w:pPr>
    </w:p>
    <w:p>
      <w:pPr>
        <w:ind w:left="140"/>
        <w:spacing w:after="0" w:line="281" w:lineRule="auto"/>
        <w:rPr>
          <w:sz w:val="20"/>
          <w:szCs w:val="20"/>
          <w:color w:val="auto"/>
        </w:rPr>
      </w:pPr>
      <w:r>
        <w:rPr>
          <w:rFonts w:ascii="Arial" w:cs="Arial" w:eastAsia="Arial" w:hAnsi="Arial"/>
          <w:sz w:val="18"/>
          <w:szCs w:val="18"/>
          <w:b w:val="1"/>
          <w:bCs w:val="1"/>
          <w:color w:val="131E29"/>
        </w:rPr>
        <w:t>Weighted-average shares of Class A common stock outstanding - basic</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131E29"/>
        </w:rPr>
        <w:t>Dilutive effects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40"/>
        <w:spacing w:after="0" w:line="281" w:lineRule="auto"/>
        <w:rPr>
          <w:sz w:val="20"/>
          <w:szCs w:val="20"/>
          <w:color w:val="auto"/>
        </w:rPr>
      </w:pPr>
      <w:r>
        <w:rPr>
          <w:rFonts w:ascii="Arial" w:cs="Arial" w:eastAsia="Arial" w:hAnsi="Arial"/>
          <w:sz w:val="18"/>
          <w:szCs w:val="18"/>
          <w:b w:val="1"/>
          <w:bCs w:val="1"/>
          <w:color w:val="131E29"/>
        </w:rPr>
        <w:t>Weighted-average shares of Class A common stock outstanding - diluted</w:t>
      </w:r>
    </w:p>
    <w:p>
      <w:pPr>
        <w:spacing w:after="0" w:line="1" w:lineRule="exact"/>
        <w:rPr>
          <w:sz w:val="20"/>
          <w:szCs w:val="20"/>
          <w:color w:val="auto"/>
        </w:rPr>
      </w:pPr>
    </w:p>
    <w:p>
      <w:pPr>
        <w:ind w:left="240" w:right="100"/>
        <w:spacing w:after="0" w:line="281" w:lineRule="auto"/>
        <w:rPr>
          <w:sz w:val="20"/>
          <w:szCs w:val="20"/>
          <w:color w:val="auto"/>
        </w:rPr>
      </w:pPr>
      <w:r>
        <w:rPr>
          <w:rFonts w:ascii="Arial" w:cs="Arial" w:eastAsia="Arial" w:hAnsi="Arial"/>
          <w:sz w:val="18"/>
          <w:szCs w:val="18"/>
          <w:color w:val="131E29"/>
        </w:rPr>
        <w:t>Assumed exchange of weighted-average Dutch Bros OpCo Class A common units for shares of Dutch Bros Inc.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40" w:right="200"/>
        <w:spacing w:after="0" w:line="296" w:lineRule="auto"/>
        <w:rPr>
          <w:sz w:val="20"/>
          <w:szCs w:val="20"/>
          <w:color w:val="auto"/>
        </w:rPr>
      </w:pPr>
      <w:r>
        <w:rPr>
          <w:rFonts w:ascii="Arial" w:cs="Arial" w:eastAsia="Arial" w:hAnsi="Arial"/>
          <w:sz w:val="18"/>
          <w:szCs w:val="18"/>
          <w:b w:val="1"/>
          <w:bCs w:val="1"/>
          <w:color w:val="131E29"/>
        </w:rPr>
        <w:t>Adjusted fully exchanged weighted-average shares of common stock outstanding - diluted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131E29"/>
                <w:w w:val="99"/>
              </w:rPr>
              <w:t>Three Months Ended</w:t>
            </w:r>
          </w:p>
        </w:tc>
        <w:tc>
          <w:tcPr>
            <w:tcW w:w="26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131E29"/>
              </w:rPr>
              <w:t>Nine Months Ended</w:t>
            </w:r>
          </w:p>
        </w:tc>
      </w:tr>
      <w:tr>
        <w:trPr>
          <w:trHeight w:val="255"/>
        </w:trPr>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131E29"/>
              </w:rPr>
              <w:t>September 30,</w:t>
            </w:r>
          </w:p>
        </w:tc>
        <w:tc>
          <w:tcPr>
            <w:tcW w:w="2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131E29"/>
              </w:rPr>
              <w:t>September 30,</w:t>
            </w:r>
          </w:p>
        </w:tc>
      </w:tr>
      <w:tr>
        <w:trPr>
          <w:trHeight w:val="263"/>
        </w:trPr>
        <w:tc>
          <w:tcPr>
            <w:tcW w:w="12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top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2025</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top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2025</w:t>
            </w:r>
          </w:p>
        </w:tc>
      </w:tr>
      <w:tr>
        <w:trPr>
          <w:trHeight w:val="494"/>
        </w:trPr>
        <w:tc>
          <w:tcPr>
            <w:tcW w:w="1240" w:type="dxa"/>
            <w:vAlign w:val="bottom"/>
          </w:tcPr>
          <w:p>
            <w:pPr>
              <w:jc w:val="right"/>
              <w:spacing w:after="0"/>
              <w:rPr>
                <w:sz w:val="20"/>
                <w:szCs w:val="20"/>
                <w:color w:val="auto"/>
              </w:rPr>
            </w:pPr>
            <w:r>
              <w:rPr>
                <w:rFonts w:ascii="Arial" w:cs="Arial" w:eastAsia="Arial" w:hAnsi="Arial"/>
                <w:sz w:val="18"/>
                <w:szCs w:val="18"/>
                <w:b w:val="1"/>
                <w:bCs w:val="1"/>
                <w:color w:val="006098"/>
              </w:rPr>
              <w:t>137,941</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131E29"/>
              </w:rPr>
              <w:t>126,986</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006098"/>
              </w:rPr>
              <w:t>133,230</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131E29"/>
              </w:rPr>
              <w:t>124,751</w:t>
            </w:r>
          </w:p>
        </w:tc>
      </w:tr>
      <w:tr>
        <w:trPr>
          <w:trHeight w:val="262"/>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237</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393</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158</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453</w:t>
            </w:r>
          </w:p>
        </w:tc>
      </w:tr>
      <w:tr>
        <w:trPr>
          <w:trHeight w:val="478"/>
        </w:trPr>
        <w:tc>
          <w:tcPr>
            <w:tcW w:w="1240" w:type="dxa"/>
            <w:vAlign w:val="bottom"/>
          </w:tcPr>
          <w:p>
            <w:pPr>
              <w:jc w:val="right"/>
              <w:spacing w:after="0"/>
              <w:rPr>
                <w:sz w:val="20"/>
                <w:szCs w:val="20"/>
                <w:color w:val="auto"/>
              </w:rPr>
            </w:pPr>
            <w:r>
              <w:rPr>
                <w:rFonts w:ascii="Arial" w:cs="Arial" w:eastAsia="Arial" w:hAnsi="Arial"/>
                <w:sz w:val="18"/>
                <w:szCs w:val="18"/>
                <w:b w:val="1"/>
                <w:bCs w:val="1"/>
                <w:color w:val="006098"/>
              </w:rPr>
              <w:t>138,178</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131E29"/>
              </w:rPr>
              <w:t>127,379</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006098"/>
              </w:rPr>
              <w:t>133,388</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131E29"/>
              </w:rPr>
              <w:t>125,204</w:t>
            </w:r>
          </w:p>
        </w:tc>
      </w:tr>
      <w:tr>
        <w:trPr>
          <w:trHeight w:val="474"/>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39,823</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50,524</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44,478</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52,674</w:t>
            </w:r>
          </w:p>
        </w:tc>
      </w:tr>
      <w:tr>
        <w:trPr>
          <w:trHeight w:val="439"/>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178,001</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177,903</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177,866</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177,878</w:t>
            </w: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ectPr>
          <w:pgSz w:w="11900" w:h="16838" w:orient="portrait"/>
          <w:cols w:equalWidth="0" w:num="2">
            <w:col w:w="5740" w:space="200"/>
            <w:col w:w="5300"/>
          </w:cols>
          <w:pgMar w:left="320" w:top="1440" w:right="339" w:bottom="1440" w:gutter="0" w:footer="0" w:header="0"/>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40" w:type="dxa"/>
            <w:vAlign w:val="bottom"/>
            <w:shd w:val="clear" w:color="auto" w:fill="D2DCE5"/>
          </w:tcPr>
          <w:p>
            <w:pPr>
              <w:ind w:left="140"/>
              <w:spacing w:after="0"/>
              <w:rPr>
                <w:sz w:val="20"/>
                <w:szCs w:val="20"/>
                <w:color w:val="auto"/>
              </w:rPr>
            </w:pPr>
            <w:r>
              <w:rPr>
                <w:rFonts w:ascii="Arial" w:cs="Arial" w:eastAsia="Arial" w:hAnsi="Arial"/>
                <w:sz w:val="18"/>
                <w:szCs w:val="18"/>
                <w:b w:val="1"/>
                <w:bCs w:val="1"/>
                <w:color w:val="131E29"/>
              </w:rPr>
              <w:t>Net income per share of Class A common stock - diluted</w:t>
            </w: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0.20</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0.14</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0.60</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0.47</w:t>
            </w:r>
          </w:p>
        </w:tc>
        <w:tc>
          <w:tcPr>
            <w:tcW w:w="0" w:type="dxa"/>
            <w:vAlign w:val="bottom"/>
          </w:tcPr>
          <w:p>
            <w:pPr>
              <w:spacing w:after="0"/>
              <w:rPr>
                <w:sz w:val="1"/>
                <w:szCs w:val="1"/>
                <w:color w:val="auto"/>
              </w:rPr>
            </w:pPr>
          </w:p>
        </w:tc>
      </w:tr>
      <w:tr>
        <w:trPr>
          <w:trHeight w:val="270"/>
        </w:trPr>
        <w:tc>
          <w:tcPr>
            <w:tcW w:w="5940" w:type="dxa"/>
            <w:vAlign w:val="bottom"/>
          </w:tcPr>
          <w:p>
            <w:pPr>
              <w:ind w:left="240"/>
              <w:spacing w:after="0"/>
              <w:rPr>
                <w:sz w:val="20"/>
                <w:szCs w:val="20"/>
                <w:color w:val="auto"/>
              </w:rPr>
            </w:pPr>
            <w:r>
              <w:rPr>
                <w:rFonts w:ascii="Arial" w:cs="Arial" w:eastAsia="Arial" w:hAnsi="Arial"/>
                <w:sz w:val="18"/>
                <w:szCs w:val="18"/>
                <w:color w:val="131E29"/>
              </w:rPr>
              <w:t>Controlling and non-controlling interest adjustments</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006098"/>
              </w:rPr>
              <w:t>0.01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131E29"/>
              </w:rPr>
              <w:t>0.02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006098"/>
              </w:rPr>
              <w:t>0.04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131E29"/>
              </w:rPr>
              <w:t>0.02</w:t>
            </w:r>
          </w:p>
        </w:tc>
        <w:tc>
          <w:tcPr>
            <w:tcW w:w="0" w:type="dxa"/>
            <w:vAlign w:val="bottom"/>
          </w:tcPr>
          <w:p>
            <w:pPr>
              <w:spacing w:after="0"/>
              <w:rPr>
                <w:sz w:val="1"/>
                <w:szCs w:val="1"/>
                <w:color w:val="auto"/>
              </w:rPr>
            </w:pPr>
          </w:p>
        </w:tc>
      </w:tr>
      <w:tr>
        <w:trPr>
          <w:trHeight w:val="270"/>
        </w:trPr>
        <w:tc>
          <w:tcPr>
            <w:tcW w:w="5940" w:type="dxa"/>
            <w:vAlign w:val="bottom"/>
            <w:shd w:val="clear" w:color="auto" w:fill="D2DCE5"/>
          </w:tcPr>
          <w:p>
            <w:pPr>
              <w:ind w:left="240"/>
              <w:spacing w:after="0"/>
              <w:rPr>
                <w:sz w:val="20"/>
                <w:szCs w:val="20"/>
                <w:color w:val="auto"/>
              </w:rPr>
            </w:pPr>
            <w:r>
              <w:rPr>
                <w:rFonts w:ascii="Arial" w:cs="Arial" w:eastAsia="Arial" w:hAnsi="Arial"/>
                <w:sz w:val="18"/>
                <w:szCs w:val="18"/>
                <w:color w:val="131E29"/>
              </w:rPr>
              <w:t>Equity-based compensation</w:t>
            </w:r>
          </w:p>
        </w:tc>
        <w:tc>
          <w:tcPr>
            <w:tcW w:w="44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0.04</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0.03</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0.10</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0.09</w:t>
            </w:r>
          </w:p>
        </w:tc>
        <w:tc>
          <w:tcPr>
            <w:tcW w:w="0" w:type="dxa"/>
            <w:vAlign w:val="bottom"/>
          </w:tcPr>
          <w:p>
            <w:pPr>
              <w:spacing w:after="0"/>
              <w:rPr>
                <w:sz w:val="1"/>
                <w:szCs w:val="1"/>
                <w:color w:val="auto"/>
              </w:rPr>
            </w:pPr>
          </w:p>
        </w:tc>
      </w:tr>
      <w:tr>
        <w:trPr>
          <w:trHeight w:val="270"/>
        </w:trPr>
        <w:tc>
          <w:tcPr>
            <w:tcW w:w="5940" w:type="dxa"/>
            <w:vAlign w:val="bottom"/>
          </w:tcPr>
          <w:p>
            <w:pPr>
              <w:ind w:left="240"/>
              <w:spacing w:after="0"/>
              <w:rPr>
                <w:sz w:val="20"/>
                <w:szCs w:val="20"/>
                <w:color w:val="auto"/>
              </w:rPr>
            </w:pPr>
            <w:r>
              <w:rPr>
                <w:rFonts w:ascii="Arial" w:cs="Arial" w:eastAsia="Arial" w:hAnsi="Arial"/>
                <w:sz w:val="18"/>
                <w:szCs w:val="18"/>
                <w:color w:val="131E29"/>
              </w:rPr>
              <w:t>Expenses associated with 2022 credit facility refinancing</w:t>
            </w:r>
          </w:p>
        </w:tc>
        <w:tc>
          <w:tcPr>
            <w:tcW w:w="4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006098"/>
              </w:rPr>
              <w:t>—</w:t>
            </w:r>
          </w:p>
        </w:tc>
        <w:tc>
          <w:tcPr>
            <w:tcW w:w="44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4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006098"/>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131E29"/>
              </w:rPr>
              <w:t>0.01</w:t>
            </w:r>
          </w:p>
        </w:tc>
        <w:tc>
          <w:tcPr>
            <w:tcW w:w="0" w:type="dxa"/>
            <w:vAlign w:val="bottom"/>
          </w:tcPr>
          <w:p>
            <w:pPr>
              <w:spacing w:after="0"/>
              <w:rPr>
                <w:sz w:val="1"/>
                <w:szCs w:val="1"/>
                <w:color w:val="auto"/>
              </w:rPr>
            </w:pPr>
          </w:p>
        </w:tc>
      </w:tr>
      <w:tr>
        <w:trPr>
          <w:trHeight w:val="270"/>
        </w:trPr>
        <w:tc>
          <w:tcPr>
            <w:tcW w:w="5940" w:type="dxa"/>
            <w:vAlign w:val="bottom"/>
            <w:shd w:val="clear" w:color="auto" w:fill="D2DCE5"/>
          </w:tcPr>
          <w:p>
            <w:pPr>
              <w:ind w:left="240"/>
              <w:spacing w:after="0"/>
              <w:rPr>
                <w:sz w:val="20"/>
                <w:szCs w:val="20"/>
                <w:color w:val="auto"/>
              </w:rPr>
            </w:pPr>
            <w:r>
              <w:rPr>
                <w:rFonts w:ascii="Arial" w:cs="Arial" w:eastAsia="Arial" w:hAnsi="Arial"/>
                <w:sz w:val="18"/>
                <w:szCs w:val="18"/>
                <w:color w:val="131E29"/>
              </w:rPr>
              <w:t>Acquisitions-related costs</w:t>
            </w:r>
          </w:p>
        </w:tc>
        <w:tc>
          <w:tcPr>
            <w:tcW w:w="44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0.01</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92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44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0.01</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5940" w:type="dxa"/>
            <w:vAlign w:val="bottom"/>
          </w:tcPr>
          <w:p>
            <w:pPr>
              <w:ind w:left="240"/>
              <w:spacing w:after="0"/>
              <w:rPr>
                <w:sz w:val="20"/>
                <w:szCs w:val="20"/>
                <w:color w:val="auto"/>
              </w:rPr>
            </w:pPr>
            <w:r>
              <w:rPr>
                <w:rFonts w:ascii="Arial" w:cs="Arial" w:eastAsia="Arial" w:hAnsi="Arial"/>
                <w:sz w:val="18"/>
                <w:szCs w:val="18"/>
                <w:color w:val="131E29"/>
              </w:rPr>
              <w:t>TRAs remeasurements</w:t>
            </w:r>
          </w:p>
        </w:tc>
        <w:tc>
          <w:tcPr>
            <w:tcW w:w="4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006098"/>
              </w:rPr>
              <w:t>—</w:t>
            </w:r>
          </w:p>
        </w:tc>
        <w:tc>
          <w:tcPr>
            <w:tcW w:w="44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4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006098"/>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5940" w:type="dxa"/>
            <w:vAlign w:val="bottom"/>
            <w:shd w:val="clear" w:color="auto" w:fill="D2DCE5"/>
          </w:tcPr>
          <w:p>
            <w:pPr>
              <w:ind w:left="240"/>
              <w:spacing w:after="0"/>
              <w:rPr>
                <w:sz w:val="20"/>
                <w:szCs w:val="20"/>
                <w:color w:val="auto"/>
              </w:rPr>
            </w:pPr>
            <w:r>
              <w:rPr>
                <w:rFonts w:ascii="Arial" w:cs="Arial" w:eastAsia="Arial" w:hAnsi="Arial"/>
                <w:sz w:val="18"/>
                <w:szCs w:val="18"/>
                <w:color w:val="131E29"/>
              </w:rPr>
              <w:t>Organization realignment and restructurings</w:t>
            </w:r>
          </w:p>
        </w:tc>
        <w:tc>
          <w:tcPr>
            <w:tcW w:w="440" w:type="dxa"/>
            <w:vAlign w:val="bottom"/>
            <w:shd w:val="clear" w:color="auto" w:fill="D2DCE5"/>
          </w:tcPr>
          <w:p>
            <w:pPr>
              <w:spacing w:after="0"/>
              <w:rPr>
                <w:sz w:val="23"/>
                <w:szCs w:val="23"/>
                <w:color w:val="auto"/>
              </w:rPr>
            </w:pPr>
          </w:p>
        </w:tc>
        <w:tc>
          <w:tcPr>
            <w:tcW w:w="90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006098"/>
              </w:rPr>
              <w:t>—</w:t>
            </w:r>
          </w:p>
        </w:tc>
        <w:tc>
          <w:tcPr>
            <w:tcW w:w="440" w:type="dxa"/>
            <w:vAlign w:val="bottom"/>
            <w:shd w:val="clear" w:color="auto" w:fill="D2DCE5"/>
          </w:tcPr>
          <w:p>
            <w:pPr>
              <w:spacing w:after="0"/>
              <w:rPr>
                <w:sz w:val="23"/>
                <w:szCs w:val="23"/>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0.01</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0.01</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0.03</w:t>
            </w:r>
          </w:p>
        </w:tc>
        <w:tc>
          <w:tcPr>
            <w:tcW w:w="0" w:type="dxa"/>
            <w:vAlign w:val="bottom"/>
          </w:tcPr>
          <w:p>
            <w:pPr>
              <w:spacing w:after="0"/>
              <w:rPr>
                <w:sz w:val="1"/>
                <w:szCs w:val="1"/>
                <w:color w:val="auto"/>
              </w:rPr>
            </w:pPr>
          </w:p>
        </w:tc>
      </w:tr>
      <w:tr>
        <w:trPr>
          <w:trHeight w:val="270"/>
        </w:trPr>
        <w:tc>
          <w:tcPr>
            <w:tcW w:w="5940" w:type="dxa"/>
            <w:vAlign w:val="bottom"/>
            <w:tcBorders>
              <w:bottom w:val="single" w:sz="8" w:color="D2DCE5"/>
            </w:tcBorders>
          </w:tcPr>
          <w:p>
            <w:pPr>
              <w:ind w:left="240"/>
              <w:spacing w:after="0"/>
              <w:rPr>
                <w:sz w:val="20"/>
                <w:szCs w:val="20"/>
                <w:color w:val="auto"/>
              </w:rPr>
            </w:pPr>
            <w:r>
              <w:rPr>
                <w:rFonts w:ascii="Arial" w:cs="Arial" w:eastAsia="Arial" w:hAnsi="Arial"/>
                <w:sz w:val="18"/>
                <w:szCs w:val="18"/>
                <w:color w:val="131E29"/>
              </w:rPr>
              <w:t>Income tax effects</w:t>
            </w: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(0.01)</w:t>
            </w:r>
          </w:p>
        </w:tc>
        <w:tc>
          <w:tcPr>
            <w:tcW w:w="100" w:type="dxa"/>
            <w:vAlign w:val="bottom"/>
            <w:tcBorders>
              <w:bottom w:val="single" w:sz="8" w:color="D2DCE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(0.01)</w:t>
            </w:r>
          </w:p>
        </w:tc>
        <w:tc>
          <w:tcPr>
            <w:tcW w:w="100" w:type="dxa"/>
            <w:vAlign w:val="bottom"/>
            <w:tcBorders>
              <w:bottom w:val="single" w:sz="8" w:color="D2DCE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(0.02)</w:t>
            </w:r>
          </w:p>
        </w:tc>
        <w:tc>
          <w:tcPr>
            <w:tcW w:w="100" w:type="dxa"/>
            <w:vAlign w:val="bottom"/>
            <w:tcBorders>
              <w:bottom w:val="single" w:sz="8" w:color="D2DCE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(0.03)</w:t>
            </w:r>
          </w:p>
        </w:tc>
        <w:tc>
          <w:tcPr>
            <w:tcW w:w="0" w:type="dxa"/>
            <w:vAlign w:val="bottom"/>
          </w:tcPr>
          <w:p>
            <w:pPr>
              <w:spacing w:after="0"/>
              <w:rPr>
                <w:sz w:val="1"/>
                <w:szCs w:val="1"/>
                <w:color w:val="auto"/>
              </w:rPr>
            </w:pPr>
          </w:p>
        </w:tc>
      </w:tr>
      <w:tr>
        <w:trPr>
          <w:trHeight w:val="204"/>
        </w:trPr>
        <w:tc>
          <w:tcPr>
            <w:tcW w:w="5940" w:type="dxa"/>
            <w:vAlign w:val="bottom"/>
            <w:shd w:val="clear" w:color="auto" w:fill="D2DCE5"/>
          </w:tcPr>
          <w:p>
            <w:pPr>
              <w:ind w:left="140"/>
              <w:spacing w:after="0" w:line="204" w:lineRule="exact"/>
              <w:rPr>
                <w:sz w:val="20"/>
                <w:szCs w:val="20"/>
                <w:color w:val="auto"/>
              </w:rPr>
            </w:pPr>
            <w:r>
              <w:rPr>
                <w:rFonts w:ascii="Arial" w:cs="Arial" w:eastAsia="Arial" w:hAnsi="Arial"/>
                <w:sz w:val="18"/>
                <w:szCs w:val="18"/>
                <w:b w:val="1"/>
                <w:bCs w:val="1"/>
                <w:color w:val="131E29"/>
              </w:rPr>
              <w:t>Adjusted net income per fully exchanged share of diluted common</w:t>
            </w:r>
          </w:p>
        </w:tc>
        <w:tc>
          <w:tcPr>
            <w:tcW w:w="440" w:type="dxa"/>
            <w:vAlign w:val="bottom"/>
            <w:shd w:val="clear" w:color="auto" w:fill="D2DCE5"/>
          </w:tcPr>
          <w:p>
            <w:pPr>
              <w:spacing w:after="0"/>
              <w:rPr>
                <w:sz w:val="17"/>
                <w:szCs w:val="17"/>
                <w:color w:val="auto"/>
              </w:rPr>
            </w:pPr>
          </w:p>
        </w:tc>
        <w:tc>
          <w:tcPr>
            <w:tcW w:w="8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440" w:type="dxa"/>
            <w:vAlign w:val="bottom"/>
            <w:vMerge w:val="restart"/>
            <w:shd w:val="clear" w:color="auto" w:fill="D2DCE5"/>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0.19</w:t>
            </w:r>
          </w:p>
        </w:tc>
        <w:tc>
          <w:tcPr>
            <w:tcW w:w="100" w:type="dxa"/>
            <w:vAlign w:val="bottom"/>
            <w:shd w:val="clear" w:color="auto" w:fill="D2DCE5"/>
          </w:tcPr>
          <w:p>
            <w:pPr>
              <w:spacing w:after="0"/>
              <w:rPr>
                <w:sz w:val="17"/>
                <w:szCs w:val="17"/>
                <w:color w:val="auto"/>
              </w:rPr>
            </w:pPr>
          </w:p>
        </w:tc>
        <w:tc>
          <w:tcPr>
            <w:tcW w:w="440" w:type="dxa"/>
            <w:vAlign w:val="bottom"/>
            <w:shd w:val="clear" w:color="auto" w:fill="D2DCE5"/>
          </w:tcPr>
          <w:p>
            <w:pPr>
              <w:spacing w:after="0"/>
              <w:rPr>
                <w:sz w:val="17"/>
                <w:szCs w:val="17"/>
                <w:color w:val="auto"/>
              </w:rPr>
            </w:pPr>
          </w:p>
        </w:tc>
        <w:tc>
          <w:tcPr>
            <w:tcW w:w="8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440" w:type="dxa"/>
            <w:vAlign w:val="bottom"/>
            <w:vMerge w:val="restart"/>
            <w:shd w:val="clear" w:color="auto" w:fill="D2DCE5"/>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0.59</w:t>
            </w:r>
          </w:p>
        </w:tc>
        <w:tc>
          <w:tcPr>
            <w:tcW w:w="0" w:type="dxa"/>
            <w:vAlign w:val="bottom"/>
          </w:tcPr>
          <w:p>
            <w:pPr>
              <w:spacing w:after="0"/>
              <w:rPr>
                <w:sz w:val="1"/>
                <w:szCs w:val="1"/>
                <w:color w:val="auto"/>
              </w:rPr>
            </w:pPr>
          </w:p>
        </w:tc>
      </w:tr>
      <w:tr>
        <w:trPr>
          <w:trHeight w:val="255"/>
        </w:trPr>
        <w:tc>
          <w:tcPr>
            <w:tcW w:w="5940" w:type="dxa"/>
            <w:vAlign w:val="bottom"/>
            <w:tcBorders>
              <w:bottom w:val="single" w:sz="8" w:color="D2DCE5"/>
            </w:tcBorders>
            <w:shd w:val="clear" w:color="auto" w:fill="D2DCE5"/>
          </w:tcPr>
          <w:p>
            <w:pPr>
              <w:ind w:left="140"/>
              <w:spacing w:after="0"/>
              <w:rPr>
                <w:sz w:val="20"/>
                <w:szCs w:val="20"/>
                <w:color w:val="auto"/>
              </w:rPr>
            </w:pPr>
            <w:r>
              <w:rPr>
                <w:rFonts w:ascii="Arial" w:cs="Arial" w:eastAsia="Arial" w:hAnsi="Arial"/>
                <w:sz w:val="18"/>
                <w:szCs w:val="18"/>
                <w:b w:val="1"/>
                <w:bCs w:val="1"/>
                <w:color w:val="131E29"/>
              </w:rPr>
              <w:t>stock</w:t>
            </w:r>
          </w:p>
        </w:tc>
        <w:tc>
          <w:tcPr>
            <w:tcW w:w="440" w:type="dxa"/>
            <w:vAlign w:val="bottom"/>
            <w:tcBorders>
              <w:bottom w:val="single" w:sz="8" w:color="auto"/>
            </w:tcBorders>
            <w:shd w:val="clear" w:color="auto" w:fill="D2DCE5"/>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0.25</w:t>
            </w:r>
          </w:p>
        </w:tc>
        <w:tc>
          <w:tcPr>
            <w:tcW w:w="100" w:type="dxa"/>
            <w:vAlign w:val="bottom"/>
            <w:tcBorders>
              <w:bottom w:val="single" w:sz="8" w:color="D2DCE5"/>
            </w:tcBorders>
            <w:shd w:val="clear" w:color="auto" w:fill="D2DCE5"/>
          </w:tcPr>
          <w:p>
            <w:pPr>
              <w:spacing w:after="0"/>
              <w:rPr>
                <w:sz w:val="22"/>
                <w:szCs w:val="22"/>
                <w:color w:val="auto"/>
              </w:rPr>
            </w:pPr>
          </w:p>
        </w:tc>
        <w:tc>
          <w:tcPr>
            <w:tcW w:w="440" w:type="dxa"/>
            <w:vAlign w:val="bottom"/>
            <w:tcBorders>
              <w:bottom w:val="single" w:sz="8" w:color="auto"/>
            </w:tcBorders>
            <w:vMerge w:val="continue"/>
            <w:shd w:val="clear" w:color="auto" w:fill="D2DCE5"/>
          </w:tcPr>
          <w:p>
            <w:pPr>
              <w:spacing w:after="0"/>
              <w:rPr>
                <w:sz w:val="22"/>
                <w:szCs w:val="22"/>
                <w:color w:val="auto"/>
              </w:rPr>
            </w:pPr>
          </w:p>
        </w:tc>
        <w:tc>
          <w:tcPr>
            <w:tcW w:w="820" w:type="dxa"/>
            <w:vAlign w:val="bottom"/>
            <w:tcBorders>
              <w:bottom w:val="single" w:sz="8" w:color="auto"/>
            </w:tcBorders>
            <w:vMerge w:val="continue"/>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440" w:type="dxa"/>
            <w:vAlign w:val="bottom"/>
            <w:tcBorders>
              <w:bottom w:val="single" w:sz="8" w:color="auto"/>
            </w:tcBorders>
            <w:shd w:val="clear" w:color="auto" w:fill="D2DCE5"/>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0.74</w:t>
            </w:r>
          </w:p>
        </w:tc>
        <w:tc>
          <w:tcPr>
            <w:tcW w:w="100" w:type="dxa"/>
            <w:vAlign w:val="bottom"/>
            <w:tcBorders>
              <w:bottom w:val="single" w:sz="8" w:color="D2DCE5"/>
            </w:tcBorders>
            <w:shd w:val="clear" w:color="auto" w:fill="D2DCE5"/>
          </w:tcPr>
          <w:p>
            <w:pPr>
              <w:spacing w:after="0"/>
              <w:rPr>
                <w:sz w:val="22"/>
                <w:szCs w:val="22"/>
                <w:color w:val="auto"/>
              </w:rPr>
            </w:pPr>
          </w:p>
        </w:tc>
        <w:tc>
          <w:tcPr>
            <w:tcW w:w="440" w:type="dxa"/>
            <w:vAlign w:val="bottom"/>
            <w:tcBorders>
              <w:bottom w:val="single" w:sz="8" w:color="auto"/>
            </w:tcBorders>
            <w:vMerge w:val="continue"/>
            <w:shd w:val="clear" w:color="auto" w:fill="D2DCE5"/>
          </w:tcPr>
          <w:p>
            <w:pPr>
              <w:spacing w:after="0"/>
              <w:rPr>
                <w:sz w:val="22"/>
                <w:szCs w:val="22"/>
                <w:color w:val="auto"/>
              </w:rPr>
            </w:pPr>
          </w:p>
        </w:tc>
        <w:tc>
          <w:tcPr>
            <w:tcW w:w="820" w:type="dxa"/>
            <w:vAlign w:val="bottom"/>
            <w:tcBorders>
              <w:bottom w:val="single" w:sz="8" w:color="auto"/>
            </w:tcBorders>
            <w:vMerge w:val="continue"/>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D2DCE5"/>
              <w:bottom w:val="single" w:sz="8" w:color="auto"/>
            </w:tcBorders>
          </w:tcPr>
          <w:p>
            <w:pPr>
              <w:spacing w:after="0" w:line="20" w:lineRule="exact"/>
              <w:rPr>
                <w:sz w:val="1"/>
                <w:szCs w:val="1"/>
                <w:color w:val="auto"/>
              </w:rPr>
            </w:pPr>
          </w:p>
        </w:tc>
        <w:tc>
          <w:tcPr>
            <w:tcW w:w="8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D2DCE5"/>
              <w:bottom w:val="single" w:sz="8" w:color="auto"/>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D2DCE5"/>
              <w:bottom w:val="single" w:sz="8" w:color="auto"/>
            </w:tcBorders>
          </w:tcPr>
          <w:p>
            <w:pPr>
              <w:spacing w:after="0" w:line="20" w:lineRule="exact"/>
              <w:rPr>
                <w:sz w:val="1"/>
                <w:szCs w:val="1"/>
                <w:color w:val="auto"/>
              </w:rPr>
            </w:pPr>
          </w:p>
        </w:tc>
        <w:tc>
          <w:tcPr>
            <w:tcW w:w="8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D2DCE5"/>
              <w:bottom w:val="single" w:sz="8" w:color="auto"/>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06098"/>
        </w:rPr>
        <w:t>For Investor Relations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31E29"/>
        </w:rPr>
        <w:t>Neil Patel, CFA</w:t>
      </w:r>
    </w:p>
    <w:p>
      <w:pPr>
        <w:spacing w:after="0" w:line="63" w:lineRule="exact"/>
        <w:rPr>
          <w:sz w:val="20"/>
          <w:szCs w:val="20"/>
          <w:color w:val="auto"/>
        </w:rPr>
      </w:pPr>
    </w:p>
    <w:p>
      <w:pPr>
        <w:ind w:right="9140" w:firstLine="6"/>
        <w:spacing w:after="0" w:line="364" w:lineRule="auto"/>
        <w:tabs>
          <w:tab w:leader="none" w:pos="470" w:val="left"/>
        </w:tabs>
        <w:numPr>
          <w:ilvl w:val="0"/>
          <w:numId w:val="14"/>
        </w:numPr>
        <w:rPr>
          <w:rFonts w:ascii="Arial" w:cs="Arial" w:eastAsia="Arial" w:hAnsi="Arial"/>
          <w:sz w:val="17"/>
          <w:szCs w:val="17"/>
          <w:color w:val="131E29"/>
        </w:rPr>
      </w:pPr>
      <w:r>
        <w:rPr>
          <w:rFonts w:ascii="Arial" w:cs="Arial" w:eastAsia="Arial" w:hAnsi="Arial"/>
          <w:sz w:val="17"/>
          <w:szCs w:val="17"/>
          <w:color w:val="131E29"/>
        </w:rPr>
        <w:t>447-2282 neil.patel@dutchbros.com</w:t>
      </w:r>
    </w:p>
    <w:p>
      <w:pPr>
        <w:spacing w:after="0" w:line="1" w:lineRule="exact"/>
        <w:rPr>
          <w:rFonts w:ascii="Arial" w:cs="Arial" w:eastAsia="Arial" w:hAnsi="Arial"/>
          <w:sz w:val="17"/>
          <w:szCs w:val="17"/>
          <w:color w:val="131E29"/>
        </w:rPr>
      </w:pPr>
    </w:p>
    <w:p>
      <w:pPr>
        <w:spacing w:after="0"/>
        <w:rPr>
          <w:rFonts w:ascii="Arial" w:cs="Arial" w:eastAsia="Arial" w:hAnsi="Arial"/>
          <w:sz w:val="17"/>
          <w:szCs w:val="17"/>
          <w:color w:val="131E29"/>
        </w:rPr>
      </w:pPr>
      <w:r>
        <w:rPr>
          <w:rFonts w:ascii="Arial" w:cs="Arial" w:eastAsia="Arial" w:hAnsi="Arial"/>
          <w:sz w:val="18"/>
          <w:szCs w:val="18"/>
          <w:b w:val="1"/>
          <w:bCs w:val="1"/>
          <w:color w:val="006098"/>
        </w:rPr>
        <w:t>For Media Relations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31E29"/>
        </w:rPr>
        <w:t>Erin Gray</w:t>
      </w:r>
    </w:p>
    <w:p>
      <w:pPr>
        <w:spacing w:after="0" w:line="63" w:lineRule="exact"/>
        <w:rPr>
          <w:sz w:val="20"/>
          <w:szCs w:val="20"/>
          <w:color w:val="auto"/>
        </w:rPr>
      </w:pPr>
    </w:p>
    <w:p>
      <w:pPr>
        <w:ind w:right="9160" w:firstLine="6"/>
        <w:spacing w:after="0" w:line="384" w:lineRule="auto"/>
        <w:tabs>
          <w:tab w:leader="none" w:pos="470" w:val="left"/>
        </w:tabs>
        <w:numPr>
          <w:ilvl w:val="0"/>
          <w:numId w:val="15"/>
        </w:numPr>
        <w:rPr>
          <w:rFonts w:ascii="Arial" w:cs="Arial" w:eastAsia="Arial" w:hAnsi="Arial"/>
          <w:sz w:val="17"/>
          <w:szCs w:val="17"/>
          <w:color w:val="131E29"/>
        </w:rPr>
      </w:pPr>
      <w:r>
        <w:rPr>
          <w:rFonts w:ascii="Arial" w:cs="Arial" w:eastAsia="Arial" w:hAnsi="Arial"/>
          <w:sz w:val="17"/>
          <w:szCs w:val="17"/>
          <w:color w:val="131E29"/>
        </w:rPr>
        <w:t>382-7228 erin.gray@dutchbros.com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color w:val="006098"/>
        </w:rPr>
        <w:t>|</w:t>
      </w:r>
      <w:r>
        <w:rPr>
          <w:rFonts w:ascii="Arial" w:cs="Arial" w:eastAsia="Arial" w:hAnsi="Arial"/>
          <w:sz w:val="14"/>
          <w:szCs w:val="14"/>
          <w:color w:val="131E29"/>
        </w:rPr>
        <w:t xml:space="preserve"> Earnings Release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5"/>
      <w:numFmt w:val="bullet"/>
      <w:start w:val="1"/>
    </w:lvl>
  </w:abstractNum>
  <w:abstractNum w:abstractNumId="13">
    <w:nsid w:val="7FDCC233"/>
    <w:multiLevelType w:val="hybridMultilevel"/>
    <w:lvl w:ilvl="0">
      <w:lvlJc w:val="left"/>
      <w:lvlText w:val="(%1)"/>
      <w:numFmt w:val="decimal"/>
      <w:start w:val="480"/>
    </w:lvl>
  </w:abstractNum>
  <w:abstractNum w:abstractNumId="14">
    <w:nsid w:val="1BEFD79F"/>
    <w:multiLevelType w:val="hybridMultilevel"/>
    <w:lvl w:ilvl="0">
      <w:lvlJc w:val="left"/>
      <w:lvlText w:val="(%1)"/>
      <w:numFmt w:val="decimal"/>
      <w:start w:val="48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2026-11-04T15:27:42Z</dcterms:created>
  <dcterms:modified xsi:type="dcterms:W3CDTF">2026-11-04T15:27:42Z</dcterms:modified>
</cp:coreProperties>
</file>