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3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(Mark One)</w:t>
      </w:r>
    </w:p>
    <w:p>
      <w:pPr>
        <w:spacing w:after="0" w:line="45"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131E29"/>
        </w:rPr>
      </w:pPr>
      <w:r>
        <w:rPr>
          <w:rFonts w:ascii="Arial" w:cs="Arial" w:eastAsia="Arial" w:hAnsi="Arial"/>
          <w:sz w:val="18"/>
          <w:szCs w:val="18"/>
          <w:b w:val="1"/>
          <w:bCs w:val="1"/>
          <w:color w:val="131E29"/>
        </w:rPr>
        <w:t>QUARTERLY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For the Quarterly Period ended March 31, 2026</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OR</w:t>
      </w:r>
    </w:p>
    <w:p>
      <w:pPr>
        <w:spacing w:after="0" w:line="225"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131E29"/>
        </w:rPr>
      </w:pPr>
      <w:r>
        <w:rPr>
          <w:rFonts w:ascii="Arial" w:cs="Arial" w:eastAsia="Arial" w:hAnsi="Arial"/>
          <w:sz w:val="18"/>
          <w:szCs w:val="18"/>
          <w:b w:val="1"/>
          <w:bCs w:val="1"/>
          <w:color w:val="131E29"/>
        </w:rPr>
        <w:t>TRANSITION REPORT PURSUANT TO SECTION 13 OR 15(d) OF THE SECURITIES EXCHANGE ACT OF 1934</w:t>
      </w:r>
    </w:p>
    <w:p>
      <w:pPr>
        <w:spacing w:after="0" w:line="200" w:lineRule="exact"/>
        <w:rPr>
          <w:sz w:val="24"/>
          <w:szCs w:val="24"/>
          <w:color w:val="auto"/>
        </w:rPr>
      </w:pPr>
    </w:p>
    <w:p>
      <w:pPr>
        <w:spacing w:after="0" w:line="25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131E29"/>
        </w:rPr>
        <w:t>For the transition period from ________ to ________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Commission file number 001-40798</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6350</wp:posOffset>
            </wp:positionV>
            <wp:extent cx="136271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131E29"/>
        </w:rPr>
        <w:t>DUTCH BROS INC.</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(Exact name of Registrant as specified in its charter)</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7" w:lineRule="exact"/>
        <w:rPr>
          <w:sz w:val="24"/>
          <w:szCs w:val="24"/>
          <w:color w:val="auto"/>
        </w:rPr>
      </w:pPr>
    </w:p>
    <w:tbl>
      <w:tblPr>
        <w:tblLayout w:type="fixed"/>
        <w:tblInd w:w="2460" w:type="dxa"/>
        <w:tblCellMar>
          <w:top w:w="0" w:type="dxa"/>
          <w:left w:w="0" w:type="dxa"/>
          <w:bottom w:w="0" w:type="dxa"/>
          <w:right w:w="0" w:type="dxa"/>
        </w:tblCellMar>
      </w:tblPr>
      <w:tr>
        <w:trPr>
          <w:trHeight w:val="247"/>
        </w:trPr>
        <w:tc>
          <w:tcPr>
            <w:tcW w:w="3460" w:type="dxa"/>
            <w:vAlign w:val="bottom"/>
          </w:tcPr>
          <w:p>
            <w:pPr>
              <w:jc w:val="center"/>
              <w:ind w:right="859"/>
              <w:spacing w:after="0"/>
              <w:rPr>
                <w:sz w:val="20"/>
                <w:szCs w:val="20"/>
                <w:color w:val="auto"/>
              </w:rPr>
            </w:pPr>
            <w:r>
              <w:rPr>
                <w:rFonts w:ascii="Arial" w:cs="Arial" w:eastAsia="Arial" w:hAnsi="Arial"/>
                <w:sz w:val="18"/>
                <w:szCs w:val="18"/>
                <w:b w:val="1"/>
                <w:bCs w:val="1"/>
                <w:color w:val="131E29"/>
              </w:rPr>
              <w:t>Delaware</w:t>
            </w:r>
          </w:p>
        </w:tc>
        <w:tc>
          <w:tcPr>
            <w:tcW w:w="3160" w:type="dxa"/>
            <w:vAlign w:val="bottom"/>
          </w:tcPr>
          <w:p>
            <w:pPr>
              <w:jc w:val="right"/>
              <w:ind w:right="559"/>
              <w:spacing w:after="0"/>
              <w:rPr>
                <w:sz w:val="20"/>
                <w:szCs w:val="20"/>
                <w:color w:val="auto"/>
              </w:rPr>
            </w:pPr>
            <w:r>
              <w:rPr>
                <w:rFonts w:ascii="Arial" w:cs="Arial" w:eastAsia="Arial" w:hAnsi="Arial"/>
                <w:sz w:val="18"/>
                <w:szCs w:val="18"/>
                <w:b w:val="1"/>
                <w:bCs w:val="1"/>
                <w:color w:val="131E29"/>
              </w:rPr>
              <w:t>87-1041305</w:t>
            </w:r>
          </w:p>
        </w:tc>
      </w:tr>
      <w:tr>
        <w:trPr>
          <w:trHeight w:val="370"/>
        </w:trPr>
        <w:tc>
          <w:tcPr>
            <w:tcW w:w="3460" w:type="dxa"/>
            <w:vAlign w:val="bottom"/>
          </w:tcPr>
          <w:p>
            <w:pPr>
              <w:jc w:val="center"/>
              <w:ind w:right="859"/>
              <w:spacing w:after="0"/>
              <w:rPr>
                <w:sz w:val="20"/>
                <w:szCs w:val="20"/>
                <w:color w:val="auto"/>
              </w:rPr>
            </w:pPr>
            <w:r>
              <w:rPr>
                <w:rFonts w:ascii="Arial" w:cs="Arial" w:eastAsia="Arial" w:hAnsi="Arial"/>
                <w:sz w:val="14"/>
                <w:szCs w:val="14"/>
                <w:color w:val="131E29"/>
              </w:rPr>
              <w:t>(State or other jurisdiction of</w:t>
            </w:r>
          </w:p>
        </w:tc>
        <w:tc>
          <w:tcPr>
            <w:tcW w:w="3160" w:type="dxa"/>
            <w:vAlign w:val="bottom"/>
          </w:tcPr>
          <w:p>
            <w:pPr>
              <w:jc w:val="center"/>
              <w:ind w:left="859"/>
              <w:spacing w:after="0"/>
              <w:rPr>
                <w:sz w:val="20"/>
                <w:szCs w:val="20"/>
                <w:color w:val="auto"/>
              </w:rPr>
            </w:pPr>
            <w:r>
              <w:rPr>
                <w:rFonts w:ascii="Arial" w:cs="Arial" w:eastAsia="Arial" w:hAnsi="Arial"/>
                <w:sz w:val="14"/>
                <w:szCs w:val="14"/>
                <w:color w:val="131E29"/>
              </w:rPr>
              <w:t>(I.R.S. Employer Identification No.)</w:t>
            </w:r>
          </w:p>
        </w:tc>
      </w:tr>
      <w:tr>
        <w:trPr>
          <w:trHeight w:val="190"/>
        </w:trPr>
        <w:tc>
          <w:tcPr>
            <w:tcW w:w="3460" w:type="dxa"/>
            <w:vAlign w:val="bottom"/>
          </w:tcPr>
          <w:p>
            <w:pPr>
              <w:jc w:val="center"/>
              <w:ind w:right="859"/>
              <w:spacing w:after="0"/>
              <w:rPr>
                <w:sz w:val="20"/>
                <w:szCs w:val="20"/>
                <w:color w:val="auto"/>
              </w:rPr>
            </w:pPr>
            <w:r>
              <w:rPr>
                <w:rFonts w:ascii="Arial" w:cs="Arial" w:eastAsia="Arial" w:hAnsi="Arial"/>
                <w:sz w:val="14"/>
                <w:szCs w:val="14"/>
                <w:color w:val="131E29"/>
              </w:rPr>
              <w:t>incorporation or organization)</w:t>
            </w:r>
          </w:p>
        </w:tc>
        <w:tc>
          <w:tcPr>
            <w:tcW w:w="3160" w:type="dxa"/>
            <w:vAlign w:val="bottom"/>
          </w:tcPr>
          <w:p>
            <w:pPr>
              <w:spacing w:after="0"/>
              <w:rPr>
                <w:sz w:val="16"/>
                <w:szCs w:val="16"/>
                <w:color w:val="auto"/>
              </w:rPr>
            </w:pPr>
          </w:p>
        </w:tc>
      </w:tr>
      <w:tr>
        <w:trPr>
          <w:trHeight w:val="331"/>
        </w:trPr>
        <w:tc>
          <w:tcPr>
            <w:tcW w:w="3460" w:type="dxa"/>
            <w:vAlign w:val="bottom"/>
          </w:tcPr>
          <w:p>
            <w:pPr>
              <w:jc w:val="center"/>
              <w:ind w:right="859"/>
              <w:spacing w:after="0"/>
              <w:rPr>
                <w:sz w:val="20"/>
                <w:szCs w:val="20"/>
                <w:color w:val="auto"/>
              </w:rPr>
            </w:pPr>
            <w:r>
              <w:rPr>
                <w:rFonts w:ascii="Arial" w:cs="Arial" w:eastAsia="Arial" w:hAnsi="Arial"/>
                <w:sz w:val="18"/>
                <w:szCs w:val="18"/>
                <w:b w:val="1"/>
                <w:bCs w:val="1"/>
                <w:color w:val="131E29"/>
                <w:w w:val="99"/>
              </w:rPr>
              <w:t>1930 W. Rio Salado Pkwy</w:t>
            </w:r>
          </w:p>
        </w:tc>
        <w:tc>
          <w:tcPr>
            <w:tcW w:w="3160" w:type="dxa"/>
            <w:vAlign w:val="bottom"/>
          </w:tcPr>
          <w:p>
            <w:pPr>
              <w:spacing w:after="0"/>
              <w:rPr>
                <w:sz w:val="24"/>
                <w:szCs w:val="24"/>
                <w:color w:val="auto"/>
              </w:rPr>
            </w:pPr>
          </w:p>
        </w:tc>
      </w:tr>
      <w:tr>
        <w:trPr>
          <w:trHeight w:val="270"/>
        </w:trPr>
        <w:tc>
          <w:tcPr>
            <w:tcW w:w="3460" w:type="dxa"/>
            <w:vAlign w:val="bottom"/>
          </w:tcPr>
          <w:p>
            <w:pPr>
              <w:jc w:val="center"/>
              <w:ind w:right="859"/>
              <w:spacing w:after="0"/>
              <w:rPr>
                <w:sz w:val="20"/>
                <w:szCs w:val="20"/>
                <w:color w:val="auto"/>
              </w:rPr>
            </w:pPr>
            <w:r>
              <w:rPr>
                <w:rFonts w:ascii="Arial" w:cs="Arial" w:eastAsia="Arial" w:hAnsi="Arial"/>
                <w:sz w:val="18"/>
                <w:szCs w:val="18"/>
                <w:b w:val="1"/>
                <w:bCs w:val="1"/>
                <w:color w:val="131E29"/>
                <w:w w:val="98"/>
              </w:rPr>
              <w:t>Tempe, Arizona</w:t>
            </w:r>
          </w:p>
        </w:tc>
        <w:tc>
          <w:tcPr>
            <w:tcW w:w="3160" w:type="dxa"/>
            <w:vAlign w:val="bottom"/>
          </w:tcPr>
          <w:p>
            <w:pPr>
              <w:jc w:val="right"/>
              <w:ind w:right="779"/>
              <w:spacing w:after="0"/>
              <w:rPr>
                <w:sz w:val="20"/>
                <w:szCs w:val="20"/>
                <w:color w:val="auto"/>
              </w:rPr>
            </w:pPr>
            <w:r>
              <w:rPr>
                <w:rFonts w:ascii="Arial" w:cs="Arial" w:eastAsia="Arial" w:hAnsi="Arial"/>
                <w:sz w:val="18"/>
                <w:szCs w:val="18"/>
                <w:b w:val="1"/>
                <w:bCs w:val="1"/>
                <w:color w:val="131E29"/>
              </w:rPr>
              <w:t>85281</w:t>
            </w:r>
          </w:p>
        </w:tc>
      </w:tr>
      <w:tr>
        <w:trPr>
          <w:trHeight w:val="385"/>
        </w:trPr>
        <w:tc>
          <w:tcPr>
            <w:tcW w:w="3460" w:type="dxa"/>
            <w:vAlign w:val="bottom"/>
          </w:tcPr>
          <w:p>
            <w:pPr>
              <w:jc w:val="center"/>
              <w:ind w:right="859"/>
              <w:spacing w:after="0"/>
              <w:rPr>
                <w:sz w:val="20"/>
                <w:szCs w:val="20"/>
                <w:color w:val="auto"/>
              </w:rPr>
            </w:pPr>
            <w:r>
              <w:rPr>
                <w:rFonts w:ascii="Arial" w:cs="Arial" w:eastAsia="Arial" w:hAnsi="Arial"/>
                <w:sz w:val="14"/>
                <w:szCs w:val="14"/>
                <w:color w:val="131E29"/>
              </w:rPr>
              <w:t>(Address of Principal Executive Offices)</w:t>
            </w:r>
          </w:p>
        </w:tc>
        <w:tc>
          <w:tcPr>
            <w:tcW w:w="3160" w:type="dxa"/>
            <w:vAlign w:val="bottom"/>
          </w:tcPr>
          <w:p>
            <w:pPr>
              <w:jc w:val="center"/>
              <w:ind w:left="839"/>
              <w:spacing w:after="0"/>
              <w:rPr>
                <w:sz w:val="20"/>
                <w:szCs w:val="20"/>
                <w:color w:val="auto"/>
              </w:rPr>
            </w:pPr>
            <w:r>
              <w:rPr>
                <w:rFonts w:ascii="Arial" w:cs="Arial" w:eastAsia="Arial" w:hAnsi="Arial"/>
                <w:sz w:val="14"/>
                <w:szCs w:val="14"/>
                <w:color w:val="131E29"/>
              </w:rPr>
              <w:t>(Zip Code)</w:t>
            </w:r>
          </w:p>
        </w:tc>
      </w:tr>
    </w:tbl>
    <w:p>
      <w:pPr>
        <w:spacing w:after="0" w:line="200" w:lineRule="exact"/>
        <w:rPr>
          <w:sz w:val="24"/>
          <w:szCs w:val="24"/>
          <w:color w:val="auto"/>
        </w:rPr>
      </w:pP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131E29"/>
        </w:rPr>
        <w:t>(877) 899-2767</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131E29"/>
        </w:rPr>
        <w:t>(Registrant's telephone number, including area code)</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color w:val="131E29"/>
        </w:rPr>
        <w:t>Securities registered pursuant to Section 12(b) of the Act:</w:t>
      </w:r>
    </w:p>
    <w:p>
      <w:pPr>
        <w:spacing w:after="0" w:line="197" w:lineRule="exact"/>
        <w:rPr>
          <w:sz w:val="24"/>
          <w:szCs w:val="24"/>
          <w:color w:val="auto"/>
        </w:rPr>
      </w:pPr>
    </w:p>
    <w:tbl>
      <w:tblPr>
        <w:tblLayout w:type="fixed"/>
        <w:tblInd w:w="10" w:type="dxa"/>
        <w:tblCellMar>
          <w:top w:w="0" w:type="dxa"/>
          <w:left w:w="0" w:type="dxa"/>
          <w:bottom w:w="0" w:type="dxa"/>
          <w:right w:w="0" w:type="dxa"/>
        </w:tblCellMar>
      </w:tblPr>
      <w:tr>
        <w:trPr>
          <w:trHeight w:val="269"/>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Trading Symbol</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Name of Exchange on which Registered</w:t>
            </w:r>
          </w:p>
        </w:tc>
      </w:tr>
      <w:tr>
        <w:trPr>
          <w:trHeight w:val="177"/>
        </w:trPr>
        <w:tc>
          <w:tcPr>
            <w:tcW w:w="3760" w:type="dxa"/>
            <w:vAlign w:val="bottom"/>
            <w:tcBorders>
              <w:left w:val="single" w:sz="8" w:color="auto"/>
              <w:bottom w:val="single" w:sz="8" w:color="auto"/>
              <w:right w:val="single" w:sz="8" w:color="auto"/>
            </w:tcBorders>
          </w:tcPr>
          <w:p>
            <w:pPr>
              <w:spacing w:after="0"/>
              <w:rPr>
                <w:sz w:val="15"/>
                <w:szCs w:val="15"/>
                <w:color w:val="auto"/>
              </w:rPr>
            </w:pPr>
          </w:p>
        </w:tc>
        <w:tc>
          <w:tcPr>
            <w:tcW w:w="374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15"/>
                <w:szCs w:val="15"/>
                <w:color w:val="auto"/>
              </w:rPr>
            </w:pPr>
          </w:p>
        </w:tc>
      </w:tr>
      <w:tr>
        <w:trPr>
          <w:trHeight w:val="236"/>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Class A Common Stock,</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BROS</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31E29"/>
                <w:w w:val="98"/>
              </w:rPr>
              <w:t>The New York Stock Exchange</w:t>
            </w:r>
          </w:p>
        </w:tc>
      </w:tr>
      <w:tr>
        <w:trPr>
          <w:trHeight w:val="241"/>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par value $0.00001 per share</w:t>
            </w:r>
          </w:p>
        </w:tc>
        <w:tc>
          <w:tcPr>
            <w:tcW w:w="374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rPr>
                <w:sz w:val="20"/>
                <w:szCs w:val="20"/>
                <w:color w:val="auto"/>
              </w:rPr>
            </w:pPr>
          </w:p>
        </w:tc>
      </w:tr>
    </w:tbl>
    <w:p>
      <w:pPr>
        <w:spacing w:after="0" w:line="305"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pacing w:after="0" w:line="117"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131E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131E29"/>
        </w:rPr>
        <w:t>x</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o</w:t>
      </w:r>
    </w:p>
    <w:p>
      <w:pPr>
        <w:sectPr>
          <w:pgSz w:w="11900" w:h="16838" w:orient="portrait"/>
          <w:cols w:equalWidth="0" w:num="1">
            <w:col w:w="11260"/>
          </w:cols>
          <w:pgMar w:left="320" w:top="1440" w:right="319" w:bottom="29" w:gutter="0" w:footer="0" w:header="0"/>
        </w:sectPr>
      </w:pPr>
    </w:p>
    <w:bookmarkStart w:id="1" w:name="page2"/>
    <w:bookmarkEnd w:id="1"/>
    <w:p>
      <w:pPr>
        <w:jc w:val="both"/>
        <w:spacing w:after="0" w:line="268" w:lineRule="auto"/>
        <w:rPr>
          <w:sz w:val="20"/>
          <w:szCs w:val="20"/>
          <w:color w:val="auto"/>
        </w:rPr>
      </w:pPr>
      <w:r>
        <w:rPr>
          <w:rFonts w:ascii="Arial" w:cs="Arial" w:eastAsia="Arial" w:hAnsi="Arial"/>
          <w:sz w:val="18"/>
          <w:szCs w:val="18"/>
          <w:color w:val="131E2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980" w:type="dxa"/>
            <w:vAlign w:val="bottom"/>
          </w:tcPr>
          <w:p>
            <w:pPr>
              <w:spacing w:after="0"/>
              <w:rPr>
                <w:sz w:val="20"/>
                <w:szCs w:val="20"/>
                <w:color w:val="auto"/>
              </w:rPr>
            </w:pPr>
            <w:r>
              <w:rPr>
                <w:rFonts w:ascii="Arial" w:cs="Arial" w:eastAsia="Arial" w:hAnsi="Arial"/>
                <w:sz w:val="18"/>
                <w:szCs w:val="18"/>
                <w:color w:val="131E29"/>
              </w:rPr>
              <w:t>Large 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x</w:t>
            </w:r>
          </w:p>
        </w:tc>
        <w:tc>
          <w:tcPr>
            <w:tcW w:w="4260" w:type="dxa"/>
            <w:vAlign w:val="bottom"/>
          </w:tcPr>
          <w:p>
            <w:pPr>
              <w:ind w:left="1080"/>
              <w:spacing w:after="0"/>
              <w:rPr>
                <w:sz w:val="20"/>
                <w:szCs w:val="20"/>
                <w:color w:val="auto"/>
              </w:rPr>
            </w:pPr>
            <w:r>
              <w:rPr>
                <w:rFonts w:ascii="Arial" w:cs="Arial" w:eastAsia="Arial" w:hAnsi="Arial"/>
                <w:sz w:val="18"/>
                <w:szCs w:val="18"/>
                <w:color w:val="131E29"/>
              </w:rPr>
              <w:t>Accelerated filer</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131E29"/>
              </w:rPr>
              <w:t>Non-accelerated filer</w:t>
            </w:r>
          </w:p>
        </w:tc>
        <w:tc>
          <w:tcPr>
            <w:tcW w:w="2460" w:type="dxa"/>
            <w:vAlign w:val="bottom"/>
          </w:tcPr>
          <w:p>
            <w:pPr>
              <w:ind w:left="1200"/>
              <w:spacing w:after="0"/>
              <w:rPr>
                <w:sz w:val="20"/>
                <w:szCs w:val="20"/>
                <w:color w:val="auto"/>
              </w:rPr>
            </w:pPr>
            <w:r>
              <w:rPr>
                <w:rFonts w:ascii="Wingdings" w:cs="Wingdings" w:eastAsia="Wingdings" w:hAnsi="Wingdings"/>
                <w:sz w:val="18"/>
                <w:szCs w:val="18"/>
                <w:b w:val="1"/>
                <w:bCs w:val="1"/>
                <w:color w:val="131E29"/>
              </w:rPr>
              <w:t>o</w:t>
            </w:r>
          </w:p>
        </w:tc>
        <w:tc>
          <w:tcPr>
            <w:tcW w:w="4260" w:type="dxa"/>
            <w:vAlign w:val="bottom"/>
          </w:tcPr>
          <w:p>
            <w:pPr>
              <w:ind w:left="1080"/>
              <w:spacing w:after="0"/>
              <w:rPr>
                <w:sz w:val="20"/>
                <w:szCs w:val="20"/>
                <w:color w:val="auto"/>
              </w:rPr>
            </w:pPr>
            <w:r>
              <w:rPr>
                <w:rFonts w:ascii="Arial" w:cs="Arial" w:eastAsia="Arial" w:hAnsi="Arial"/>
                <w:sz w:val="18"/>
                <w:szCs w:val="18"/>
                <w:color w:val="131E29"/>
              </w:rPr>
              <w:t>Smaller reporting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r>
      <w:tr>
        <w:trPr>
          <w:trHeight w:val="432"/>
        </w:trPr>
        <w:tc>
          <w:tcPr>
            <w:tcW w:w="2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131E29"/>
              </w:rPr>
              <w:t>Emerging growth company</w:t>
            </w:r>
          </w:p>
        </w:tc>
        <w:tc>
          <w:tcPr>
            <w:tcW w:w="1180" w:type="dxa"/>
            <w:vAlign w:val="bottom"/>
          </w:tcPr>
          <w:p>
            <w:pPr>
              <w:ind w:left="1020"/>
              <w:spacing w:after="0"/>
              <w:rPr>
                <w:sz w:val="20"/>
                <w:szCs w:val="20"/>
                <w:color w:val="auto"/>
              </w:rPr>
            </w:pPr>
            <w:r>
              <w:rPr>
                <w:rFonts w:ascii="Wingdings" w:cs="Wingdings" w:eastAsia="Wingdings" w:hAnsi="Wingdings"/>
                <w:sz w:val="18"/>
                <w:szCs w:val="18"/>
                <w:b w:val="1"/>
                <w:bCs w:val="1"/>
                <w:color w:val="131E29"/>
                <w:w w:val="86"/>
              </w:rPr>
              <w:t>o</w:t>
            </w:r>
          </w:p>
        </w:tc>
      </w:tr>
    </w:tbl>
    <w:p>
      <w:pPr>
        <w:spacing w:after="0" w:line="200" w:lineRule="exact"/>
        <w:rPr>
          <w:sz w:val="20"/>
          <w:szCs w:val="20"/>
          <w:color w:val="auto"/>
        </w:rPr>
      </w:pPr>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131E29"/>
        </w:rPr>
        <w: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131E29"/>
        </w:rPr>
        <w:t xml:space="preserve">Indicate by check mark whether the registrant is a shell company (as defined in Rule 12b-2 of the Act). Yes </w:t>
      </w:r>
      <w:r>
        <w:rPr>
          <w:rFonts w:ascii="Wingdings" w:cs="Wingdings" w:eastAsia="Wingdings" w:hAnsi="Wingdings"/>
          <w:sz w:val="18"/>
          <w:szCs w:val="18"/>
          <w:b w:val="1"/>
          <w:bCs w:val="1"/>
          <w:color w:val="131E29"/>
        </w:rPr>
        <w:t>o</w:t>
      </w:r>
      <w:r>
        <w:rPr>
          <w:rFonts w:ascii="Arial" w:cs="Arial" w:eastAsia="Arial" w:hAnsi="Arial"/>
          <w:sz w:val="18"/>
          <w:szCs w:val="18"/>
          <w:color w:val="131E29"/>
        </w:rPr>
        <w:t xml:space="preserve"> No </w:t>
      </w:r>
      <w:r>
        <w:rPr>
          <w:rFonts w:ascii="Wingdings" w:cs="Wingdings" w:eastAsia="Wingdings" w:hAnsi="Wingdings"/>
          <w:sz w:val="18"/>
          <w:szCs w:val="18"/>
          <w:b w:val="1"/>
          <w:bCs w:val="1"/>
          <w:color w:val="131E29"/>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As of April 30, 2026, the registrant’s outstanding shares of common stock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620" w:type="dxa"/>
            <w:vAlign w:val="bottom"/>
          </w:tcPr>
          <w:p>
            <w:pPr>
              <w:spacing w:after="0"/>
              <w:rPr>
                <w:sz w:val="22"/>
                <w:szCs w:val="22"/>
                <w:color w:val="auto"/>
              </w:rPr>
            </w:pPr>
          </w:p>
        </w:tc>
        <w:tc>
          <w:tcPr>
            <w:tcW w:w="3680" w:type="dxa"/>
            <w:vAlign w:val="bottom"/>
            <w:shd w:val="clear" w:color="auto" w:fill="D2DCE5"/>
          </w:tcPr>
          <w:p>
            <w:pPr>
              <w:ind w:left="580"/>
              <w:spacing w:after="0"/>
              <w:rPr>
                <w:sz w:val="20"/>
                <w:szCs w:val="20"/>
                <w:color w:val="auto"/>
              </w:rPr>
            </w:pPr>
            <w:r>
              <w:rPr>
                <w:rFonts w:ascii="Arial" w:cs="Arial" w:eastAsia="Arial" w:hAnsi="Arial"/>
                <w:sz w:val="18"/>
                <w:szCs w:val="18"/>
                <w:color w:val="auto"/>
              </w:rPr>
              <w:t>Class A common stock</w:t>
            </w:r>
          </w:p>
        </w:tc>
        <w:tc>
          <w:tcPr>
            <w:tcW w:w="2340" w:type="dxa"/>
            <w:vAlign w:val="bottom"/>
            <w:shd w:val="clear" w:color="auto" w:fill="D2DCE5"/>
          </w:tcPr>
          <w:p>
            <w:pPr>
              <w:jc w:val="right"/>
              <w:spacing w:after="0"/>
              <w:rPr>
                <w:sz w:val="20"/>
                <w:szCs w:val="20"/>
                <w:color w:val="auto"/>
              </w:rPr>
            </w:pPr>
            <w:r>
              <w:rPr>
                <w:rFonts w:ascii="Arial" w:cs="Arial" w:eastAsia="Arial" w:hAnsi="Arial"/>
                <w:sz w:val="18"/>
                <w:szCs w:val="18"/>
                <w:color w:val="auto"/>
              </w:rPr>
              <w:t>137,192,622</w:t>
            </w:r>
          </w:p>
        </w:tc>
        <w:tc>
          <w:tcPr>
            <w:tcW w:w="2600" w:type="dxa"/>
            <w:vAlign w:val="bottom"/>
          </w:tcPr>
          <w:p>
            <w:pPr>
              <w:spacing w:after="0"/>
              <w:rPr>
                <w:sz w:val="22"/>
                <w:szCs w:val="22"/>
                <w:color w:val="auto"/>
              </w:rPr>
            </w:pPr>
          </w:p>
        </w:tc>
      </w:tr>
      <w:tr>
        <w:trPr>
          <w:trHeight w:val="173"/>
        </w:trPr>
        <w:tc>
          <w:tcPr>
            <w:tcW w:w="2620" w:type="dxa"/>
            <w:vAlign w:val="bottom"/>
          </w:tcPr>
          <w:p>
            <w:pPr>
              <w:spacing w:after="0"/>
              <w:rPr>
                <w:sz w:val="15"/>
                <w:szCs w:val="15"/>
                <w:color w:val="auto"/>
              </w:rPr>
            </w:pPr>
          </w:p>
        </w:tc>
        <w:tc>
          <w:tcPr>
            <w:tcW w:w="3680" w:type="dxa"/>
            <w:vAlign w:val="bottom"/>
            <w:shd w:val="clear" w:color="auto" w:fill="D2DCE5"/>
          </w:tcPr>
          <w:p>
            <w:pPr>
              <w:spacing w:after="0"/>
              <w:rPr>
                <w:sz w:val="15"/>
                <w:szCs w:val="15"/>
                <w:color w:val="auto"/>
              </w:rPr>
            </w:pPr>
          </w:p>
        </w:tc>
        <w:tc>
          <w:tcPr>
            <w:tcW w:w="2340" w:type="dxa"/>
            <w:vAlign w:val="bottom"/>
            <w:shd w:val="clear" w:color="auto" w:fill="D2DCE5"/>
          </w:tcPr>
          <w:p>
            <w:pPr>
              <w:spacing w:after="0"/>
              <w:rPr>
                <w:sz w:val="15"/>
                <w:szCs w:val="15"/>
                <w:color w:val="auto"/>
              </w:rPr>
            </w:pPr>
          </w:p>
        </w:tc>
        <w:tc>
          <w:tcPr>
            <w:tcW w:w="2600" w:type="dxa"/>
            <w:vAlign w:val="bottom"/>
          </w:tcPr>
          <w:p>
            <w:pPr>
              <w:spacing w:after="0"/>
              <w:rPr>
                <w:sz w:val="15"/>
                <w:szCs w:val="15"/>
                <w:color w:val="auto"/>
              </w:rPr>
            </w:pPr>
          </w:p>
        </w:tc>
      </w:tr>
      <w:tr>
        <w:trPr>
          <w:trHeight w:val="247"/>
        </w:trPr>
        <w:tc>
          <w:tcPr>
            <w:tcW w:w="2620" w:type="dxa"/>
            <w:vAlign w:val="bottom"/>
          </w:tcPr>
          <w:p>
            <w:pPr>
              <w:spacing w:after="0"/>
              <w:rPr>
                <w:sz w:val="21"/>
                <w:szCs w:val="21"/>
                <w:color w:val="auto"/>
              </w:rPr>
            </w:pPr>
          </w:p>
        </w:tc>
        <w:tc>
          <w:tcPr>
            <w:tcW w:w="3680" w:type="dxa"/>
            <w:vAlign w:val="bottom"/>
          </w:tcPr>
          <w:p>
            <w:pPr>
              <w:ind w:left="580"/>
              <w:spacing w:after="0"/>
              <w:rPr>
                <w:sz w:val="20"/>
                <w:szCs w:val="20"/>
                <w:color w:val="auto"/>
              </w:rPr>
            </w:pPr>
            <w:r>
              <w:rPr>
                <w:rFonts w:ascii="Arial" w:cs="Arial" w:eastAsia="Arial" w:hAnsi="Arial"/>
                <w:sz w:val="18"/>
                <w:szCs w:val="18"/>
                <w:color w:val="auto"/>
              </w:rPr>
              <w:t>Class B common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35,177,924</w:t>
            </w:r>
          </w:p>
        </w:tc>
        <w:tc>
          <w:tcPr>
            <w:tcW w:w="2600" w:type="dxa"/>
            <w:vAlign w:val="bottom"/>
          </w:tcPr>
          <w:p>
            <w:pPr>
              <w:spacing w:after="0"/>
              <w:rPr>
                <w:sz w:val="21"/>
                <w:szCs w:val="21"/>
                <w:color w:val="auto"/>
              </w:rPr>
            </w:pPr>
          </w:p>
        </w:tc>
      </w:tr>
      <w:tr>
        <w:trPr>
          <w:trHeight w:val="185"/>
        </w:trPr>
        <w:tc>
          <w:tcPr>
            <w:tcW w:w="26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47"/>
        </w:trPr>
        <w:tc>
          <w:tcPr>
            <w:tcW w:w="2620" w:type="dxa"/>
            <w:vAlign w:val="bottom"/>
          </w:tcPr>
          <w:p>
            <w:pPr>
              <w:spacing w:after="0"/>
              <w:rPr>
                <w:sz w:val="21"/>
                <w:szCs w:val="21"/>
                <w:color w:val="auto"/>
              </w:rPr>
            </w:pPr>
          </w:p>
        </w:tc>
        <w:tc>
          <w:tcPr>
            <w:tcW w:w="3680" w:type="dxa"/>
            <w:vAlign w:val="bottom"/>
            <w:shd w:val="clear" w:color="auto" w:fill="D2DCE5"/>
          </w:tcPr>
          <w:p>
            <w:pPr>
              <w:ind w:left="580"/>
              <w:spacing w:after="0"/>
              <w:rPr>
                <w:sz w:val="20"/>
                <w:szCs w:val="20"/>
                <w:color w:val="auto"/>
              </w:rPr>
            </w:pPr>
            <w:r>
              <w:rPr>
                <w:rFonts w:ascii="Arial" w:cs="Arial" w:eastAsia="Arial" w:hAnsi="Arial"/>
                <w:sz w:val="18"/>
                <w:szCs w:val="18"/>
                <w:color w:val="auto"/>
              </w:rPr>
              <w:t>Class C common stock</w:t>
            </w:r>
          </w:p>
        </w:tc>
        <w:tc>
          <w:tcPr>
            <w:tcW w:w="2340" w:type="dxa"/>
            <w:vAlign w:val="bottom"/>
            <w:shd w:val="clear" w:color="auto" w:fill="D2DCE5"/>
          </w:tcPr>
          <w:p>
            <w:pPr>
              <w:jc w:val="right"/>
              <w:spacing w:after="0"/>
              <w:rPr>
                <w:sz w:val="20"/>
                <w:szCs w:val="20"/>
                <w:color w:val="auto"/>
              </w:rPr>
            </w:pPr>
            <w:r>
              <w:rPr>
                <w:rFonts w:ascii="Arial" w:cs="Arial" w:eastAsia="Arial" w:hAnsi="Arial"/>
                <w:sz w:val="18"/>
                <w:szCs w:val="18"/>
                <w:color w:val="auto"/>
              </w:rPr>
              <w:t>2,277,707</w:t>
            </w:r>
          </w:p>
        </w:tc>
        <w:tc>
          <w:tcPr>
            <w:tcW w:w="2600" w:type="dxa"/>
            <w:vAlign w:val="bottom"/>
          </w:tcPr>
          <w:p>
            <w:pPr>
              <w:spacing w:after="0"/>
              <w:rPr>
                <w:sz w:val="21"/>
                <w:szCs w:val="21"/>
                <w:color w:val="auto"/>
              </w:rPr>
            </w:pPr>
          </w:p>
        </w:tc>
      </w:tr>
      <w:tr>
        <w:trPr>
          <w:trHeight w:val="185"/>
        </w:trPr>
        <w:tc>
          <w:tcPr>
            <w:tcW w:w="2620" w:type="dxa"/>
            <w:vAlign w:val="bottom"/>
          </w:tcPr>
          <w:p>
            <w:pPr>
              <w:spacing w:after="0"/>
              <w:rPr>
                <w:sz w:val="16"/>
                <w:szCs w:val="16"/>
                <w:color w:val="auto"/>
              </w:rPr>
            </w:pPr>
          </w:p>
        </w:tc>
        <w:tc>
          <w:tcPr>
            <w:tcW w:w="3680" w:type="dxa"/>
            <w:vAlign w:val="bottom"/>
            <w:shd w:val="clear" w:color="auto" w:fill="D2DCE5"/>
          </w:tcPr>
          <w:p>
            <w:pPr>
              <w:spacing w:after="0"/>
              <w:rPr>
                <w:sz w:val="16"/>
                <w:szCs w:val="16"/>
                <w:color w:val="auto"/>
              </w:rPr>
            </w:pPr>
          </w:p>
        </w:tc>
        <w:tc>
          <w:tcPr>
            <w:tcW w:w="2340" w:type="dxa"/>
            <w:vAlign w:val="bottom"/>
            <w:shd w:val="clear" w:color="auto" w:fill="D2DCE5"/>
          </w:tcPr>
          <w:p>
            <w:pPr>
              <w:spacing w:after="0"/>
              <w:rPr>
                <w:sz w:val="16"/>
                <w:szCs w:val="16"/>
                <w:color w:val="auto"/>
              </w:rPr>
            </w:pPr>
          </w:p>
        </w:tc>
        <w:tc>
          <w:tcPr>
            <w:tcW w:w="2600" w:type="dxa"/>
            <w:vAlign w:val="bottom"/>
          </w:tcPr>
          <w:p>
            <w:pPr>
              <w:spacing w:after="0"/>
              <w:rPr>
                <w:sz w:val="16"/>
                <w:szCs w:val="16"/>
                <w:color w:val="auto"/>
              </w:rPr>
            </w:pPr>
          </w:p>
        </w:tc>
      </w:tr>
      <w:tr>
        <w:trPr>
          <w:trHeight w:val="270"/>
        </w:trPr>
        <w:tc>
          <w:tcPr>
            <w:tcW w:w="262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r>
      <w:tr>
        <w:trPr>
          <w:trHeight w:val="34"/>
        </w:trPr>
        <w:tc>
          <w:tcPr>
            <w:tcW w:w="26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661"/>
        </w:trPr>
        <w:tc>
          <w:tcPr>
            <w:tcW w:w="26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320" w:type="dxa"/>
            <w:vAlign w:val="bottom"/>
          </w:tcPr>
          <w:p>
            <w:pPr>
              <w:spacing w:after="0"/>
              <w:rPr>
                <w:sz w:val="24"/>
                <w:szCs w:val="24"/>
                <w:color w:val="auto"/>
              </w:rPr>
            </w:pPr>
          </w:p>
        </w:tc>
        <w:tc>
          <w:tcPr>
            <w:tcW w:w="9200" w:type="dxa"/>
            <w:vAlign w:val="bottom"/>
          </w:tcPr>
          <w:p>
            <w:pPr>
              <w:jc w:val="center"/>
              <w:ind w:right="488"/>
              <w:spacing w:after="0"/>
              <w:rPr>
                <w:sz w:val="20"/>
                <w:szCs w:val="20"/>
                <w:color w:val="auto"/>
              </w:rPr>
            </w:pPr>
            <w:r>
              <w:rPr>
                <w:rFonts w:ascii="Arial" w:cs="Arial" w:eastAsia="Arial" w:hAnsi="Arial"/>
                <w:sz w:val="25"/>
                <w:szCs w:val="25"/>
                <w:b w:val="1"/>
                <w:bCs w:val="1"/>
                <w:color w:val="00416B"/>
              </w:rPr>
              <w:t>DUTCH BROS INC.</w:t>
            </w:r>
          </w:p>
        </w:tc>
        <w:tc>
          <w:tcPr>
            <w:tcW w:w="720" w:type="dxa"/>
            <w:vAlign w:val="bottom"/>
          </w:tcPr>
          <w:p>
            <w:pPr>
              <w:spacing w:after="0"/>
              <w:rPr>
                <w:sz w:val="24"/>
                <w:szCs w:val="24"/>
                <w:color w:val="auto"/>
              </w:rPr>
            </w:pPr>
          </w:p>
        </w:tc>
      </w:tr>
      <w:tr>
        <w:trPr>
          <w:trHeight w:val="248"/>
        </w:trPr>
        <w:tc>
          <w:tcPr>
            <w:tcW w:w="1320" w:type="dxa"/>
            <w:vAlign w:val="bottom"/>
          </w:tcPr>
          <w:p>
            <w:pPr>
              <w:spacing w:after="0"/>
              <w:rPr>
                <w:sz w:val="21"/>
                <w:szCs w:val="21"/>
                <w:color w:val="auto"/>
              </w:rPr>
            </w:pPr>
          </w:p>
        </w:tc>
        <w:tc>
          <w:tcPr>
            <w:tcW w:w="9200" w:type="dxa"/>
            <w:vAlign w:val="bottom"/>
          </w:tcPr>
          <w:p>
            <w:pPr>
              <w:jc w:val="center"/>
              <w:ind w:right="508"/>
              <w:spacing w:after="0"/>
              <w:rPr>
                <w:sz w:val="20"/>
                <w:szCs w:val="20"/>
                <w:color w:val="auto"/>
              </w:rPr>
            </w:pPr>
            <w:r>
              <w:rPr>
                <w:rFonts w:ascii="Arial" w:cs="Arial" w:eastAsia="Arial" w:hAnsi="Arial"/>
                <w:sz w:val="18"/>
                <w:szCs w:val="18"/>
                <w:color w:val="131E29"/>
                <w:w w:val="99"/>
              </w:rPr>
              <w:t>QUARTERLY REPORT ON FORM 10-Q</w:t>
            </w:r>
          </w:p>
        </w:tc>
        <w:tc>
          <w:tcPr>
            <w:tcW w:w="720" w:type="dxa"/>
            <w:vAlign w:val="bottom"/>
          </w:tcPr>
          <w:p>
            <w:pPr>
              <w:spacing w:after="0"/>
              <w:rPr>
                <w:sz w:val="21"/>
                <w:szCs w:val="21"/>
                <w:color w:val="auto"/>
              </w:rPr>
            </w:pPr>
          </w:p>
        </w:tc>
      </w:tr>
      <w:tr>
        <w:trPr>
          <w:trHeight w:val="270"/>
        </w:trPr>
        <w:tc>
          <w:tcPr>
            <w:tcW w:w="1320" w:type="dxa"/>
            <w:vAlign w:val="bottom"/>
          </w:tcPr>
          <w:p>
            <w:pPr>
              <w:spacing w:after="0"/>
              <w:rPr>
                <w:sz w:val="23"/>
                <w:szCs w:val="23"/>
                <w:color w:val="auto"/>
              </w:rPr>
            </w:pPr>
          </w:p>
        </w:tc>
        <w:tc>
          <w:tcPr>
            <w:tcW w:w="9200" w:type="dxa"/>
            <w:vAlign w:val="bottom"/>
          </w:tcPr>
          <w:p>
            <w:pPr>
              <w:jc w:val="center"/>
              <w:ind w:right="488"/>
              <w:spacing w:after="0"/>
              <w:rPr>
                <w:sz w:val="20"/>
                <w:szCs w:val="20"/>
                <w:color w:val="auto"/>
              </w:rPr>
            </w:pPr>
            <w:r>
              <w:rPr>
                <w:rFonts w:ascii="Arial" w:cs="Arial" w:eastAsia="Arial" w:hAnsi="Arial"/>
                <w:sz w:val="18"/>
                <w:szCs w:val="18"/>
                <w:color w:val="131E29"/>
                <w:w w:val="99"/>
              </w:rPr>
              <w:t>TABLE OF CONTENTS</w:t>
            </w:r>
          </w:p>
        </w:tc>
        <w:tc>
          <w:tcPr>
            <w:tcW w:w="720" w:type="dxa"/>
            <w:vAlign w:val="bottom"/>
          </w:tcPr>
          <w:p>
            <w:pPr>
              <w:spacing w:after="0"/>
              <w:rPr>
                <w:sz w:val="23"/>
                <w:szCs w:val="23"/>
                <w:color w:val="auto"/>
              </w:rPr>
            </w:pPr>
          </w:p>
        </w:tc>
      </w:tr>
      <w:tr>
        <w:trPr>
          <w:trHeight w:val="440"/>
        </w:trPr>
        <w:tc>
          <w:tcPr>
            <w:tcW w:w="13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Arial" w:cs="Arial" w:eastAsia="Arial" w:hAnsi="Arial"/>
                <w:sz w:val="18"/>
                <w:szCs w:val="18"/>
                <w:b w:val="1"/>
                <w:bCs w:val="1"/>
                <w:color w:val="131E29"/>
              </w:rPr>
              <w:t>Page</w:t>
            </w:r>
          </w:p>
        </w:tc>
      </w:tr>
      <w:tr>
        <w:trPr>
          <w:trHeight w:val="357"/>
        </w:trPr>
        <w:tc>
          <w:tcPr>
            <w:tcW w:w="1320" w:type="dxa"/>
            <w:vAlign w:val="bottom"/>
          </w:tcPr>
          <w:p>
            <w:pPr>
              <w:ind w:left="20"/>
              <w:spacing w:after="0"/>
              <w:rPr>
                <w:sz w:val="20"/>
                <w:szCs w:val="20"/>
                <w:color w:val="auto"/>
              </w:rPr>
            </w:pPr>
            <w:r>
              <w:rPr>
                <w:rFonts w:ascii="Arial" w:cs="Arial" w:eastAsia="Arial" w:hAnsi="Arial"/>
                <w:sz w:val="18"/>
                <w:szCs w:val="18"/>
                <w:color w:val="131E29"/>
              </w:rPr>
              <w:t>Glossary</w:t>
            </w:r>
          </w:p>
        </w:tc>
        <w:tc>
          <w:tcPr>
            <w:tcW w:w="9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1</w:t>
            </w:r>
          </w:p>
        </w:tc>
      </w:tr>
      <w:tr>
        <w:trPr>
          <w:trHeight w:val="23"/>
        </w:trPr>
        <w:tc>
          <w:tcPr>
            <w:tcW w:w="10520" w:type="dxa"/>
            <w:vAlign w:val="bottom"/>
            <w:tcBorders>
              <w:bottom w:val="single" w:sz="8" w:color="D2DCE5"/>
            </w:tcBorders>
            <w:gridSpan w:val="2"/>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0520" w:type="dxa"/>
            <w:vAlign w:val="bottom"/>
            <w:gridSpan w:val="2"/>
          </w:tcPr>
          <w:p>
            <w:pPr>
              <w:ind w:left="20"/>
              <w:spacing w:after="0"/>
              <w:rPr>
                <w:sz w:val="20"/>
                <w:szCs w:val="20"/>
                <w:color w:val="auto"/>
              </w:rPr>
            </w:pPr>
            <w:r>
              <w:rPr>
                <w:rFonts w:ascii="Arial" w:cs="Arial" w:eastAsia="Arial" w:hAnsi="Arial"/>
                <w:sz w:val="18"/>
                <w:szCs w:val="18"/>
                <w:color w:val="131E29"/>
              </w:rPr>
              <w:t>Forward-Looking Statements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337"/>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PART I</w:t>
            </w:r>
          </w:p>
        </w:tc>
        <w:tc>
          <w:tcPr>
            <w:tcW w:w="9200" w:type="dxa"/>
            <w:vAlign w:val="bottom"/>
          </w:tcPr>
          <w:p>
            <w:pPr>
              <w:ind w:left="20"/>
              <w:spacing w:after="0"/>
              <w:rPr>
                <w:sz w:val="20"/>
                <w:szCs w:val="20"/>
                <w:color w:val="auto"/>
              </w:rPr>
            </w:pPr>
            <w:r>
              <w:rPr>
                <w:rFonts w:ascii="Arial" w:cs="Arial" w:eastAsia="Arial" w:hAnsi="Arial"/>
                <w:sz w:val="18"/>
                <w:szCs w:val="18"/>
                <w:b w:val="1"/>
                <w:bCs w:val="1"/>
                <w:color w:val="006098"/>
              </w:rPr>
              <w:t>FINANCIAL INFORMATION</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3</w:t>
            </w:r>
          </w:p>
        </w:tc>
      </w:tr>
      <w:tr>
        <w:trPr>
          <w:trHeight w:val="154"/>
        </w:trPr>
        <w:tc>
          <w:tcPr>
            <w:tcW w:w="1320" w:type="dxa"/>
            <w:vAlign w:val="bottom"/>
            <w:tcBorders>
              <w:bottom w:val="single" w:sz="8" w:color="D7282F"/>
            </w:tcBorders>
            <w:shd w:val="clear" w:color="auto" w:fill="FDE021"/>
          </w:tcPr>
          <w:p>
            <w:pPr>
              <w:spacing w:after="0"/>
              <w:rPr>
                <w:sz w:val="13"/>
                <w:szCs w:val="13"/>
                <w:color w:val="auto"/>
              </w:rPr>
            </w:pPr>
          </w:p>
        </w:tc>
        <w:tc>
          <w:tcPr>
            <w:tcW w:w="9200" w:type="dxa"/>
            <w:vAlign w:val="bottom"/>
            <w:tcBorders>
              <w:bottom w:val="single" w:sz="8" w:color="D7282F"/>
            </w:tcBorders>
            <w:shd w:val="clear" w:color="auto" w:fill="FDE021"/>
          </w:tcPr>
          <w:p>
            <w:pPr>
              <w:spacing w:after="0"/>
              <w:rPr>
                <w:sz w:val="13"/>
                <w:szCs w:val="13"/>
                <w:color w:val="auto"/>
              </w:rPr>
            </w:pPr>
          </w:p>
        </w:tc>
        <w:tc>
          <w:tcPr>
            <w:tcW w:w="720" w:type="dxa"/>
            <w:vAlign w:val="bottom"/>
            <w:tcBorders>
              <w:bottom w:val="single" w:sz="8" w:color="D7282F"/>
            </w:tcBorders>
            <w:shd w:val="clear" w:color="auto" w:fill="FDE021"/>
          </w:tcPr>
          <w:p>
            <w:pPr>
              <w:spacing w:after="0"/>
              <w:rPr>
                <w:sz w:val="13"/>
                <w:szCs w:val="13"/>
                <w:color w:val="auto"/>
              </w:rPr>
            </w:pPr>
          </w:p>
        </w:tc>
      </w:tr>
      <w:tr>
        <w:trPr>
          <w:trHeight w:val="247"/>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rPr>
              <w:t>ITEM 1.</w:t>
            </w:r>
          </w:p>
        </w:tc>
        <w:tc>
          <w:tcPr>
            <w:tcW w:w="92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Financial Statements (Unaudited)</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w w:val="99"/>
              </w:rPr>
              <w:t>3</w:t>
            </w:r>
          </w:p>
        </w:tc>
      </w:tr>
      <w:tr>
        <w:trPr>
          <w:trHeight w:val="23"/>
        </w:trPr>
        <w:tc>
          <w:tcPr>
            <w:tcW w:w="1320" w:type="dxa"/>
            <w:vAlign w:val="bottom"/>
            <w:tcBorders>
              <w:bottom w:val="single" w:sz="8" w:color="DBDBDB"/>
            </w:tcBorders>
          </w:tcPr>
          <w:p>
            <w:pPr>
              <w:spacing w:after="0"/>
              <w:rPr>
                <w:sz w:val="2"/>
                <w:szCs w:val="2"/>
                <w:color w:val="auto"/>
              </w:rPr>
            </w:pPr>
          </w:p>
        </w:tc>
        <w:tc>
          <w:tcPr>
            <w:tcW w:w="9200" w:type="dxa"/>
            <w:vAlign w:val="bottom"/>
            <w:tcBorders>
              <w:bottom w:val="single" w:sz="8" w:color="DBDBDB"/>
            </w:tcBorders>
          </w:tcPr>
          <w:p>
            <w:pPr>
              <w:spacing w:after="0"/>
              <w:rPr>
                <w:sz w:val="2"/>
                <w:szCs w:val="2"/>
                <w:color w:val="auto"/>
              </w:rPr>
            </w:pPr>
          </w:p>
        </w:tc>
        <w:tc>
          <w:tcPr>
            <w:tcW w:w="720" w:type="dxa"/>
            <w:vAlign w:val="bottom"/>
            <w:tcBorders>
              <w:bottom w:val="single" w:sz="8" w:color="DBDBDB"/>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Operations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3</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Comprehensive Income</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Balance Sheets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5</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Stockholders’ Equity</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6</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Condensed Consolidated Statements of Cash Flows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8</w:t>
            </w:r>
          </w:p>
        </w:tc>
      </w:tr>
      <w:tr>
        <w:trPr>
          <w:trHeight w:val="23"/>
        </w:trPr>
        <w:tc>
          <w:tcPr>
            <w:tcW w:w="1320" w:type="dxa"/>
            <w:vAlign w:val="bottom"/>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1"/>
        </w:trPr>
        <w:tc>
          <w:tcPr>
            <w:tcW w:w="1320" w:type="dxa"/>
            <w:vAlign w:val="bottom"/>
          </w:tcPr>
          <w:p>
            <w:pPr>
              <w:spacing w:after="0"/>
              <w:rPr>
                <w:sz w:val="20"/>
                <w:szCs w:val="20"/>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Notes to Condensed Consolidated Financial Statements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10</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18"/>
        </w:trPr>
        <w:tc>
          <w:tcPr>
            <w:tcW w:w="1320" w:type="dxa"/>
            <w:vAlign w:val="bottom"/>
          </w:tcPr>
          <w:p>
            <w:pPr>
              <w:spacing w:after="0"/>
              <w:rPr>
                <w:sz w:val="18"/>
                <w:szCs w:val="18"/>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131E29"/>
              </w:rPr>
              <w:t>Management’s Discussion and Analysis of Financial Condition and</w:t>
            </w:r>
          </w:p>
        </w:tc>
        <w:tc>
          <w:tcPr>
            <w:tcW w:w="720" w:type="dxa"/>
            <w:vAlign w:val="bottom"/>
          </w:tcPr>
          <w:p>
            <w:pPr>
              <w:spacing w:after="0"/>
              <w:rPr>
                <w:sz w:val="18"/>
                <w:szCs w:val="18"/>
                <w:color w:val="auto"/>
              </w:rPr>
            </w:pPr>
          </w:p>
        </w:tc>
      </w:tr>
      <w:tr>
        <w:trPr>
          <w:trHeight w:val="239"/>
        </w:trPr>
        <w:tc>
          <w:tcPr>
            <w:tcW w:w="1320" w:type="dxa"/>
            <w:vAlign w:val="bottom"/>
          </w:tcPr>
          <w:p>
            <w:pPr>
              <w:jc w:val="center"/>
              <w:spacing w:after="0"/>
              <w:rPr>
                <w:sz w:val="20"/>
                <w:szCs w:val="20"/>
                <w:color w:val="auto"/>
              </w:rPr>
            </w:pPr>
            <w:r>
              <w:rPr>
                <w:rFonts w:ascii="Arial" w:cs="Arial" w:eastAsia="Arial" w:hAnsi="Arial"/>
                <w:sz w:val="18"/>
                <w:szCs w:val="18"/>
                <w:color w:val="131E29"/>
              </w:rPr>
              <w:t>ITEM 2.</w:t>
            </w:r>
          </w:p>
        </w:tc>
        <w:tc>
          <w:tcPr>
            <w:tcW w:w="9200" w:type="dxa"/>
            <w:vAlign w:val="bottom"/>
          </w:tcPr>
          <w:p>
            <w:pPr>
              <w:ind w:left="20"/>
              <w:spacing w:after="0"/>
              <w:rPr>
                <w:sz w:val="20"/>
                <w:szCs w:val="20"/>
                <w:color w:val="auto"/>
              </w:rPr>
            </w:pPr>
            <w:r>
              <w:rPr>
                <w:rFonts w:ascii="Arial" w:cs="Arial" w:eastAsia="Arial" w:hAnsi="Arial"/>
                <w:sz w:val="18"/>
                <w:szCs w:val="18"/>
                <w:color w:val="131E29"/>
              </w:rPr>
              <w:t>Results of Operations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28</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3.</w:t>
            </w:r>
          </w:p>
        </w:tc>
        <w:tc>
          <w:tcPr>
            <w:tcW w:w="9200" w:type="dxa"/>
            <w:vAlign w:val="bottom"/>
          </w:tcPr>
          <w:p>
            <w:pPr>
              <w:ind w:left="20"/>
              <w:spacing w:after="0"/>
              <w:rPr>
                <w:sz w:val="20"/>
                <w:szCs w:val="20"/>
                <w:color w:val="auto"/>
              </w:rPr>
            </w:pPr>
            <w:r>
              <w:rPr>
                <w:rFonts w:ascii="Arial" w:cs="Arial" w:eastAsia="Arial" w:hAnsi="Arial"/>
                <w:sz w:val="18"/>
                <w:szCs w:val="18"/>
                <w:color w:val="131E29"/>
              </w:rPr>
              <w:t>Quantitative and Qualitative Disclosures About Market Risk</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40</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4.</w:t>
            </w:r>
          </w:p>
        </w:tc>
        <w:tc>
          <w:tcPr>
            <w:tcW w:w="9200" w:type="dxa"/>
            <w:vAlign w:val="bottom"/>
          </w:tcPr>
          <w:p>
            <w:pPr>
              <w:ind w:left="20"/>
              <w:spacing w:after="0"/>
              <w:rPr>
                <w:sz w:val="20"/>
                <w:szCs w:val="20"/>
                <w:color w:val="auto"/>
              </w:rPr>
            </w:pPr>
            <w:r>
              <w:rPr>
                <w:rFonts w:ascii="Arial" w:cs="Arial" w:eastAsia="Arial" w:hAnsi="Arial"/>
                <w:sz w:val="18"/>
                <w:szCs w:val="18"/>
                <w:color w:val="131E29"/>
              </w:rPr>
              <w:t>Controls and Procedures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41</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511"/>
        </w:trPr>
        <w:tc>
          <w:tcPr>
            <w:tcW w:w="1320" w:type="dxa"/>
            <w:vAlign w:val="bottom"/>
            <w:tcBorders>
              <w:bottom w:val="single" w:sz="8" w:color="FDE021"/>
            </w:tcBorders>
          </w:tcPr>
          <w:p>
            <w:pPr>
              <w:ind w:left="20"/>
              <w:spacing w:after="0"/>
              <w:rPr>
                <w:sz w:val="20"/>
                <w:szCs w:val="20"/>
                <w:color w:val="auto"/>
              </w:rPr>
            </w:pPr>
            <w:r>
              <w:rPr>
                <w:rFonts w:ascii="Arial" w:cs="Arial" w:eastAsia="Arial" w:hAnsi="Arial"/>
                <w:sz w:val="18"/>
                <w:szCs w:val="18"/>
                <w:b w:val="1"/>
                <w:bCs w:val="1"/>
                <w:color w:val="006098"/>
              </w:rPr>
              <w:t>PART II</w:t>
            </w:r>
          </w:p>
        </w:tc>
        <w:tc>
          <w:tcPr>
            <w:tcW w:w="9200" w:type="dxa"/>
            <w:vAlign w:val="bottom"/>
            <w:tcBorders>
              <w:bottom w:val="single" w:sz="8" w:color="FDE021"/>
            </w:tcBorders>
          </w:tcPr>
          <w:p>
            <w:pPr>
              <w:ind w:left="20"/>
              <w:spacing w:after="0"/>
              <w:rPr>
                <w:sz w:val="20"/>
                <w:szCs w:val="20"/>
                <w:color w:val="auto"/>
              </w:rPr>
            </w:pPr>
            <w:r>
              <w:rPr>
                <w:rFonts w:ascii="Arial" w:cs="Arial" w:eastAsia="Arial" w:hAnsi="Arial"/>
                <w:sz w:val="18"/>
                <w:szCs w:val="18"/>
                <w:b w:val="1"/>
                <w:bCs w:val="1"/>
                <w:color w:val="006098"/>
              </w:rPr>
              <w:t>OTHER INFORMATION</w:t>
            </w:r>
          </w:p>
        </w:tc>
        <w:tc>
          <w:tcPr>
            <w:tcW w:w="720" w:type="dxa"/>
            <w:vAlign w:val="bottom"/>
            <w:tcBorders>
              <w:bottom w:val="single" w:sz="8" w:color="D2DCE5"/>
            </w:tcBorders>
          </w:tcPr>
          <w:p>
            <w:pPr>
              <w:jc w:val="center"/>
              <w:spacing w:after="0"/>
              <w:rPr>
                <w:sz w:val="20"/>
                <w:szCs w:val="20"/>
                <w:color w:val="auto"/>
              </w:rPr>
            </w:pPr>
            <w:r>
              <w:rPr>
                <w:rFonts w:ascii="Arial" w:cs="Arial" w:eastAsia="Arial" w:hAnsi="Arial"/>
                <w:sz w:val="18"/>
                <w:szCs w:val="18"/>
                <w:color w:val="131E29"/>
                <w:w w:val="99"/>
              </w:rPr>
              <w:t>42</w:t>
            </w:r>
          </w:p>
        </w:tc>
      </w:tr>
      <w:tr>
        <w:trPr>
          <w:trHeight w:val="240"/>
        </w:trPr>
        <w:tc>
          <w:tcPr>
            <w:tcW w:w="13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rPr>
              <w:t>ITEM 1.</w:t>
            </w:r>
          </w:p>
        </w:tc>
        <w:tc>
          <w:tcPr>
            <w:tcW w:w="9200" w:type="dxa"/>
            <w:vAlign w:val="bottom"/>
            <w:tcBorders>
              <w:top w:val="single" w:sz="8" w:color="00416B"/>
            </w:tcBorders>
          </w:tcPr>
          <w:p>
            <w:pPr>
              <w:ind w:left="20"/>
              <w:spacing w:after="0"/>
              <w:rPr>
                <w:sz w:val="20"/>
                <w:szCs w:val="20"/>
                <w:color w:val="auto"/>
              </w:rPr>
            </w:pPr>
            <w:r>
              <w:rPr>
                <w:rFonts w:ascii="Arial" w:cs="Arial" w:eastAsia="Arial" w:hAnsi="Arial"/>
                <w:sz w:val="18"/>
                <w:szCs w:val="18"/>
                <w:color w:val="131E29"/>
              </w:rPr>
              <w:t>Legal Proceedings</w:t>
            </w:r>
          </w:p>
        </w:tc>
        <w:tc>
          <w:tcPr>
            <w:tcW w:w="720" w:type="dxa"/>
            <w:vAlign w:val="bottom"/>
            <w:tcBorders>
              <w:top w:val="single" w:sz="8" w:color="00416B"/>
            </w:tcBorders>
          </w:tcPr>
          <w:p>
            <w:pPr>
              <w:jc w:val="center"/>
              <w:spacing w:after="0"/>
              <w:rPr>
                <w:sz w:val="20"/>
                <w:szCs w:val="20"/>
                <w:color w:val="auto"/>
              </w:rPr>
            </w:pPr>
            <w:r>
              <w:rPr>
                <w:rFonts w:ascii="Arial" w:cs="Arial" w:eastAsia="Arial" w:hAnsi="Arial"/>
                <w:sz w:val="18"/>
                <w:szCs w:val="18"/>
                <w:color w:val="131E29"/>
                <w:w w:val="99"/>
              </w:rPr>
              <w:t>42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1A.</w:t>
            </w:r>
          </w:p>
        </w:tc>
        <w:tc>
          <w:tcPr>
            <w:tcW w:w="9200" w:type="dxa"/>
            <w:vAlign w:val="bottom"/>
          </w:tcPr>
          <w:p>
            <w:pPr>
              <w:ind w:left="20"/>
              <w:spacing w:after="0"/>
              <w:rPr>
                <w:sz w:val="20"/>
                <w:szCs w:val="20"/>
                <w:color w:val="auto"/>
              </w:rPr>
            </w:pPr>
            <w:r>
              <w:rPr>
                <w:rFonts w:ascii="Arial" w:cs="Arial" w:eastAsia="Arial" w:hAnsi="Arial"/>
                <w:sz w:val="18"/>
                <w:szCs w:val="18"/>
                <w:color w:val="131E29"/>
              </w:rPr>
              <w:t>Risk Factors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2.</w:t>
            </w:r>
          </w:p>
        </w:tc>
        <w:tc>
          <w:tcPr>
            <w:tcW w:w="9200" w:type="dxa"/>
            <w:vAlign w:val="bottom"/>
          </w:tcPr>
          <w:p>
            <w:pPr>
              <w:ind w:left="20"/>
              <w:spacing w:after="0"/>
              <w:rPr>
                <w:sz w:val="20"/>
                <w:szCs w:val="20"/>
                <w:color w:val="auto"/>
              </w:rPr>
            </w:pPr>
            <w:r>
              <w:rPr>
                <w:rFonts w:ascii="Arial" w:cs="Arial" w:eastAsia="Arial" w:hAnsi="Arial"/>
                <w:sz w:val="18"/>
                <w:szCs w:val="18"/>
                <w:color w:val="131E29"/>
              </w:rPr>
              <w:t>Unregistered Sales of Equity Securities and Use of Proceeds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3.</w:t>
            </w:r>
          </w:p>
        </w:tc>
        <w:tc>
          <w:tcPr>
            <w:tcW w:w="9200" w:type="dxa"/>
            <w:vAlign w:val="bottom"/>
          </w:tcPr>
          <w:p>
            <w:pPr>
              <w:ind w:left="20"/>
              <w:spacing w:after="0"/>
              <w:rPr>
                <w:sz w:val="20"/>
                <w:szCs w:val="20"/>
                <w:color w:val="auto"/>
              </w:rPr>
            </w:pPr>
            <w:r>
              <w:rPr>
                <w:rFonts w:ascii="Arial" w:cs="Arial" w:eastAsia="Arial" w:hAnsi="Arial"/>
                <w:sz w:val="18"/>
                <w:szCs w:val="18"/>
                <w:color w:val="131E29"/>
              </w:rPr>
              <w:t>Defaults Upon Senior Securities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4.</w:t>
            </w:r>
          </w:p>
        </w:tc>
        <w:tc>
          <w:tcPr>
            <w:tcW w:w="9200" w:type="dxa"/>
            <w:vAlign w:val="bottom"/>
          </w:tcPr>
          <w:p>
            <w:pPr>
              <w:ind w:left="20"/>
              <w:spacing w:after="0"/>
              <w:rPr>
                <w:sz w:val="20"/>
                <w:szCs w:val="20"/>
                <w:color w:val="auto"/>
              </w:rPr>
            </w:pPr>
            <w:r>
              <w:rPr>
                <w:rFonts w:ascii="Arial" w:cs="Arial" w:eastAsia="Arial" w:hAnsi="Arial"/>
                <w:sz w:val="18"/>
                <w:szCs w:val="18"/>
                <w:color w:val="131E29"/>
              </w:rPr>
              <w:t>Mine Safety Disclosure</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42</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5.</w:t>
            </w:r>
          </w:p>
        </w:tc>
        <w:tc>
          <w:tcPr>
            <w:tcW w:w="9200" w:type="dxa"/>
            <w:vAlign w:val="bottom"/>
          </w:tcPr>
          <w:p>
            <w:pPr>
              <w:ind w:left="20"/>
              <w:spacing w:after="0"/>
              <w:rPr>
                <w:sz w:val="20"/>
                <w:szCs w:val="20"/>
                <w:color w:val="auto"/>
              </w:rPr>
            </w:pPr>
            <w:r>
              <w:rPr>
                <w:rFonts w:ascii="Arial" w:cs="Arial" w:eastAsia="Arial" w:hAnsi="Arial"/>
                <w:sz w:val="18"/>
                <w:szCs w:val="18"/>
                <w:color w:val="131E29"/>
              </w:rPr>
              <w:t>Other Information</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43</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240"/>
        </w:trPr>
        <w:tc>
          <w:tcPr>
            <w:tcW w:w="1320" w:type="dxa"/>
            <w:vAlign w:val="bottom"/>
          </w:tcPr>
          <w:p>
            <w:pPr>
              <w:jc w:val="center"/>
              <w:spacing w:after="0"/>
              <w:rPr>
                <w:sz w:val="20"/>
                <w:szCs w:val="20"/>
                <w:color w:val="auto"/>
              </w:rPr>
            </w:pPr>
            <w:r>
              <w:rPr>
                <w:rFonts w:ascii="Arial" w:cs="Arial" w:eastAsia="Arial" w:hAnsi="Arial"/>
                <w:sz w:val="18"/>
                <w:szCs w:val="18"/>
                <w:color w:val="131E29"/>
              </w:rPr>
              <w:t>ITEM 6.</w:t>
            </w:r>
          </w:p>
        </w:tc>
        <w:tc>
          <w:tcPr>
            <w:tcW w:w="9200" w:type="dxa"/>
            <w:vAlign w:val="bottom"/>
          </w:tcPr>
          <w:p>
            <w:pPr>
              <w:ind w:left="20"/>
              <w:spacing w:after="0"/>
              <w:rPr>
                <w:sz w:val="20"/>
                <w:szCs w:val="20"/>
                <w:color w:val="auto"/>
              </w:rPr>
            </w:pPr>
            <w:r>
              <w:rPr>
                <w:rFonts w:ascii="Arial" w:cs="Arial" w:eastAsia="Arial" w:hAnsi="Arial"/>
                <w:sz w:val="18"/>
                <w:szCs w:val="18"/>
                <w:color w:val="131E29"/>
              </w:rPr>
              <w:t>Exhibits</w:t>
            </w: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44</w:t>
            </w:r>
          </w:p>
        </w:tc>
      </w:tr>
      <w:tr>
        <w:trPr>
          <w:trHeight w:val="23"/>
        </w:trPr>
        <w:tc>
          <w:tcPr>
            <w:tcW w:w="1320" w:type="dxa"/>
            <w:vAlign w:val="bottom"/>
            <w:tcBorders>
              <w:bottom w:val="single" w:sz="8" w:color="D2DCE5"/>
            </w:tcBorders>
          </w:tcPr>
          <w:p>
            <w:pPr>
              <w:spacing w:after="0"/>
              <w:rPr>
                <w:sz w:val="2"/>
                <w:szCs w:val="2"/>
                <w:color w:val="auto"/>
              </w:rPr>
            </w:pPr>
          </w:p>
        </w:tc>
        <w:tc>
          <w:tcPr>
            <w:tcW w:w="9200" w:type="dxa"/>
            <w:vAlign w:val="bottom"/>
            <w:tcBorders>
              <w:bottom w:val="single" w:sz="8" w:color="D2DCE5"/>
            </w:tcBorders>
          </w:tcPr>
          <w:p>
            <w:pPr>
              <w:spacing w:after="0"/>
              <w:rPr>
                <w:sz w:val="2"/>
                <w:szCs w:val="2"/>
                <w:color w:val="auto"/>
              </w:rPr>
            </w:pPr>
          </w:p>
        </w:tc>
        <w:tc>
          <w:tcPr>
            <w:tcW w:w="720" w:type="dxa"/>
            <w:vAlign w:val="bottom"/>
            <w:tcBorders>
              <w:bottom w:val="single" w:sz="8" w:color="D2DCE5"/>
            </w:tcBorders>
          </w:tcPr>
          <w:p>
            <w:pPr>
              <w:spacing w:after="0"/>
              <w:rPr>
                <w:sz w:val="2"/>
                <w:szCs w:val="2"/>
                <w:color w:val="auto"/>
              </w:rPr>
            </w:pPr>
          </w:p>
        </w:tc>
      </w:tr>
      <w:tr>
        <w:trPr>
          <w:trHeight w:val="337"/>
        </w:trPr>
        <w:tc>
          <w:tcPr>
            <w:tcW w:w="1320" w:type="dxa"/>
            <w:vAlign w:val="bottom"/>
          </w:tcPr>
          <w:p>
            <w:pPr>
              <w:ind w:left="20"/>
              <w:spacing w:after="0"/>
              <w:rPr>
                <w:sz w:val="20"/>
                <w:szCs w:val="20"/>
                <w:color w:val="auto"/>
              </w:rPr>
            </w:pPr>
            <w:r>
              <w:rPr>
                <w:rFonts w:ascii="Arial" w:cs="Arial" w:eastAsia="Arial" w:hAnsi="Arial"/>
                <w:sz w:val="18"/>
                <w:szCs w:val="18"/>
                <w:b w:val="1"/>
                <w:bCs w:val="1"/>
                <w:color w:val="006098"/>
              </w:rPr>
              <w:t>SIGNATURES</w:t>
            </w:r>
          </w:p>
        </w:tc>
        <w:tc>
          <w:tcPr>
            <w:tcW w:w="9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131E29"/>
                <w:w w:val="99"/>
              </w:rPr>
              <w:t>45</w:t>
            </w:r>
          </w:p>
        </w:tc>
      </w:tr>
      <w:tr>
        <w:trPr>
          <w:trHeight w:val="155"/>
        </w:trPr>
        <w:tc>
          <w:tcPr>
            <w:tcW w:w="1320" w:type="dxa"/>
            <w:vAlign w:val="bottom"/>
            <w:tcBorders>
              <w:bottom w:val="single" w:sz="8" w:color="D7282F"/>
            </w:tcBorders>
            <w:shd w:val="clear" w:color="auto" w:fill="FDE021"/>
          </w:tcPr>
          <w:p>
            <w:pPr>
              <w:spacing w:after="0"/>
              <w:rPr>
                <w:sz w:val="13"/>
                <w:szCs w:val="13"/>
                <w:color w:val="auto"/>
              </w:rPr>
            </w:pPr>
          </w:p>
        </w:tc>
        <w:tc>
          <w:tcPr>
            <w:tcW w:w="9200" w:type="dxa"/>
            <w:vAlign w:val="bottom"/>
            <w:tcBorders>
              <w:bottom w:val="single" w:sz="8" w:color="D7282F"/>
            </w:tcBorders>
            <w:shd w:val="clear" w:color="auto" w:fill="FDE021"/>
          </w:tcPr>
          <w:p>
            <w:pPr>
              <w:spacing w:after="0"/>
              <w:rPr>
                <w:sz w:val="13"/>
                <w:szCs w:val="13"/>
                <w:color w:val="auto"/>
              </w:rPr>
            </w:pPr>
          </w:p>
        </w:tc>
        <w:tc>
          <w:tcPr>
            <w:tcW w:w="720" w:type="dxa"/>
            <w:vAlign w:val="bottom"/>
            <w:tcBorders>
              <w:bottom w:val="single" w:sz="8" w:color="D7282F"/>
            </w:tcBorders>
            <w:shd w:val="clear" w:color="auto" w:fill="FDE021"/>
          </w:tcPr>
          <w:p>
            <w:pPr>
              <w:spacing w:after="0"/>
              <w:rPr>
                <w:sz w:val="13"/>
                <w:szCs w:val="13"/>
                <w:color w:val="auto"/>
              </w:rPr>
            </w:pPr>
          </w:p>
        </w:tc>
      </w:tr>
      <w:tr>
        <w:trPr>
          <w:trHeight w:val="1668"/>
        </w:trPr>
        <w:tc>
          <w:tcPr>
            <w:tcW w:w="1320" w:type="dxa"/>
            <w:vAlign w:val="bottom"/>
            <w:tcBorders>
              <w:top w:val="single" w:sz="8" w:color="00416B"/>
              <w:bottom w:val="single" w:sz="8" w:color="9A9A9A"/>
            </w:tcBorders>
          </w:tcPr>
          <w:p>
            <w:pPr>
              <w:spacing w:after="0"/>
              <w:rPr>
                <w:sz w:val="24"/>
                <w:szCs w:val="24"/>
                <w:color w:val="auto"/>
              </w:rPr>
            </w:pPr>
          </w:p>
        </w:tc>
        <w:tc>
          <w:tcPr>
            <w:tcW w:w="9200" w:type="dxa"/>
            <w:vAlign w:val="bottom"/>
            <w:tcBorders>
              <w:top w:val="single" w:sz="8" w:color="00416B"/>
              <w:bottom w:val="single" w:sz="8" w:color="9A9A9A"/>
            </w:tcBorders>
          </w:tcPr>
          <w:p>
            <w:pPr>
              <w:spacing w:after="0"/>
              <w:rPr>
                <w:sz w:val="24"/>
                <w:szCs w:val="24"/>
                <w:color w:val="auto"/>
              </w:rPr>
            </w:pPr>
          </w:p>
        </w:tc>
        <w:tc>
          <w:tcPr>
            <w:tcW w:w="720" w:type="dxa"/>
            <w:vAlign w:val="bottom"/>
            <w:tcBorders>
              <w:top w:val="single" w:sz="8" w:color="00416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00416B"/>
        </w:rPr>
        <w:t>GLOSSARY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131E29"/>
        </w:rPr>
        <w:t>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006098"/>
              </w:rPr>
              <w:t>Term</w:t>
            </w:r>
          </w:p>
        </w:tc>
        <w:tc>
          <w:tcPr>
            <w:tcW w:w="8780" w:type="dxa"/>
            <w:vAlign w:val="bottom"/>
          </w:tcPr>
          <w:p>
            <w:pPr>
              <w:spacing w:after="0"/>
              <w:rPr>
                <w:sz w:val="20"/>
                <w:szCs w:val="20"/>
                <w:color w:val="auto"/>
              </w:rPr>
            </w:pPr>
            <w:r>
              <w:rPr>
                <w:rFonts w:ascii="Arial" w:cs="Arial" w:eastAsia="Arial" w:hAnsi="Arial"/>
                <w:sz w:val="18"/>
                <w:szCs w:val="18"/>
                <w:b w:val="1"/>
                <w:bCs w:val="1"/>
                <w:color w:val="006098"/>
              </w:rPr>
              <w:t>Definition</w:t>
            </w:r>
          </w:p>
        </w:tc>
      </w:tr>
      <w:tr>
        <w:trPr>
          <w:trHeight w:val="204"/>
        </w:trPr>
        <w:tc>
          <w:tcPr>
            <w:tcW w:w="2360" w:type="dxa"/>
            <w:vAlign w:val="bottom"/>
            <w:tcBorders>
              <w:top w:val="single" w:sz="8" w:color="D7282F"/>
            </w:tcBorders>
            <w:shd w:val="clear" w:color="auto" w:fill="D2DCE5"/>
          </w:tcPr>
          <w:p>
            <w:pPr>
              <w:spacing w:after="0"/>
              <w:rPr>
                <w:sz w:val="17"/>
                <w:szCs w:val="17"/>
                <w:color w:val="auto"/>
              </w:rPr>
            </w:pPr>
          </w:p>
        </w:tc>
        <w:tc>
          <w:tcPr>
            <w:tcW w:w="100" w:type="dxa"/>
            <w:vAlign w:val="bottom"/>
            <w:tcBorders>
              <w:top w:val="single" w:sz="8" w:color="D2DCE5"/>
            </w:tcBorders>
            <w:shd w:val="clear" w:color="auto" w:fill="D2DCE5"/>
          </w:tcPr>
          <w:p>
            <w:pPr>
              <w:spacing w:after="0"/>
              <w:rPr>
                <w:sz w:val="17"/>
                <w:szCs w:val="17"/>
                <w:color w:val="auto"/>
              </w:rPr>
            </w:pPr>
          </w:p>
        </w:tc>
        <w:tc>
          <w:tcPr>
            <w:tcW w:w="8780" w:type="dxa"/>
            <w:vAlign w:val="bottom"/>
            <w:tcBorders>
              <w:top w:val="single" w:sz="8" w:color="D7282F"/>
            </w:tcBorders>
            <w:shd w:val="clear" w:color="auto" w:fill="D2DCE5"/>
          </w:tcPr>
          <w:p>
            <w:pPr>
              <w:spacing w:after="0"/>
              <w:rPr>
                <w:sz w:val="20"/>
                <w:szCs w:val="20"/>
                <w:color w:val="auto"/>
              </w:rPr>
            </w:pPr>
            <w:r>
              <w:rPr>
                <w:rFonts w:ascii="Arial" w:cs="Arial" w:eastAsia="Arial" w:hAnsi="Arial"/>
                <w:sz w:val="16"/>
                <w:szCs w:val="16"/>
                <w:color w:val="131E29"/>
              </w:rPr>
              <w:t>Has the meaning set forth in NOTE 10 — Debt to the condensed consolidated financial statements, included elsewhere in</w:t>
            </w:r>
          </w:p>
        </w:tc>
      </w:tr>
      <w:tr>
        <w:trPr>
          <w:trHeight w:val="228"/>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2022 Credit Facility</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this Form 10-Q</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Has the meaning set forth in NOTE 10 — Debt to the condensed consolidated financial statements, included elsewhere in</w:t>
            </w:r>
          </w:p>
        </w:tc>
      </w:tr>
      <w:tr>
        <w:trPr>
          <w:trHeight w:val="225"/>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2025 Credit Facility</w:t>
            </w:r>
          </w:p>
        </w:tc>
        <w:tc>
          <w:tcPr>
            <w:tcW w:w="8780" w:type="dxa"/>
            <w:vAlign w:val="bottom"/>
          </w:tcPr>
          <w:p>
            <w:pPr>
              <w:spacing w:after="0"/>
              <w:rPr>
                <w:sz w:val="20"/>
                <w:szCs w:val="20"/>
                <w:color w:val="auto"/>
              </w:rPr>
            </w:pPr>
            <w:r>
              <w:rPr>
                <w:rFonts w:ascii="Arial" w:cs="Arial" w:eastAsia="Arial" w:hAnsi="Arial"/>
                <w:sz w:val="16"/>
                <w:szCs w:val="16"/>
                <w:color w:val="131E29"/>
              </w:rPr>
              <w:t>this Form 10-Q</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AOCI</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Accumulated Other Comprehensive Income</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ASC</w:t>
            </w:r>
          </w:p>
        </w:tc>
        <w:tc>
          <w:tcPr>
            <w:tcW w:w="8780" w:type="dxa"/>
            <w:vAlign w:val="bottom"/>
          </w:tcPr>
          <w:p>
            <w:pPr>
              <w:spacing w:after="0"/>
              <w:rPr>
                <w:sz w:val="20"/>
                <w:szCs w:val="20"/>
                <w:color w:val="auto"/>
              </w:rPr>
            </w:pPr>
            <w:r>
              <w:rPr>
                <w:rFonts w:ascii="Arial" w:cs="Arial" w:eastAsia="Arial" w:hAnsi="Arial"/>
                <w:sz w:val="16"/>
                <w:szCs w:val="16"/>
                <w:color w:val="131E29"/>
              </w:rPr>
              <w:t>Accounting Standards Codification</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ASU</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Accounting Standards Update</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AUV</w:t>
            </w:r>
          </w:p>
        </w:tc>
        <w:tc>
          <w:tcPr>
            <w:tcW w:w="8780" w:type="dxa"/>
            <w:vAlign w:val="bottom"/>
          </w:tcPr>
          <w:p>
            <w:pPr>
              <w:spacing w:after="0"/>
              <w:rPr>
                <w:sz w:val="20"/>
                <w:szCs w:val="20"/>
                <w:color w:val="auto"/>
              </w:rPr>
            </w:pPr>
            <w:r>
              <w:rPr>
                <w:rFonts w:ascii="Arial" w:cs="Arial" w:eastAsia="Arial" w:hAnsi="Arial"/>
                <w:sz w:val="16"/>
                <w:szCs w:val="16"/>
                <w:color w:val="131E29"/>
              </w:rPr>
              <w:t>Average Unit Volume</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BPS or bps</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Basis points, which is used to express differences in rates. One basis point is the equivalent of 1/100 of one percent</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CEO</w:t>
            </w:r>
          </w:p>
        </w:tc>
        <w:tc>
          <w:tcPr>
            <w:tcW w:w="8780" w:type="dxa"/>
            <w:vAlign w:val="bottom"/>
          </w:tcPr>
          <w:p>
            <w:pPr>
              <w:spacing w:after="0"/>
              <w:rPr>
                <w:sz w:val="20"/>
                <w:szCs w:val="20"/>
                <w:color w:val="auto"/>
              </w:rPr>
            </w:pPr>
            <w:r>
              <w:rPr>
                <w:rFonts w:ascii="Arial" w:cs="Arial" w:eastAsia="Arial" w:hAnsi="Arial"/>
                <w:sz w:val="16"/>
                <w:szCs w:val="16"/>
                <w:color w:val="131E29"/>
              </w:rPr>
              <w:t>Chief Executive Officer</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CODM</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Chief Operating Decision Maker</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Co-Founder</w:t>
            </w:r>
          </w:p>
        </w:tc>
        <w:tc>
          <w:tcPr>
            <w:tcW w:w="8780" w:type="dxa"/>
            <w:vAlign w:val="bottom"/>
          </w:tcPr>
          <w:p>
            <w:pPr>
              <w:spacing w:after="0"/>
              <w:rPr>
                <w:sz w:val="20"/>
                <w:szCs w:val="20"/>
                <w:color w:val="auto"/>
              </w:rPr>
            </w:pPr>
            <w:r>
              <w:rPr>
                <w:rFonts w:ascii="Arial" w:cs="Arial" w:eastAsia="Arial" w:hAnsi="Arial"/>
                <w:sz w:val="16"/>
                <w:szCs w:val="16"/>
                <w:color w:val="131E29"/>
              </w:rPr>
              <w:t>Travis Boersma, our Executive Chairman and Co-Founder, and affiliated entities over which he maintains voting control</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Continuing Members</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The Co-Founder and the Sponsor</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Dutch Bros OpCo</w:t>
            </w:r>
          </w:p>
        </w:tc>
        <w:tc>
          <w:tcPr>
            <w:tcW w:w="8780" w:type="dxa"/>
            <w:vAlign w:val="bottom"/>
          </w:tcPr>
          <w:p>
            <w:pPr>
              <w:spacing w:after="0"/>
              <w:rPr>
                <w:sz w:val="20"/>
                <w:szCs w:val="20"/>
                <w:color w:val="auto"/>
              </w:rPr>
            </w:pPr>
            <w:r>
              <w:rPr>
                <w:rFonts w:ascii="Arial" w:cs="Arial" w:eastAsia="Arial" w:hAnsi="Arial"/>
                <w:sz w:val="16"/>
                <w:szCs w:val="16"/>
                <w:color w:val="131E29"/>
              </w:rPr>
              <w:t>Dutch Mafia, LLC, a Delaware limited liability company and direct subsidiary of Dutch Bros Inc.</w:t>
            </w:r>
          </w:p>
        </w:tc>
      </w:tr>
      <w:tr>
        <w:trPr>
          <w:trHeight w:val="207"/>
        </w:trPr>
        <w:tc>
          <w:tcPr>
            <w:tcW w:w="23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A Delaware corporation, the Class A common stock of which is publicly traded on the New York Stock Exchange under the</w:t>
            </w:r>
          </w:p>
        </w:tc>
      </w:tr>
      <w:tr>
        <w:trPr>
          <w:trHeight w:val="228"/>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Dutch Bros Inc.</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symbol “BROS”</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EBITDAR</w:t>
            </w:r>
          </w:p>
        </w:tc>
        <w:tc>
          <w:tcPr>
            <w:tcW w:w="8780" w:type="dxa"/>
            <w:vAlign w:val="bottom"/>
          </w:tcPr>
          <w:p>
            <w:pPr>
              <w:spacing w:after="0"/>
              <w:rPr>
                <w:sz w:val="20"/>
                <w:szCs w:val="20"/>
                <w:color w:val="auto"/>
              </w:rPr>
            </w:pPr>
            <w:r>
              <w:rPr>
                <w:rFonts w:ascii="Arial" w:cs="Arial" w:eastAsia="Arial" w:hAnsi="Arial"/>
                <w:sz w:val="16"/>
                <w:szCs w:val="16"/>
                <w:color w:val="131E29"/>
              </w:rPr>
              <w:t>Earnings before interest, taxes, depreciation, amortization, and rent costs</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FASB</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Financial Accounting Standards Board</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GAAP</w:t>
            </w:r>
          </w:p>
        </w:tc>
        <w:tc>
          <w:tcPr>
            <w:tcW w:w="8780" w:type="dxa"/>
            <w:vAlign w:val="bottom"/>
          </w:tcPr>
          <w:p>
            <w:pPr>
              <w:spacing w:after="0"/>
              <w:rPr>
                <w:sz w:val="20"/>
                <w:szCs w:val="20"/>
                <w:color w:val="auto"/>
              </w:rPr>
            </w:pPr>
            <w:r>
              <w:rPr>
                <w:rFonts w:ascii="Arial" w:cs="Arial" w:eastAsia="Arial" w:hAnsi="Arial"/>
                <w:sz w:val="16"/>
                <w:szCs w:val="16"/>
                <w:color w:val="131E29"/>
              </w:rPr>
              <w:t>U.S. Generally Accepted Accounting Principles</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IPO</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Initial Public Offering</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N/A</w:t>
            </w:r>
          </w:p>
        </w:tc>
        <w:tc>
          <w:tcPr>
            <w:tcW w:w="8780" w:type="dxa"/>
            <w:vAlign w:val="bottom"/>
          </w:tcPr>
          <w:p>
            <w:pPr>
              <w:spacing w:after="0"/>
              <w:rPr>
                <w:sz w:val="20"/>
                <w:szCs w:val="20"/>
                <w:color w:val="auto"/>
              </w:rPr>
            </w:pPr>
            <w:r>
              <w:rPr>
                <w:rFonts w:ascii="Arial" w:cs="Arial" w:eastAsia="Arial" w:hAnsi="Arial"/>
                <w:sz w:val="16"/>
                <w:szCs w:val="16"/>
                <w:color w:val="131E29"/>
              </w:rPr>
              <w:t>Not applicable</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N/M</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Not meaningful</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OpCo LLC Agreement</w:t>
            </w:r>
          </w:p>
        </w:tc>
        <w:tc>
          <w:tcPr>
            <w:tcW w:w="8780" w:type="dxa"/>
            <w:vAlign w:val="bottom"/>
          </w:tcPr>
          <w:p>
            <w:pPr>
              <w:spacing w:after="0"/>
              <w:rPr>
                <w:sz w:val="20"/>
                <w:szCs w:val="20"/>
                <w:color w:val="auto"/>
              </w:rPr>
            </w:pPr>
            <w:r>
              <w:rPr>
                <w:rFonts w:ascii="Arial" w:cs="Arial" w:eastAsia="Arial" w:hAnsi="Arial"/>
                <w:sz w:val="16"/>
                <w:szCs w:val="16"/>
                <w:color w:val="131E29"/>
              </w:rPr>
              <w:t>The Fifth Amended and Restated Limited Liability Company Agreement of Dutch Bros OpCo</w:t>
            </w:r>
          </w:p>
        </w:tc>
      </w:tr>
      <w:tr>
        <w:trPr>
          <w:trHeight w:val="207"/>
        </w:trPr>
        <w:tc>
          <w:tcPr>
            <w:tcW w:w="23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Class A common units, Class B voting units and Class C voting units of Dutch Bros OpCo, each as further defined in the</w:t>
            </w:r>
          </w:p>
        </w:tc>
      </w:tr>
      <w:tr>
        <w:trPr>
          <w:trHeight w:val="228"/>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OpCo Units</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OpCo LLC Agreement, collectively</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PSU</w:t>
            </w:r>
          </w:p>
        </w:tc>
        <w:tc>
          <w:tcPr>
            <w:tcW w:w="8780" w:type="dxa"/>
            <w:vAlign w:val="bottom"/>
          </w:tcPr>
          <w:p>
            <w:pPr>
              <w:spacing w:after="0"/>
              <w:rPr>
                <w:sz w:val="20"/>
                <w:szCs w:val="20"/>
                <w:color w:val="auto"/>
              </w:rPr>
            </w:pPr>
            <w:r>
              <w:rPr>
                <w:rFonts w:ascii="Arial" w:cs="Arial" w:eastAsia="Arial" w:hAnsi="Arial"/>
                <w:sz w:val="16"/>
                <w:szCs w:val="16"/>
                <w:color w:val="131E29"/>
              </w:rPr>
              <w:t>Performance Restricted Stock Units</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RSU</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Restricted Stock Units</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The estimated percentage change in year-over-year sales, for the comparable shop base, which we define as shops open</w:t>
            </w:r>
          </w:p>
        </w:tc>
      </w:tr>
      <w:tr>
        <w:trPr>
          <w:trHeight w:val="265"/>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Same Shop Sales</w:t>
            </w:r>
          </w:p>
        </w:tc>
        <w:tc>
          <w:tcPr>
            <w:tcW w:w="8780" w:type="dxa"/>
            <w:vAlign w:val="bottom"/>
          </w:tcPr>
          <w:p>
            <w:pPr>
              <w:spacing w:after="0"/>
              <w:rPr>
                <w:sz w:val="20"/>
                <w:szCs w:val="20"/>
                <w:color w:val="auto"/>
              </w:rPr>
            </w:pPr>
            <w:r>
              <w:rPr>
                <w:rFonts w:ascii="Arial" w:cs="Arial" w:eastAsia="Arial" w:hAnsi="Arial"/>
                <w:sz w:val="16"/>
                <w:szCs w:val="16"/>
                <w:color w:val="131E29"/>
              </w:rPr>
              <w:t>for 15 complete months or longer as of the first day of the reporting period</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SEC</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Securities and Exchange Commission</w:t>
            </w:r>
          </w:p>
        </w:tc>
      </w:tr>
      <w:tr>
        <w:trPr>
          <w:trHeight w:val="23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SOFR</w:t>
            </w:r>
          </w:p>
        </w:tc>
        <w:tc>
          <w:tcPr>
            <w:tcW w:w="8780" w:type="dxa"/>
            <w:vAlign w:val="bottom"/>
          </w:tcPr>
          <w:p>
            <w:pPr>
              <w:spacing w:after="0"/>
              <w:rPr>
                <w:sz w:val="20"/>
                <w:szCs w:val="20"/>
                <w:color w:val="auto"/>
              </w:rPr>
            </w:pPr>
            <w:r>
              <w:rPr>
                <w:rFonts w:ascii="Arial" w:cs="Arial" w:eastAsia="Arial" w:hAnsi="Arial"/>
                <w:sz w:val="16"/>
                <w:szCs w:val="16"/>
                <w:color w:val="131E29"/>
              </w:rPr>
              <w:t>Secured Overnight Financing Rate</w:t>
            </w:r>
          </w:p>
        </w:tc>
      </w:tr>
      <w:tr>
        <w:trPr>
          <w:trHeight w:val="247"/>
        </w:trPr>
        <w:tc>
          <w:tcPr>
            <w:tcW w:w="24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Sponsor</w:t>
            </w:r>
          </w:p>
        </w:tc>
        <w:tc>
          <w:tcPr>
            <w:tcW w:w="8780" w:type="dxa"/>
            <w:vAlign w:val="bottom"/>
            <w:shd w:val="clear" w:color="auto" w:fill="D2DCE5"/>
          </w:tcPr>
          <w:p>
            <w:pPr>
              <w:spacing w:after="0"/>
              <w:rPr>
                <w:sz w:val="20"/>
                <w:szCs w:val="20"/>
                <w:color w:val="auto"/>
              </w:rPr>
            </w:pPr>
            <w:r>
              <w:rPr>
                <w:rFonts w:ascii="Arial" w:cs="Arial" w:eastAsia="Arial" w:hAnsi="Arial"/>
                <w:sz w:val="16"/>
                <w:szCs w:val="16"/>
                <w:color w:val="131E29"/>
              </w:rPr>
              <w:t>TSG Consumer Partners, L.P. and certain of its affiliates</w:t>
            </w:r>
          </w:p>
        </w:tc>
      </w:tr>
      <w:tr>
        <w:trPr>
          <w:trHeight w:val="204"/>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6"/>
                <w:szCs w:val="16"/>
                <w:color w:val="131E29"/>
              </w:rPr>
              <w:t>The Tax Receivable Agreement (Exchanges) that Dutch Bros Inc. entered into with the Continuing Members and the Tax</w:t>
            </w:r>
          </w:p>
        </w:tc>
      </w:tr>
      <w:tr>
        <w:trPr>
          <w:trHeight w:val="189"/>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Tax Receivable Agreements</w:t>
            </w:r>
          </w:p>
        </w:tc>
        <w:tc>
          <w:tcPr>
            <w:tcW w:w="8780" w:type="dxa"/>
            <w:vAlign w:val="bottom"/>
          </w:tcPr>
          <w:p>
            <w:pPr>
              <w:spacing w:after="0"/>
              <w:rPr>
                <w:sz w:val="20"/>
                <w:szCs w:val="20"/>
                <w:color w:val="auto"/>
              </w:rPr>
            </w:pPr>
            <w:r>
              <w:rPr>
                <w:rFonts w:ascii="Arial" w:cs="Arial" w:eastAsia="Arial" w:hAnsi="Arial"/>
                <w:sz w:val="16"/>
                <w:szCs w:val="16"/>
                <w:color w:val="131E29"/>
              </w:rPr>
              <w:t>Receivable Agreement (Reorganization) that Dutch Bros Inc. entered into with TSG7 A AIV VI Holdings-A, L.P. and DG</w:t>
            </w:r>
          </w:p>
        </w:tc>
      </w:tr>
      <w:tr>
        <w:trPr>
          <w:trHeight w:val="234"/>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131E29"/>
              </w:rPr>
              <w:t>(TRAs)</w:t>
            </w:r>
          </w:p>
        </w:tc>
        <w:tc>
          <w:tcPr>
            <w:tcW w:w="8780" w:type="dxa"/>
            <w:vAlign w:val="bottom"/>
          </w:tcPr>
          <w:p>
            <w:pPr>
              <w:spacing w:after="0"/>
              <w:rPr>
                <w:sz w:val="20"/>
                <w:szCs w:val="20"/>
                <w:color w:val="auto"/>
              </w:rPr>
            </w:pPr>
            <w:r>
              <w:rPr>
                <w:rFonts w:ascii="Arial" w:cs="Arial" w:eastAsia="Arial" w:hAnsi="Arial"/>
                <w:sz w:val="16"/>
                <w:szCs w:val="16"/>
                <w:color w:val="131E29"/>
              </w:rPr>
              <w:t>Coinvestor Blocker Aggregator, L.P. or their assignees or successors, in connection with the IPO</w:t>
            </w:r>
          </w:p>
        </w:tc>
      </w:tr>
    </w:tbl>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color w:val="131E29"/>
        </w:rPr>
        <w:t>Dutch Bros</w:t>
      </w:r>
      <w:r>
        <w:rPr>
          <w:rFonts w:ascii="Arial" w:cs="Arial" w:eastAsia="Arial" w:hAnsi="Arial"/>
          <w:sz w:val="14"/>
          <w:szCs w:val="14"/>
          <w:color w:val="131E29"/>
        </w:rPr>
        <w:t>, our Windmill logo (</w:t>
      </w:r>
      <w:r>
        <w:rPr>
          <w:sz w:val="1"/>
          <w:szCs w:val="1"/>
          <w:color w:val="auto"/>
        </w:rPr>
        <w:drawing>
          <wp:inline distT="0" distB="0" distL="0" distR="0">
            <wp:extent cx="111760" cy="1625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760" cy="162560"/>
                    </a:xfrm>
                    <a:prstGeom prst="rect">
                      <a:avLst/>
                    </a:prstGeom>
                    <a:noFill/>
                    <a:ln>
                      <a:noFill/>
                    </a:ln>
                  </pic:spPr>
                </pic:pic>
              </a:graphicData>
            </a:graphic>
          </wp:inline>
        </w:drawing>
      </w:r>
      <w:r>
        <w:rPr>
          <w:rFonts w:ascii="Arial" w:cs="Arial" w:eastAsia="Arial" w:hAnsi="Arial"/>
          <w:sz w:val="14"/>
          <w:szCs w:val="14"/>
          <w:color w:val="131E29"/>
        </w:rPr>
        <w:t xml:space="preserve">), </w:t>
      </w:r>
      <w:r>
        <w:rPr>
          <w:rFonts w:ascii="Arial" w:cs="Arial" w:eastAsia="Arial" w:hAnsi="Arial"/>
          <w:sz w:val="14"/>
          <w:szCs w:val="14"/>
          <w:i w:val="1"/>
          <w:iCs w:val="1"/>
          <w:color w:val="131E29"/>
        </w:rPr>
        <w:t>Dutch Bros Blue Rebel</w:t>
      </w:r>
      <w:r>
        <w:rPr>
          <w:rFonts w:ascii="Arial" w:cs="Arial" w:eastAsia="Arial" w:hAnsi="Arial"/>
          <w:sz w:val="14"/>
          <w:szCs w:val="14"/>
          <w:color w:val="131E29"/>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Forward-Looking Statements</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131E29"/>
        </w:rPr>
        <w:t>Certain statements in this Form 10-Q, including those in the section titled “Management’s Discussion and Analysis,” that are not historical facts, including those regarding the impact of inflation, increased minimum wages, interest rate risk, and general macroeconomic conditions, including the conflicts in the Middle East,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“estimate,” “expect,” “intend,” “may,” “predict,” “project,” “should,” “target,” and similar terms and phrases, including references to assumptions, to identify forward-looking statements. In addition, statements that “we believe” and similar statements reflect our beliefs and opinions on the relevant subject. While we believe that information provides a reasonable basis for these statements, that information may be limited or incomplete, and our statements should not be read to indicate that we have conducted an exhaustive inquiry into, or review of, all relevant information. These forward-looking statements are based on information available to us as of the date of this Form 10-Q, and we assume no obligation to update these forward-looking statements. These statements are subject to risks and uncertainties that could cause actual results to differ materially from those described in the statements. You should not place undue reliance on forward-looking statements, which speak only as of the date of this Form 10-Q.</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2025, filed with the SEC on February 12, 2026 (2025 Form 10-K).</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and in our 2025 Form 10-K, as such risk factors may be amended, supplemented or superseded from time to time by other reports we file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Website Disclosure</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6098"/>
        </w:rPr>
        <w:t>Table of Contents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Operations</w:t>
      </w:r>
    </w:p>
    <w:p>
      <w:pPr>
        <w:spacing w:after="0" w:line="11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34925</wp:posOffset>
            </wp:positionV>
            <wp:extent cx="25285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5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5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Revenues</w:t>
            </w: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r>
      <w:tr>
        <w:trPr>
          <w:trHeight w:val="270"/>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Company-operated shops</w:t>
            </w:r>
          </w:p>
        </w:tc>
        <w:tc>
          <w:tcPr>
            <w:tcW w:w="440" w:type="dxa"/>
            <w:vAlign w:val="bottom"/>
          </w:tcPr>
          <w:p>
            <w:pPr>
              <w:jc w:val="right"/>
              <w:ind w:right="230"/>
              <w:spacing w:after="0"/>
              <w:rPr>
                <w:sz w:val="20"/>
                <w:szCs w:val="20"/>
                <w:color w:val="auto"/>
              </w:rPr>
            </w:pPr>
            <w:r>
              <w:rPr>
                <w:rFonts w:ascii="Arial" w:cs="Arial" w:eastAsia="Arial" w:hAnsi="Arial"/>
                <w:sz w:val="18"/>
                <w:szCs w:val="18"/>
                <w:color w:val="006098"/>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006098"/>
              </w:rPr>
              <w:t>429,057</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131E29"/>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131E29"/>
              </w:rPr>
              <w:t>326,421</w:t>
            </w: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Franchising and other</w:t>
            </w: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35,355</w:t>
            </w:r>
          </w:p>
        </w:tc>
        <w:tc>
          <w:tcPr>
            <w:tcW w:w="100" w:type="dxa"/>
            <w:vAlign w:val="bottom"/>
            <w:shd w:val="clear" w:color="auto" w:fill="D2DCE5"/>
          </w:tcPr>
          <w:p>
            <w:pPr>
              <w:spacing w:after="0"/>
              <w:rPr>
                <w:sz w:val="23"/>
                <w:szCs w:val="23"/>
                <w:color w:val="auto"/>
              </w:rPr>
            </w:pP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28,731</w:t>
            </w:r>
          </w:p>
        </w:tc>
      </w:tr>
      <w:tr>
        <w:trPr>
          <w:trHeight w:val="250"/>
        </w:trPr>
        <w:tc>
          <w:tcPr>
            <w:tcW w:w="7260" w:type="dxa"/>
            <w:vAlign w:val="bottom"/>
            <w:tcBorders>
              <w:bottom w:val="single" w:sz="8" w:color="D2DCE5"/>
            </w:tcBorders>
            <w:gridSpan w:val="2"/>
          </w:tcPr>
          <w:p>
            <w:pPr>
              <w:ind w:left="360"/>
              <w:spacing w:after="0"/>
              <w:rPr>
                <w:sz w:val="20"/>
                <w:szCs w:val="20"/>
                <w:color w:val="auto"/>
              </w:rPr>
            </w:pPr>
            <w:r>
              <w:rPr>
                <w:rFonts w:ascii="Arial" w:cs="Arial" w:eastAsia="Arial" w:hAnsi="Arial"/>
                <w:sz w:val="18"/>
                <w:szCs w:val="18"/>
                <w:color w:val="131E29"/>
              </w:rPr>
              <w:t>Total revenues</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464,412</w:t>
            </w:r>
          </w:p>
        </w:tc>
        <w:tc>
          <w:tcPr>
            <w:tcW w:w="100" w:type="dxa"/>
            <w:vAlign w:val="bottom"/>
            <w:tcBorders>
              <w:bottom w:val="single" w:sz="8" w:color="D2DCE5"/>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355,152</w:t>
            </w:r>
          </w:p>
        </w:tc>
      </w:tr>
      <w:tr>
        <w:trPr>
          <w:trHeight w:val="250"/>
        </w:trPr>
        <w:tc>
          <w:tcPr>
            <w:tcW w:w="71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5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500" w:type="dxa"/>
            <w:vAlign w:val="bottom"/>
            <w:shd w:val="clear" w:color="auto" w:fill="D2DCE5"/>
          </w:tcPr>
          <w:p>
            <w:pPr>
              <w:spacing w:after="0"/>
              <w:rPr>
                <w:sz w:val="21"/>
                <w:szCs w:val="21"/>
                <w:color w:val="auto"/>
              </w:rPr>
            </w:pPr>
          </w:p>
        </w:tc>
      </w:tr>
      <w:tr>
        <w:trPr>
          <w:trHeight w:val="263"/>
        </w:trPr>
        <w:tc>
          <w:tcPr>
            <w:tcW w:w="726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Costs and Expenses</w:t>
            </w: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8"/>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Cost of sales</w:t>
            </w:r>
          </w:p>
        </w:tc>
        <w:tc>
          <w:tcPr>
            <w:tcW w:w="440" w:type="dxa"/>
            <w:vAlign w:val="bottom"/>
            <w:shd w:val="clear" w:color="auto" w:fill="D2DCE5"/>
          </w:tcPr>
          <w:p>
            <w:pPr>
              <w:spacing w:after="0"/>
              <w:rPr>
                <w:sz w:val="24"/>
                <w:szCs w:val="24"/>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356,936</w:t>
            </w:r>
          </w:p>
        </w:tc>
        <w:tc>
          <w:tcPr>
            <w:tcW w:w="100" w:type="dxa"/>
            <w:vAlign w:val="bottom"/>
            <w:shd w:val="clear" w:color="auto" w:fill="D2DCE5"/>
          </w:tcPr>
          <w:p>
            <w:pPr>
              <w:spacing w:after="0"/>
              <w:rPr>
                <w:sz w:val="24"/>
                <w:szCs w:val="24"/>
                <w:color w:val="auto"/>
              </w:rPr>
            </w:pPr>
          </w:p>
        </w:tc>
        <w:tc>
          <w:tcPr>
            <w:tcW w:w="440" w:type="dxa"/>
            <w:vAlign w:val="bottom"/>
            <w:shd w:val="clear" w:color="auto" w:fill="D2DCE5"/>
          </w:tcPr>
          <w:p>
            <w:pPr>
              <w:spacing w:after="0"/>
              <w:rPr>
                <w:sz w:val="24"/>
                <w:szCs w:val="24"/>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265,159</w:t>
            </w:r>
          </w:p>
        </w:tc>
      </w:tr>
      <w:tr>
        <w:trPr>
          <w:trHeight w:val="270"/>
        </w:trPr>
        <w:tc>
          <w:tcPr>
            <w:tcW w:w="7260" w:type="dxa"/>
            <w:vAlign w:val="bottom"/>
            <w:tcBorders>
              <w:bottom w:val="single" w:sz="8" w:color="D2DCE5"/>
            </w:tcBorders>
            <w:gridSpan w:val="2"/>
          </w:tcPr>
          <w:p>
            <w:pPr>
              <w:ind w:left="180"/>
              <w:spacing w:after="0"/>
              <w:rPr>
                <w:sz w:val="20"/>
                <w:szCs w:val="20"/>
                <w:color w:val="auto"/>
              </w:rPr>
            </w:pPr>
            <w:r>
              <w:rPr>
                <w:rFonts w:ascii="Arial" w:cs="Arial" w:eastAsia="Arial" w:hAnsi="Arial"/>
                <w:sz w:val="18"/>
                <w:szCs w:val="18"/>
                <w:color w:val="131E29"/>
              </w:rPr>
              <w:t>Selling, general and administrative</w:t>
            </w: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73,176</w:t>
            </w:r>
          </w:p>
        </w:tc>
        <w:tc>
          <w:tcPr>
            <w:tcW w:w="100" w:type="dxa"/>
            <w:vAlign w:val="bottom"/>
            <w:tcBorders>
              <w:bottom w:val="single" w:sz="8" w:color="D2DCE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58,921</w:t>
            </w:r>
          </w:p>
        </w:tc>
      </w:tr>
      <w:tr>
        <w:trPr>
          <w:trHeight w:val="250"/>
        </w:trPr>
        <w:tc>
          <w:tcPr>
            <w:tcW w:w="726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Total costs and expenses</w:t>
            </w:r>
          </w:p>
        </w:tc>
        <w:tc>
          <w:tcPr>
            <w:tcW w:w="440" w:type="dxa"/>
            <w:vAlign w:val="bottom"/>
            <w:tcBorders>
              <w:bottom w:val="single" w:sz="8" w:color="auto"/>
            </w:tcBorders>
            <w:shd w:val="clear" w:color="auto" w:fill="D2DCE5"/>
          </w:tcPr>
          <w:p>
            <w:pPr>
              <w:spacing w:after="0"/>
              <w:rPr>
                <w:sz w:val="21"/>
                <w:szCs w:val="21"/>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430,112</w:t>
            </w:r>
          </w:p>
        </w:tc>
        <w:tc>
          <w:tcPr>
            <w:tcW w:w="100" w:type="dxa"/>
            <w:vAlign w:val="bottom"/>
            <w:shd w:val="clear" w:color="auto" w:fill="D2DCE5"/>
          </w:tcPr>
          <w:p>
            <w:pPr>
              <w:spacing w:after="0"/>
              <w:rPr>
                <w:sz w:val="21"/>
                <w:szCs w:val="21"/>
                <w:color w:val="auto"/>
              </w:rPr>
            </w:pPr>
          </w:p>
        </w:tc>
        <w:tc>
          <w:tcPr>
            <w:tcW w:w="440" w:type="dxa"/>
            <w:vAlign w:val="bottom"/>
            <w:tcBorders>
              <w:bottom w:val="single" w:sz="8" w:color="auto"/>
            </w:tcBorders>
            <w:shd w:val="clear" w:color="auto" w:fill="D2DCE5"/>
          </w:tcPr>
          <w:p>
            <w:pPr>
              <w:spacing w:after="0"/>
              <w:rPr>
                <w:sz w:val="21"/>
                <w:szCs w:val="21"/>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324,080</w:t>
            </w:r>
          </w:p>
        </w:tc>
      </w:tr>
      <w:tr>
        <w:trPr>
          <w:trHeight w:val="250"/>
        </w:trPr>
        <w:tc>
          <w:tcPr>
            <w:tcW w:w="7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from operations</w:t>
            </w: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34,300</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31,072</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Other expense</w:t>
            </w: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r>
      <w:tr>
        <w:trPr>
          <w:trHeight w:val="270"/>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Interest expense, net</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006098"/>
              </w:rPr>
              <w:t>(7,220)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131E29"/>
              </w:rPr>
              <w:t>(7,115)</w:t>
            </w: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Other expense, net</w:t>
            </w: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(75)</w:t>
            </w:r>
          </w:p>
        </w:tc>
        <w:tc>
          <w:tcPr>
            <w:tcW w:w="100" w:type="dxa"/>
            <w:vAlign w:val="bottom"/>
            <w:shd w:val="clear" w:color="auto" w:fill="D2DCE5"/>
          </w:tcPr>
          <w:p>
            <w:pPr>
              <w:spacing w:after="0"/>
              <w:rPr>
                <w:sz w:val="23"/>
                <w:szCs w:val="23"/>
                <w:color w:val="auto"/>
              </w:rPr>
            </w:pP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(18)</w:t>
            </w:r>
          </w:p>
        </w:tc>
      </w:tr>
      <w:tr>
        <w:trPr>
          <w:trHeight w:val="250"/>
        </w:trPr>
        <w:tc>
          <w:tcPr>
            <w:tcW w:w="7260" w:type="dxa"/>
            <w:vAlign w:val="bottom"/>
            <w:tcBorders>
              <w:bottom w:val="single" w:sz="8" w:color="D2DCE5"/>
            </w:tcBorders>
            <w:gridSpan w:val="2"/>
          </w:tcPr>
          <w:p>
            <w:pPr>
              <w:ind w:left="360"/>
              <w:spacing w:after="0"/>
              <w:rPr>
                <w:sz w:val="20"/>
                <w:szCs w:val="20"/>
                <w:color w:val="auto"/>
              </w:rPr>
            </w:pPr>
            <w:r>
              <w:rPr>
                <w:rFonts w:ascii="Arial" w:cs="Arial" w:eastAsia="Arial" w:hAnsi="Arial"/>
                <w:sz w:val="18"/>
                <w:szCs w:val="18"/>
                <w:color w:val="131E29"/>
              </w:rPr>
              <w:t>Total other expense</w:t>
            </w: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(7,295)</w:t>
            </w:r>
          </w:p>
        </w:tc>
        <w:tc>
          <w:tcPr>
            <w:tcW w:w="100" w:type="dxa"/>
            <w:vAlign w:val="bottom"/>
            <w:tcBorders>
              <w:bottom w:val="single" w:sz="8" w:color="D2DCE5"/>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(7,133)</w:t>
            </w:r>
          </w:p>
        </w:tc>
      </w:tr>
      <w:tr>
        <w:trPr>
          <w:trHeight w:val="250"/>
        </w:trPr>
        <w:tc>
          <w:tcPr>
            <w:tcW w:w="716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5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1500" w:type="dxa"/>
            <w:vAlign w:val="bottom"/>
            <w:shd w:val="clear" w:color="auto" w:fill="D2DCE5"/>
          </w:tcPr>
          <w:p>
            <w:pPr>
              <w:spacing w:after="0"/>
              <w:rPr>
                <w:sz w:val="21"/>
                <w:szCs w:val="21"/>
                <w:color w:val="auto"/>
              </w:rPr>
            </w:pPr>
          </w:p>
        </w:tc>
      </w:tr>
      <w:tr>
        <w:trPr>
          <w:trHeight w:val="270"/>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Income before income taxes</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006098"/>
              </w:rPr>
              <w:t>27,005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131E29"/>
              </w:rPr>
              <w:t>23,939</w:t>
            </w:r>
          </w:p>
        </w:tc>
      </w:tr>
      <w:tr>
        <w:trPr>
          <w:trHeight w:val="27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3,341</w:t>
            </w:r>
          </w:p>
        </w:tc>
        <w:tc>
          <w:tcPr>
            <w:tcW w:w="100" w:type="dxa"/>
            <w:vAlign w:val="bottom"/>
            <w:shd w:val="clear" w:color="auto" w:fill="D2DCE5"/>
          </w:tcPr>
          <w:p>
            <w:pPr>
              <w:spacing w:after="0"/>
              <w:rPr>
                <w:sz w:val="23"/>
                <w:szCs w:val="23"/>
                <w:color w:val="auto"/>
              </w:rPr>
            </w:pP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1,459</w:t>
            </w:r>
          </w:p>
        </w:tc>
      </w:tr>
      <w:tr>
        <w:trPr>
          <w:trHeight w:val="250"/>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006098"/>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006098"/>
              </w:rPr>
              <w:t>23,664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131E29"/>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131E29"/>
              </w:rPr>
              <w:t>22,480</w:t>
            </w: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attributable to non-controlling interests</w:t>
            </w: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7,567</w:t>
            </w:r>
          </w:p>
        </w:tc>
        <w:tc>
          <w:tcPr>
            <w:tcW w:w="100" w:type="dxa"/>
            <w:vAlign w:val="bottom"/>
            <w:shd w:val="clear" w:color="auto" w:fill="D2DCE5"/>
          </w:tcPr>
          <w:p>
            <w:pPr>
              <w:spacing w:after="0"/>
              <w:rPr>
                <w:sz w:val="23"/>
                <w:szCs w:val="23"/>
                <w:color w:val="auto"/>
              </w:rPr>
            </w:pP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7,127</w:t>
            </w:r>
          </w:p>
        </w:tc>
      </w:tr>
      <w:tr>
        <w:trPr>
          <w:trHeight w:val="223"/>
        </w:trPr>
        <w:tc>
          <w:tcPr>
            <w:tcW w:w="726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16,097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15,353</w:t>
            </w:r>
          </w:p>
        </w:tc>
      </w:tr>
      <w:tr>
        <w:trPr>
          <w:trHeight w:val="20"/>
        </w:trPr>
        <w:tc>
          <w:tcPr>
            <w:tcW w:w="71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7"/>
        </w:trPr>
        <w:tc>
          <w:tcPr>
            <w:tcW w:w="72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Net income per share of Class A common stock:</w:t>
            </w:r>
          </w:p>
        </w:tc>
        <w:tc>
          <w:tcPr>
            <w:tcW w:w="440" w:type="dxa"/>
            <w:vAlign w:val="bottom"/>
            <w:tcBorders>
              <w:bottom w:val="single" w:sz="8" w:color="D2DCE5"/>
            </w:tcBorders>
            <w:shd w:val="clear" w:color="auto" w:fill="D2DCE5"/>
          </w:tcPr>
          <w:p>
            <w:pPr>
              <w:spacing w:after="0"/>
              <w:rPr>
                <w:sz w:val="18"/>
                <w:szCs w:val="18"/>
                <w:color w:val="auto"/>
              </w:rPr>
            </w:pPr>
          </w:p>
        </w:tc>
        <w:tc>
          <w:tcPr>
            <w:tcW w:w="1500" w:type="dxa"/>
            <w:vAlign w:val="bottom"/>
            <w:tcBorders>
              <w:bottom w:val="single" w:sz="8" w:color="D2DCE5"/>
            </w:tcBorders>
            <w:shd w:val="clear" w:color="auto" w:fill="D2DCE5"/>
          </w:tcPr>
          <w:p>
            <w:pPr>
              <w:spacing w:after="0"/>
              <w:rPr>
                <w:sz w:val="18"/>
                <w:szCs w:val="18"/>
                <w:color w:val="auto"/>
              </w:rPr>
            </w:pPr>
          </w:p>
        </w:tc>
        <w:tc>
          <w:tcPr>
            <w:tcW w:w="100" w:type="dxa"/>
            <w:vAlign w:val="bottom"/>
            <w:tcBorders>
              <w:bottom w:val="single" w:sz="8" w:color="D2DCE5"/>
            </w:tcBorders>
            <w:shd w:val="clear" w:color="auto" w:fill="D2DCE5"/>
          </w:tcPr>
          <w:p>
            <w:pPr>
              <w:spacing w:after="0"/>
              <w:rPr>
                <w:sz w:val="18"/>
                <w:szCs w:val="18"/>
                <w:color w:val="auto"/>
              </w:rPr>
            </w:pPr>
          </w:p>
        </w:tc>
        <w:tc>
          <w:tcPr>
            <w:tcW w:w="440" w:type="dxa"/>
            <w:vAlign w:val="bottom"/>
            <w:tcBorders>
              <w:bottom w:val="single" w:sz="8" w:color="D2DCE5"/>
            </w:tcBorders>
            <w:shd w:val="clear" w:color="auto" w:fill="D2DCE5"/>
          </w:tcPr>
          <w:p>
            <w:pPr>
              <w:spacing w:after="0"/>
              <w:rPr>
                <w:sz w:val="18"/>
                <w:szCs w:val="18"/>
                <w:color w:val="auto"/>
              </w:rPr>
            </w:pPr>
          </w:p>
        </w:tc>
        <w:tc>
          <w:tcPr>
            <w:tcW w:w="1500" w:type="dxa"/>
            <w:vAlign w:val="bottom"/>
            <w:tcBorders>
              <w:bottom w:val="single" w:sz="8" w:color="D2DCE5"/>
            </w:tcBorders>
            <w:shd w:val="clear" w:color="auto" w:fill="D2DCE5"/>
          </w:tcPr>
          <w:p>
            <w:pPr>
              <w:spacing w:after="0"/>
              <w:rPr>
                <w:sz w:val="18"/>
                <w:szCs w:val="18"/>
                <w:color w:val="auto"/>
              </w:rPr>
            </w:pPr>
          </w:p>
        </w:tc>
      </w:tr>
      <w:tr>
        <w:trPr>
          <w:trHeight w:val="270"/>
        </w:trPr>
        <w:tc>
          <w:tcPr>
            <w:tcW w:w="7260" w:type="dxa"/>
            <w:vAlign w:val="bottom"/>
            <w:gridSpan w:val="2"/>
          </w:tcPr>
          <w:p>
            <w:pPr>
              <w:ind w:left="180"/>
              <w:spacing w:after="0"/>
              <w:rPr>
                <w:sz w:val="20"/>
                <w:szCs w:val="20"/>
                <w:color w:val="auto"/>
              </w:rPr>
            </w:pPr>
            <w:r>
              <w:rPr>
                <w:rFonts w:ascii="Arial" w:cs="Arial" w:eastAsia="Arial" w:hAnsi="Arial"/>
                <w:sz w:val="18"/>
                <w:szCs w:val="18"/>
                <w:b w:val="1"/>
                <w:bCs w:val="1"/>
                <w:color w:val="131E29"/>
              </w:rPr>
              <w:t>Basic</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131E29"/>
              </w:rPr>
              <w:t>0.13</w:t>
            </w: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Diluted</w:t>
            </w: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0.13</w:t>
            </w:r>
          </w:p>
        </w:tc>
      </w:tr>
      <w:tr>
        <w:trPr>
          <w:trHeight w:val="247"/>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Weighted-average shares of Class A common stock outstanding:</w:t>
            </w: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
        </w:trPr>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Basic</w:t>
            </w: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127,138</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120,810</w:t>
            </w:r>
          </w:p>
        </w:tc>
      </w:tr>
      <w:tr>
        <w:trPr>
          <w:trHeight w:val="274"/>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Diluted</w:t>
            </w: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006098"/>
              </w:rPr>
              <w:t>127,384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131E29"/>
              </w:rPr>
              <w:t>121,508</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Comprehensive Income</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34925</wp:posOffset>
            </wp:positionV>
            <wp:extent cx="2494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48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480" w:type="dxa"/>
            <w:vAlign w:val="bottom"/>
            <w:tcBorders>
              <w:bottom w:val="single" w:sz="8" w:color="D7282F"/>
            </w:tcBorders>
          </w:tcPr>
          <w:p>
            <w:pPr>
              <w:jc w:val="right"/>
              <w:ind w:right="67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3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Net income</w:t>
            </w:r>
          </w:p>
        </w:tc>
        <w:tc>
          <w:tcPr>
            <w:tcW w:w="42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006098"/>
                <w:w w:val="79"/>
              </w:rPr>
              <w:t>$</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23,664</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131E29"/>
                <w:w w:val="99"/>
              </w:rPr>
              <w:t>$</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22,480</w:t>
            </w:r>
          </w:p>
        </w:tc>
      </w:tr>
      <w:tr>
        <w:trPr>
          <w:trHeight w:val="247"/>
        </w:trPr>
        <w:tc>
          <w:tcPr>
            <w:tcW w:w="7320" w:type="dxa"/>
            <w:vAlign w:val="bottom"/>
            <w:gridSpan w:val="2"/>
          </w:tcPr>
          <w:p>
            <w:pPr>
              <w:ind w:left="20"/>
              <w:spacing w:after="0"/>
              <w:rPr>
                <w:sz w:val="20"/>
                <w:szCs w:val="20"/>
                <w:color w:val="auto"/>
              </w:rPr>
            </w:pPr>
            <w:r>
              <w:rPr>
                <w:rFonts w:ascii="Arial" w:cs="Arial" w:eastAsia="Arial" w:hAnsi="Arial"/>
                <w:sz w:val="18"/>
                <w:szCs w:val="18"/>
                <w:color w:val="131E29"/>
              </w:rPr>
              <w:t>Other comprehensive (income) loss:</w:t>
            </w: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4"/>
        </w:trPr>
        <w:tc>
          <w:tcPr>
            <w:tcW w:w="73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Unrealized income (loss) on derivative securities, effective portion, net of income tax</w:t>
            </w:r>
          </w:p>
        </w:tc>
        <w:tc>
          <w:tcPr>
            <w:tcW w:w="420" w:type="dxa"/>
            <w:vAlign w:val="bottom"/>
            <w:shd w:val="clear" w:color="auto" w:fill="D2DCE5"/>
          </w:tcPr>
          <w:p>
            <w:pPr>
              <w:spacing w:after="0"/>
              <w:rPr>
                <w:sz w:val="19"/>
                <w:szCs w:val="19"/>
                <w:color w:val="auto"/>
              </w:rPr>
            </w:pPr>
          </w:p>
        </w:tc>
        <w:tc>
          <w:tcPr>
            <w:tcW w:w="14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1480" w:type="dxa"/>
            <w:vAlign w:val="bottom"/>
            <w:shd w:val="clear" w:color="auto" w:fill="D2DCE5"/>
          </w:tcPr>
          <w:p>
            <w:pPr>
              <w:spacing w:after="0"/>
              <w:rPr>
                <w:sz w:val="19"/>
                <w:szCs w:val="19"/>
                <w:color w:val="auto"/>
              </w:rPr>
            </w:pPr>
          </w:p>
        </w:tc>
      </w:tr>
      <w:tr>
        <w:trPr>
          <w:trHeight w:val="262"/>
        </w:trPr>
        <w:tc>
          <w:tcPr>
            <w:tcW w:w="73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expense (benefit) of $6 and $(93), respectively</w:t>
            </w:r>
          </w:p>
        </w:tc>
        <w:tc>
          <w:tcPr>
            <w:tcW w:w="420" w:type="dxa"/>
            <w:vAlign w:val="bottom"/>
            <w:tcBorders>
              <w:bottom w:val="single" w:sz="8" w:color="auto"/>
            </w:tcBorders>
            <w:shd w:val="clear" w:color="auto" w:fill="D2DCE5"/>
          </w:tcPr>
          <w:p>
            <w:pPr>
              <w:spacing w:after="0"/>
              <w:rPr>
                <w:sz w:val="22"/>
                <w:szCs w:val="22"/>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27</w:t>
            </w:r>
          </w:p>
        </w:tc>
        <w:tc>
          <w:tcPr>
            <w:tcW w:w="100" w:type="dxa"/>
            <w:vAlign w:val="bottom"/>
            <w:shd w:val="clear" w:color="auto" w:fill="D2DCE5"/>
          </w:tcPr>
          <w:p>
            <w:pPr>
              <w:spacing w:after="0"/>
              <w:rPr>
                <w:sz w:val="22"/>
                <w:szCs w:val="22"/>
                <w:color w:val="auto"/>
              </w:rPr>
            </w:pPr>
          </w:p>
        </w:tc>
        <w:tc>
          <w:tcPr>
            <w:tcW w:w="440" w:type="dxa"/>
            <w:vAlign w:val="bottom"/>
            <w:tcBorders>
              <w:bottom w:val="single" w:sz="8" w:color="auto"/>
            </w:tcBorders>
            <w:shd w:val="clear" w:color="auto" w:fill="D2DCE5"/>
          </w:tcPr>
          <w:p>
            <w:pPr>
              <w:spacing w:after="0"/>
              <w:rPr>
                <w:sz w:val="22"/>
                <w:szCs w:val="22"/>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(349)</w:t>
            </w:r>
          </w:p>
        </w:tc>
      </w:tr>
      <w:tr>
        <w:trPr>
          <w:trHeight w:val="250"/>
        </w:trPr>
        <w:tc>
          <w:tcPr>
            <w:tcW w:w="7320" w:type="dxa"/>
            <w:vAlign w:val="bottom"/>
            <w:gridSpan w:val="2"/>
          </w:tcPr>
          <w:p>
            <w:pPr>
              <w:ind w:left="20"/>
              <w:spacing w:after="0"/>
              <w:rPr>
                <w:sz w:val="20"/>
                <w:szCs w:val="20"/>
                <w:color w:val="auto"/>
              </w:rPr>
            </w:pPr>
            <w:r>
              <w:rPr>
                <w:rFonts w:ascii="Arial" w:cs="Arial" w:eastAsia="Arial" w:hAnsi="Arial"/>
                <w:sz w:val="18"/>
                <w:szCs w:val="18"/>
                <w:color w:val="131E29"/>
              </w:rPr>
              <w:t>Comprehensive income</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06098"/>
              </w:rPr>
              <w:t>23,691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131E29"/>
              </w:rPr>
              <w:t>22,131</w:t>
            </w:r>
          </w:p>
        </w:tc>
      </w:tr>
      <w:tr>
        <w:trPr>
          <w:trHeight w:val="270"/>
        </w:trPr>
        <w:tc>
          <w:tcPr>
            <w:tcW w:w="73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comprehensive income attributable to non-controlling interests</w:t>
            </w:r>
          </w:p>
        </w:tc>
        <w:tc>
          <w:tcPr>
            <w:tcW w:w="420" w:type="dxa"/>
            <w:vAlign w:val="bottom"/>
            <w:tcBorders>
              <w:bottom w:val="single" w:sz="8" w:color="auto"/>
            </w:tcBorders>
            <w:shd w:val="clear" w:color="auto" w:fill="D2DCE5"/>
          </w:tcPr>
          <w:p>
            <w:pPr>
              <w:spacing w:after="0"/>
              <w:rPr>
                <w:sz w:val="23"/>
                <w:szCs w:val="23"/>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7,576</w:t>
            </w:r>
          </w:p>
        </w:tc>
        <w:tc>
          <w:tcPr>
            <w:tcW w:w="100" w:type="dxa"/>
            <w:vAlign w:val="bottom"/>
            <w:shd w:val="clear" w:color="auto" w:fill="D2DCE5"/>
          </w:tcPr>
          <w:p>
            <w:pPr>
              <w:spacing w:after="0"/>
              <w:rPr>
                <w:sz w:val="23"/>
                <w:szCs w:val="23"/>
                <w:color w:val="auto"/>
              </w:rPr>
            </w:pPr>
          </w:p>
        </w:tc>
        <w:tc>
          <w:tcPr>
            <w:tcW w:w="440" w:type="dxa"/>
            <w:vAlign w:val="bottom"/>
            <w:tcBorders>
              <w:bottom w:val="single" w:sz="8" w:color="auto"/>
            </w:tcBorders>
            <w:shd w:val="clear" w:color="auto" w:fill="D2DCE5"/>
          </w:tcPr>
          <w:p>
            <w:pPr>
              <w:spacing w:after="0"/>
              <w:rPr>
                <w:sz w:val="23"/>
                <w:szCs w:val="23"/>
                <w:color w:val="auto"/>
              </w:rPr>
            </w:pP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6,968</w:t>
            </w:r>
          </w:p>
        </w:tc>
      </w:tr>
      <w:tr>
        <w:trPr>
          <w:trHeight w:val="223"/>
        </w:trPr>
        <w:tc>
          <w:tcPr>
            <w:tcW w:w="7320" w:type="dxa"/>
            <w:vAlign w:val="bottom"/>
            <w:gridSpan w:val="2"/>
          </w:tcPr>
          <w:p>
            <w:pPr>
              <w:ind w:left="20"/>
              <w:spacing w:after="0"/>
              <w:rPr>
                <w:sz w:val="20"/>
                <w:szCs w:val="20"/>
                <w:color w:val="auto"/>
              </w:rPr>
            </w:pPr>
            <w:r>
              <w:rPr>
                <w:rFonts w:ascii="Arial" w:cs="Arial" w:eastAsia="Arial" w:hAnsi="Arial"/>
                <w:sz w:val="18"/>
                <w:szCs w:val="18"/>
                <w:b w:val="1"/>
                <w:bCs w:val="1"/>
                <w:color w:val="131E29"/>
              </w:rPr>
              <w:t>Comprehensive income attributable to Dutch Bros Inc.</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006098"/>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16,115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131E29"/>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15,163</w:t>
            </w:r>
          </w:p>
        </w:tc>
      </w:tr>
      <w:tr>
        <w:trPr>
          <w:trHeight w:val="21"/>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ind w:left="320"/>
        <w:spacing w:after="0"/>
        <w:rPr>
          <w:sz w:val="20"/>
          <w:szCs w:val="20"/>
          <w:color w:val="auto"/>
        </w:rPr>
      </w:pPr>
      <w:r>
        <w:rPr>
          <w:rFonts w:ascii="Arial" w:cs="Arial" w:eastAsia="Arial" w:hAnsi="Arial"/>
          <w:sz w:val="14"/>
          <w:szCs w:val="14"/>
          <w:u w:val="single" w:color="auto"/>
          <w:color w:val="006098"/>
        </w:rPr>
        <w:t>Table of Contents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131E29"/>
        </w:rPr>
        <w:t>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131E29"/>
              </w:rPr>
              <w:t>March 31,</w:t>
            </w:r>
          </w:p>
        </w:tc>
        <w:tc>
          <w:tcPr>
            <w:tcW w:w="240" w:type="dxa"/>
            <w:vAlign w:val="bottom"/>
          </w:tcPr>
          <w:p>
            <w:pPr>
              <w:spacing w:after="0"/>
              <w:rPr>
                <w:sz w:val="18"/>
                <w:szCs w:val="18"/>
                <w:color w:val="auto"/>
              </w:rPr>
            </w:pPr>
          </w:p>
        </w:tc>
        <w:tc>
          <w:tcPr>
            <w:tcW w:w="1680" w:type="dxa"/>
            <w:vAlign w:val="bottom"/>
          </w:tcPr>
          <w:p>
            <w:pPr>
              <w:jc w:val="right"/>
              <w:ind w:right="299"/>
              <w:spacing w:after="0"/>
              <w:rPr>
                <w:sz w:val="20"/>
                <w:szCs w:val="20"/>
                <w:color w:val="auto"/>
              </w:rPr>
            </w:pPr>
            <w:r>
              <w:rPr>
                <w:rFonts w:ascii="Arial" w:cs="Arial" w:eastAsia="Arial" w:hAnsi="Arial"/>
                <w:sz w:val="18"/>
                <w:szCs w:val="18"/>
                <w:b w:val="1"/>
                <w:bCs w:val="1"/>
                <w:color w:val="131E29"/>
              </w:rPr>
              <w:t>December 31,</w:t>
            </w:r>
          </w:p>
        </w:tc>
      </w:tr>
      <w:tr>
        <w:trPr>
          <w:trHeight w:val="255"/>
        </w:trPr>
        <w:tc>
          <w:tcPr>
            <w:tcW w:w="7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 unaudited)</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1600" w:type="dxa"/>
            <w:vAlign w:val="bottom"/>
            <w:tcBorders>
              <w:bottom w:val="single" w:sz="8" w:color="D7282F"/>
            </w:tcBorders>
          </w:tcPr>
          <w:p>
            <w:pPr>
              <w:jc w:val="right"/>
              <w:ind w:right="679"/>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D7282F"/>
            </w:tcBorders>
          </w:tcPr>
          <w:p>
            <w:pPr>
              <w:spacing w:after="0"/>
              <w:rPr>
                <w:sz w:val="22"/>
                <w:szCs w:val="22"/>
                <w:color w:val="auto"/>
              </w:rPr>
            </w:pPr>
          </w:p>
        </w:tc>
        <w:tc>
          <w:tcPr>
            <w:tcW w:w="1680" w:type="dxa"/>
            <w:vAlign w:val="bottom"/>
            <w:tcBorders>
              <w:bottom w:val="single" w:sz="8" w:color="D7282F"/>
            </w:tcBorders>
          </w:tcPr>
          <w:p>
            <w:pPr>
              <w:jc w:val="right"/>
              <w:ind w:right="679"/>
              <w:spacing w:after="0"/>
              <w:rPr>
                <w:sz w:val="20"/>
                <w:szCs w:val="20"/>
                <w:color w:val="auto"/>
              </w:rPr>
            </w:pPr>
            <w:r>
              <w:rPr>
                <w:rFonts w:ascii="Arial" w:cs="Arial" w:eastAsia="Arial" w:hAnsi="Arial"/>
                <w:sz w:val="18"/>
                <w:szCs w:val="18"/>
                <w:b w:val="1"/>
                <w:bCs w:val="1"/>
                <w:color w:val="131E29"/>
              </w:rPr>
              <w:t>2025</w:t>
            </w:r>
          </w:p>
        </w:tc>
      </w:tr>
      <w:tr>
        <w:trPr>
          <w:trHeight w:val="243"/>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Assets</w:t>
            </w:r>
          </w:p>
        </w:tc>
        <w:tc>
          <w:tcPr>
            <w:tcW w:w="320" w:type="dxa"/>
            <w:vAlign w:val="bottom"/>
            <w:shd w:val="clear" w:color="auto" w:fill="D2DCE5"/>
          </w:tcPr>
          <w:p>
            <w:pPr>
              <w:spacing w:after="0"/>
              <w:rPr>
                <w:sz w:val="21"/>
                <w:szCs w:val="21"/>
                <w:color w:val="auto"/>
              </w:rPr>
            </w:pPr>
          </w:p>
        </w:tc>
        <w:tc>
          <w:tcPr>
            <w:tcW w:w="160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680" w:type="dxa"/>
            <w:vAlign w:val="bottom"/>
            <w:shd w:val="clear" w:color="auto" w:fill="D2DCE5"/>
          </w:tcPr>
          <w:p>
            <w:pPr>
              <w:spacing w:after="0"/>
              <w:rPr>
                <w:sz w:val="21"/>
                <w:szCs w:val="21"/>
                <w:color w:val="auto"/>
              </w:rPr>
            </w:pPr>
          </w:p>
        </w:tc>
      </w:tr>
      <w:tr>
        <w:trPr>
          <w:trHeight w:val="234"/>
        </w:trPr>
        <w:tc>
          <w:tcPr>
            <w:tcW w:w="7260" w:type="dxa"/>
            <w:vAlign w:val="bottom"/>
            <w:gridSpan w:val="2"/>
          </w:tcPr>
          <w:p>
            <w:pPr>
              <w:ind w:left="20"/>
              <w:spacing w:after="0"/>
              <w:rPr>
                <w:sz w:val="20"/>
                <w:szCs w:val="20"/>
                <w:color w:val="auto"/>
              </w:rPr>
            </w:pPr>
            <w:r>
              <w:rPr>
                <w:rFonts w:ascii="Arial" w:cs="Arial" w:eastAsia="Arial" w:hAnsi="Arial"/>
                <w:sz w:val="16"/>
                <w:szCs w:val="16"/>
                <w:color w:val="131E29"/>
              </w:rPr>
              <w:t>Current assets: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2"/>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Cash and cash equivalents</w:t>
            </w:r>
          </w:p>
        </w:tc>
        <w:tc>
          <w:tcPr>
            <w:tcW w:w="320" w:type="dxa"/>
            <w:vAlign w:val="bottom"/>
            <w:shd w:val="clear" w:color="auto" w:fill="D2DCE5"/>
          </w:tcPr>
          <w:p>
            <w:pPr>
              <w:jc w:val="right"/>
              <w:ind w:right="141"/>
              <w:spacing w:after="0"/>
              <w:rPr>
                <w:sz w:val="20"/>
                <w:szCs w:val="20"/>
                <w:color w:val="auto"/>
              </w:rPr>
            </w:pPr>
            <w:r>
              <w:rPr>
                <w:rFonts w:ascii="Arial" w:cs="Arial" w:eastAsia="Arial" w:hAnsi="Arial"/>
                <w:sz w:val="16"/>
                <w:szCs w:val="16"/>
                <w:color w:val="006098"/>
                <w:w w:val="89"/>
              </w:rPr>
              <w:t>$</w:t>
            </w: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263,517</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jc w:val="right"/>
              <w:ind w:right="61"/>
              <w:spacing w:after="0"/>
              <w:rPr>
                <w:sz w:val="20"/>
                <w:szCs w:val="20"/>
                <w:color w:val="auto"/>
              </w:rPr>
            </w:pPr>
            <w:r>
              <w:rPr>
                <w:rFonts w:ascii="Arial" w:cs="Arial" w:eastAsia="Arial" w:hAnsi="Arial"/>
                <w:sz w:val="16"/>
                <w:szCs w:val="16"/>
                <w:color w:val="131E29"/>
                <w:w w:val="89"/>
              </w:rPr>
              <w:t>$</w:t>
            </w:r>
          </w:p>
        </w:tc>
        <w:tc>
          <w:tcPr>
            <w:tcW w:w="1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269,404</w:t>
            </w:r>
          </w:p>
        </w:tc>
      </w:tr>
      <w:tr>
        <w:trPr>
          <w:trHeight w:val="241"/>
        </w:trPr>
        <w:tc>
          <w:tcPr>
            <w:tcW w:w="7260" w:type="dxa"/>
            <w:vAlign w:val="bottom"/>
            <w:gridSpan w:val="2"/>
          </w:tcPr>
          <w:p>
            <w:pPr>
              <w:ind w:left="180"/>
              <w:spacing w:after="0"/>
              <w:rPr>
                <w:sz w:val="20"/>
                <w:szCs w:val="20"/>
                <w:color w:val="auto"/>
              </w:rPr>
            </w:pPr>
            <w:r>
              <w:rPr>
                <w:rFonts w:ascii="Arial" w:cs="Arial" w:eastAsia="Arial" w:hAnsi="Arial"/>
                <w:sz w:val="16"/>
                <w:szCs w:val="16"/>
                <w:color w:val="131E29"/>
              </w:rPr>
              <w:t>Accounts receivable, net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006098"/>
              </w:rPr>
              <w:t>18,766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131E29"/>
              </w:rPr>
              <w:t>18,387</w:t>
            </w:r>
          </w:p>
        </w:tc>
      </w:tr>
      <w:tr>
        <w:trPr>
          <w:trHeight w:val="245"/>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Inventories, net</w:t>
            </w:r>
          </w:p>
        </w:tc>
        <w:tc>
          <w:tcPr>
            <w:tcW w:w="320" w:type="dxa"/>
            <w:vAlign w:val="bottom"/>
            <w:shd w:val="clear" w:color="auto" w:fill="D2DCE5"/>
          </w:tcPr>
          <w:p>
            <w:pPr>
              <w:spacing w:after="0"/>
              <w:rPr>
                <w:sz w:val="21"/>
                <w:szCs w:val="21"/>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37,392</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48,917</w:t>
            </w:r>
          </w:p>
        </w:tc>
      </w:tr>
      <w:tr>
        <w:trPr>
          <w:trHeight w:val="241"/>
        </w:trPr>
        <w:tc>
          <w:tcPr>
            <w:tcW w:w="7260" w:type="dxa"/>
            <w:vAlign w:val="bottom"/>
            <w:tcBorders>
              <w:bottom w:val="single" w:sz="8" w:color="D2DCE5"/>
            </w:tcBorders>
            <w:gridSpan w:val="2"/>
          </w:tcPr>
          <w:p>
            <w:pPr>
              <w:ind w:left="180"/>
              <w:spacing w:after="0"/>
              <w:rPr>
                <w:sz w:val="20"/>
                <w:szCs w:val="20"/>
                <w:color w:val="auto"/>
              </w:rPr>
            </w:pPr>
            <w:r>
              <w:rPr>
                <w:rFonts w:ascii="Arial" w:cs="Arial" w:eastAsia="Arial" w:hAnsi="Arial"/>
                <w:sz w:val="16"/>
                <w:szCs w:val="16"/>
                <w:color w:val="131E29"/>
              </w:rPr>
              <w:t>Prepaid expenses and other current assets</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20,820</w:t>
            </w:r>
          </w:p>
        </w:tc>
        <w:tc>
          <w:tcPr>
            <w:tcW w:w="100" w:type="dxa"/>
            <w:vAlign w:val="bottom"/>
            <w:tcBorders>
              <w:bottom w:val="single" w:sz="8" w:color="D2DC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20,670</w:t>
            </w:r>
          </w:p>
        </w:tc>
      </w:tr>
      <w:tr>
        <w:trPr>
          <w:trHeight w:val="225"/>
        </w:trPr>
        <w:tc>
          <w:tcPr>
            <w:tcW w:w="7260" w:type="dxa"/>
            <w:vAlign w:val="bottom"/>
            <w:gridSpan w:val="2"/>
            <w:shd w:val="clear" w:color="auto" w:fill="D2DCE5"/>
          </w:tcPr>
          <w:p>
            <w:pPr>
              <w:ind w:left="340"/>
              <w:spacing w:after="0"/>
              <w:rPr>
                <w:sz w:val="20"/>
                <w:szCs w:val="20"/>
                <w:color w:val="auto"/>
              </w:rPr>
            </w:pPr>
            <w:r>
              <w:rPr>
                <w:rFonts w:ascii="Arial" w:cs="Arial" w:eastAsia="Arial" w:hAnsi="Arial"/>
                <w:sz w:val="16"/>
                <w:szCs w:val="16"/>
                <w:color w:val="131E29"/>
              </w:rPr>
              <w:t>Total current assets</w:t>
            </w:r>
          </w:p>
        </w:tc>
        <w:tc>
          <w:tcPr>
            <w:tcW w:w="320" w:type="dxa"/>
            <w:vAlign w:val="bottom"/>
            <w:shd w:val="clear" w:color="auto" w:fill="D2DCE5"/>
          </w:tcPr>
          <w:p>
            <w:pPr>
              <w:spacing w:after="0"/>
              <w:rPr>
                <w:sz w:val="19"/>
                <w:szCs w:val="19"/>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340,495</w:t>
            </w:r>
          </w:p>
        </w:tc>
        <w:tc>
          <w:tcPr>
            <w:tcW w:w="100" w:type="dxa"/>
            <w:vAlign w:val="bottom"/>
            <w:shd w:val="clear" w:color="auto" w:fill="D2DCE5"/>
          </w:tcPr>
          <w:p>
            <w:pPr>
              <w:spacing w:after="0"/>
              <w:rPr>
                <w:sz w:val="19"/>
                <w:szCs w:val="19"/>
                <w:color w:val="auto"/>
              </w:rPr>
            </w:pPr>
          </w:p>
        </w:tc>
        <w:tc>
          <w:tcPr>
            <w:tcW w:w="240" w:type="dxa"/>
            <w:vAlign w:val="bottom"/>
            <w:shd w:val="clear" w:color="auto" w:fill="D2DCE5"/>
          </w:tcPr>
          <w:p>
            <w:pPr>
              <w:spacing w:after="0"/>
              <w:rPr>
                <w:sz w:val="19"/>
                <w:szCs w:val="19"/>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357,378</w:t>
            </w:r>
          </w:p>
        </w:tc>
      </w:tr>
      <w:tr>
        <w:trPr>
          <w:trHeight w:val="241"/>
        </w:trPr>
        <w:tc>
          <w:tcPr>
            <w:tcW w:w="7260" w:type="dxa"/>
            <w:vAlign w:val="bottom"/>
            <w:gridSpan w:val="2"/>
          </w:tcPr>
          <w:p>
            <w:pPr>
              <w:ind w:left="20"/>
              <w:spacing w:after="0"/>
              <w:rPr>
                <w:sz w:val="20"/>
                <w:szCs w:val="20"/>
                <w:color w:val="auto"/>
              </w:rPr>
            </w:pPr>
            <w:r>
              <w:rPr>
                <w:rFonts w:ascii="Arial" w:cs="Arial" w:eastAsia="Arial" w:hAnsi="Arial"/>
                <w:sz w:val="16"/>
                <w:szCs w:val="16"/>
                <w:color w:val="131E29"/>
              </w:rPr>
              <w:t>Property and equipment, net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006098"/>
              </w:rPr>
              <w:t>862,089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131E29"/>
              </w:rPr>
              <w:t>824,502</w:t>
            </w:r>
          </w:p>
        </w:tc>
      </w:tr>
      <w:tr>
        <w:trPr>
          <w:trHeight w:val="245"/>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Lease right-of-use assets, net</w:t>
            </w:r>
          </w:p>
        </w:tc>
        <w:tc>
          <w:tcPr>
            <w:tcW w:w="320" w:type="dxa"/>
            <w:vAlign w:val="bottom"/>
            <w:shd w:val="clear" w:color="auto" w:fill="D2DCE5"/>
          </w:tcPr>
          <w:p>
            <w:pPr>
              <w:spacing w:after="0"/>
              <w:rPr>
                <w:sz w:val="21"/>
                <w:szCs w:val="21"/>
                <w:color w:val="auto"/>
              </w:rPr>
            </w:pPr>
          </w:p>
        </w:tc>
        <w:tc>
          <w:tcPr>
            <w:tcW w:w="160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935,386</w:t>
            </w:r>
          </w:p>
        </w:tc>
        <w:tc>
          <w:tcPr>
            <w:tcW w:w="100" w:type="dxa"/>
            <w:vAlign w:val="bottom"/>
            <w:shd w:val="clear" w:color="auto" w:fill="D2DCE5"/>
          </w:tcPr>
          <w:p>
            <w:pPr>
              <w:spacing w:after="0"/>
              <w:rPr>
                <w:sz w:val="21"/>
                <w:szCs w:val="21"/>
                <w:color w:val="auto"/>
              </w:rPr>
            </w:pPr>
          </w:p>
        </w:tc>
        <w:tc>
          <w:tcPr>
            <w:tcW w:w="240" w:type="dxa"/>
            <w:vAlign w:val="bottom"/>
            <w:shd w:val="clear" w:color="auto" w:fill="D2DCE5"/>
          </w:tcPr>
          <w:p>
            <w:pPr>
              <w:spacing w:after="0"/>
              <w:rPr>
                <w:sz w:val="21"/>
                <w:szCs w:val="21"/>
                <w:color w:val="auto"/>
              </w:rPr>
            </w:pPr>
          </w:p>
        </w:tc>
        <w:tc>
          <w:tcPr>
            <w:tcW w:w="16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855,339</w:t>
            </w:r>
          </w:p>
        </w:tc>
      </w:tr>
      <w:tr>
        <w:trPr>
          <w:trHeight w:val="241"/>
        </w:trPr>
        <w:tc>
          <w:tcPr>
            <w:tcW w:w="7260" w:type="dxa"/>
            <w:vAlign w:val="bottom"/>
            <w:gridSpan w:val="2"/>
          </w:tcPr>
          <w:p>
            <w:pPr>
              <w:ind w:left="20"/>
              <w:spacing w:after="0"/>
              <w:rPr>
                <w:sz w:val="20"/>
                <w:szCs w:val="20"/>
                <w:color w:val="auto"/>
              </w:rPr>
            </w:pPr>
            <w:r>
              <w:rPr>
                <w:rFonts w:ascii="Arial" w:cs="Arial" w:eastAsia="Arial" w:hAnsi="Arial"/>
                <w:sz w:val="16"/>
                <w:szCs w:val="16"/>
                <w:color w:val="131E29"/>
              </w:rPr>
              <w:t>Deferred income tax assets, net</w:t>
            </w:r>
          </w:p>
        </w:tc>
        <w:tc>
          <w:tcPr>
            <w:tcW w:w="3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006098"/>
              </w:rPr>
              <w:t>943,396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131E29"/>
              </w:rPr>
              <w:t>946,571</w:t>
            </w:r>
          </w:p>
        </w:tc>
      </w:tr>
      <w:tr>
        <w:trPr>
          <w:trHeight w:val="243"/>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Other long-term assets</w:t>
            </w:r>
          </w:p>
        </w:tc>
        <w:tc>
          <w:tcPr>
            <w:tcW w:w="320" w:type="dxa"/>
            <w:vAlign w:val="bottom"/>
            <w:tcBorders>
              <w:bottom w:val="single" w:sz="8" w:color="auto"/>
            </w:tcBorders>
            <w:shd w:val="clear" w:color="auto" w:fill="D2DCE5"/>
          </w:tcPr>
          <w:p>
            <w:pPr>
              <w:spacing w:after="0"/>
              <w:rPr>
                <w:sz w:val="21"/>
                <w:szCs w:val="21"/>
                <w:color w:val="auto"/>
              </w:rPr>
            </w:pP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23,928</w:t>
            </w:r>
          </w:p>
        </w:tc>
        <w:tc>
          <w:tcPr>
            <w:tcW w:w="100" w:type="dxa"/>
            <w:vAlign w:val="bottom"/>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spacing w:after="0"/>
              <w:rPr>
                <w:sz w:val="21"/>
                <w:szCs w:val="21"/>
                <w:color w:val="auto"/>
              </w:rPr>
            </w:pP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25,524</w:t>
            </w:r>
          </w:p>
        </w:tc>
      </w:tr>
      <w:tr>
        <w:trPr>
          <w:trHeight w:val="212"/>
        </w:trPr>
        <w:tc>
          <w:tcPr>
            <w:tcW w:w="7260" w:type="dxa"/>
            <w:vAlign w:val="bottom"/>
            <w:gridSpan w:val="2"/>
          </w:tcPr>
          <w:p>
            <w:pPr>
              <w:ind w:left="500"/>
              <w:spacing w:after="0"/>
              <w:rPr>
                <w:sz w:val="20"/>
                <w:szCs w:val="20"/>
                <w:color w:val="auto"/>
              </w:rPr>
            </w:pPr>
            <w:r>
              <w:rPr>
                <w:rFonts w:ascii="Arial" w:cs="Arial" w:eastAsia="Arial" w:hAnsi="Arial"/>
                <w:sz w:val="16"/>
                <w:szCs w:val="16"/>
                <w:b w:val="1"/>
                <w:bCs w:val="1"/>
                <w:color w:val="131E29"/>
              </w:rPr>
              <w:t>Total assets</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006098"/>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6098"/>
              </w:rPr>
              <w:t>3,105,294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131E29"/>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31E29"/>
              </w:rPr>
              <w:t>3,009,314</w:t>
            </w:r>
          </w:p>
        </w:tc>
      </w:tr>
      <w:tr>
        <w:trPr>
          <w:trHeight w:val="20"/>
        </w:trPr>
        <w:tc>
          <w:tcPr>
            <w:tcW w:w="71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Liabilities and Equity</w:t>
            </w:r>
          </w:p>
        </w:tc>
        <w:tc>
          <w:tcPr>
            <w:tcW w:w="320" w:type="dxa"/>
            <w:vAlign w:val="bottom"/>
            <w:shd w:val="clear" w:color="auto" w:fill="D2DCE5"/>
          </w:tcPr>
          <w:p>
            <w:pPr>
              <w:spacing w:after="0"/>
              <w:rPr>
                <w:sz w:val="18"/>
                <w:szCs w:val="18"/>
                <w:color w:val="auto"/>
              </w:rPr>
            </w:pPr>
          </w:p>
        </w:tc>
        <w:tc>
          <w:tcPr>
            <w:tcW w:w="16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40" w:type="dxa"/>
            <w:vAlign w:val="bottom"/>
            <w:shd w:val="clear" w:color="auto" w:fill="D2DCE5"/>
          </w:tcPr>
          <w:p>
            <w:pPr>
              <w:spacing w:after="0"/>
              <w:rPr>
                <w:sz w:val="18"/>
                <w:szCs w:val="18"/>
                <w:color w:val="auto"/>
              </w:rPr>
            </w:pPr>
          </w:p>
        </w:tc>
        <w:tc>
          <w:tcPr>
            <w:tcW w:w="1680" w:type="dxa"/>
            <w:vAlign w:val="bottom"/>
            <w:shd w:val="clear" w:color="auto" w:fill="D2DCE5"/>
          </w:tcPr>
          <w:p>
            <w:pPr>
              <w:spacing w:after="0"/>
              <w:rPr>
                <w:sz w:val="18"/>
                <w:szCs w:val="18"/>
                <w:color w:val="auto"/>
              </w:rPr>
            </w:pPr>
          </w:p>
        </w:tc>
      </w:tr>
    </w:tbl>
    <w:p>
      <w:pPr>
        <w:spacing w:after="0" w:line="18" w:lineRule="exact"/>
        <w:rPr>
          <w:sz w:val="20"/>
          <w:szCs w:val="20"/>
          <w:color w:val="auto"/>
        </w:rPr>
      </w:pPr>
    </w:p>
    <w:p>
      <w:pPr>
        <w:sectPr>
          <w:pgSz w:w="11900" w:h="16838" w:orient="portrait"/>
          <w:cols w:equalWidth="0" w:num="1">
            <w:col w:w="11220"/>
          </w:cols>
          <w:pgMar w:left="340" w:top="373" w:right="339" w:bottom="1440" w:gutter="0" w:footer="0" w:header="0"/>
        </w:sectPr>
      </w:pPr>
    </w:p>
    <w:p>
      <w:pPr>
        <w:ind w:left="20"/>
        <w:spacing w:after="0"/>
        <w:rPr>
          <w:sz w:val="20"/>
          <w:szCs w:val="20"/>
          <w:color w:val="auto"/>
        </w:rPr>
      </w:pPr>
      <w:r>
        <w:rPr>
          <w:rFonts w:ascii="Arial" w:cs="Arial" w:eastAsia="Arial" w:hAnsi="Arial"/>
          <w:sz w:val="16"/>
          <w:szCs w:val="16"/>
          <w:color w:val="131E29"/>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80"/>
        <w:spacing w:after="0"/>
        <w:tabs>
          <w:tab w:leader="none" w:pos="7240" w:val="left"/>
        </w:tabs>
        <w:rPr>
          <w:sz w:val="20"/>
          <w:szCs w:val="20"/>
          <w:color w:val="auto"/>
        </w:rPr>
      </w:pPr>
      <w:r>
        <w:rPr>
          <w:rFonts w:ascii="Arial" w:cs="Arial" w:eastAsia="Arial" w:hAnsi="Arial"/>
          <w:sz w:val="16"/>
          <w:szCs w:val="16"/>
          <w:color w:val="131E29"/>
        </w:rPr>
        <w:t>Accounts payable</w:t>
      </w:r>
      <w:r>
        <w:rPr>
          <w:sz w:val="20"/>
          <w:szCs w:val="20"/>
          <w:color w:val="auto"/>
        </w:rPr>
        <w:tab/>
      </w:r>
      <w:r>
        <w:rPr>
          <w:rFonts w:ascii="Arial" w:cs="Arial" w:eastAsia="Arial" w:hAnsi="Arial"/>
          <w:sz w:val="16"/>
          <w:szCs w:val="16"/>
          <w:color w:val="006098"/>
        </w:rPr>
        <w: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Deferred revenue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Current portion of tax receivable agreements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Current portion of lease liabilities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131E29"/>
        </w:rPr>
        <w:t>Total current liabilities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Deferred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Lease liabilities, net of current portion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Long-term 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Tax receivable agreements liability, net of current portion</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131E29"/>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Commitments and contingencies (Note 16)</w:t>
      </w:r>
    </w:p>
    <w:p>
      <w:pPr>
        <w:spacing w:after="0" w:line="59" w:lineRule="exact"/>
        <w:rPr>
          <w:sz w:val="20"/>
          <w:szCs w:val="20"/>
          <w:color w:val="auto"/>
        </w:rPr>
      </w:pPr>
    </w:p>
    <w:p>
      <w:pPr>
        <w:ind w:left="20" w:right="780"/>
        <w:spacing w:after="0" w:line="276" w:lineRule="auto"/>
        <w:rPr>
          <w:sz w:val="20"/>
          <w:szCs w:val="20"/>
          <w:color w:val="auto"/>
        </w:rPr>
      </w:pPr>
      <w:r>
        <w:rPr>
          <w:rFonts w:ascii="Arial" w:cs="Arial" w:eastAsia="Arial" w:hAnsi="Arial"/>
          <w:sz w:val="16"/>
          <w:szCs w:val="16"/>
          <w:color w:val="131E29"/>
        </w:rPr>
        <w:t>Preferred stock, $0.00001 par value per share - 20,000 shares authorized; zero shares issued and outstanding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7115175"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ind w:left="20" w:right="700"/>
        <w:spacing w:after="0" w:line="300" w:lineRule="auto"/>
        <w:rPr>
          <w:sz w:val="20"/>
          <w:szCs w:val="20"/>
          <w:color w:val="auto"/>
        </w:rPr>
      </w:pPr>
      <w:r>
        <w:rPr>
          <w:rFonts w:ascii="Arial" w:cs="Arial" w:eastAsia="Arial" w:hAnsi="Arial"/>
          <w:sz w:val="15"/>
          <w:szCs w:val="15"/>
          <w:color w:val="131E29"/>
        </w:rPr>
        <w:t>Class A common stock, $0.00001 par value per share - 400,000 shares authorized; 127,293 and 127,054 shares issued and outstanding as of March 31, 2026 and December 31, 2025, respectively</w:t>
      </w:r>
    </w:p>
    <w:p>
      <w:pPr>
        <w:spacing w:after="0" w:line="1" w:lineRule="exact"/>
        <w:rPr>
          <w:sz w:val="20"/>
          <w:szCs w:val="20"/>
          <w:color w:val="auto"/>
        </w:rPr>
      </w:pPr>
    </w:p>
    <w:p>
      <w:pPr>
        <w:ind w:left="20" w:right="800"/>
        <w:spacing w:after="0" w:line="300" w:lineRule="auto"/>
        <w:rPr>
          <w:sz w:val="20"/>
          <w:szCs w:val="20"/>
          <w:color w:val="auto"/>
        </w:rPr>
      </w:pPr>
      <w:r>
        <w:rPr>
          <w:rFonts w:ascii="Arial" w:cs="Arial" w:eastAsia="Arial" w:hAnsi="Arial"/>
          <w:sz w:val="15"/>
          <w:szCs w:val="15"/>
          <w:color w:val="131E29"/>
        </w:rPr>
        <w:t>Class B common stock, $0.00001 par value per share - 144,000 shares authorized; 35,211 and 35,211 shares issued and outstanding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wp:posOffset>
            </wp:positionV>
            <wp:extent cx="711517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ind w:left="20" w:right="640"/>
        <w:spacing w:after="0" w:line="276" w:lineRule="auto"/>
        <w:rPr>
          <w:sz w:val="20"/>
          <w:szCs w:val="20"/>
          <w:color w:val="auto"/>
        </w:rPr>
      </w:pPr>
      <w:r>
        <w:rPr>
          <w:rFonts w:ascii="Arial" w:cs="Arial" w:eastAsia="Arial" w:hAnsi="Arial"/>
          <w:sz w:val="16"/>
          <w:szCs w:val="16"/>
          <w:color w:val="131E29"/>
        </w:rPr>
        <w:t>Class C common stock, $0.00001 par value per share - 105,000 shares authorized; 2,280 and 2,280 shares issued and outstanding as of March 31, 2026 and December 31, 2025, respectively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Accumulated other comprehensive income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color w:val="131E29"/>
        </w:rPr>
        <w:t>Total stockholders' equity attributable to Dutch Bros Inc.</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131E29"/>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711517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Total equity</w:t>
      </w:r>
    </w:p>
    <w:p>
      <w:pPr>
        <w:spacing w:after="0" w:line="57" w:lineRule="exact"/>
        <w:rPr>
          <w:sz w:val="20"/>
          <w:szCs w:val="20"/>
          <w:color w:val="auto"/>
        </w:rPr>
      </w:pPr>
    </w:p>
    <w:p>
      <w:pPr>
        <w:ind w:left="500"/>
        <w:spacing w:after="0"/>
        <w:tabs>
          <w:tab w:leader="none" w:pos="7240" w:val="left"/>
        </w:tabs>
        <w:rPr>
          <w:sz w:val="20"/>
          <w:szCs w:val="20"/>
          <w:color w:val="auto"/>
        </w:rPr>
      </w:pPr>
      <w:r>
        <w:rPr>
          <w:rFonts w:ascii="Arial" w:cs="Arial" w:eastAsia="Arial" w:hAnsi="Arial"/>
          <w:sz w:val="16"/>
          <w:szCs w:val="16"/>
          <w:b w:val="1"/>
          <w:bCs w:val="1"/>
          <w:color w:val="131E29"/>
        </w:rPr>
        <w:t>Total liabilities and equity</w:t>
      </w:r>
      <w:r>
        <w:rPr>
          <w:sz w:val="20"/>
          <w:szCs w:val="20"/>
          <w:color w:val="auto"/>
        </w:rPr>
        <w:tab/>
      </w:r>
      <w:r>
        <w:rPr>
          <w:rFonts w:ascii="Arial" w:cs="Arial" w:eastAsia="Arial" w:hAnsi="Arial"/>
          <w:sz w:val="16"/>
          <w:szCs w:val="16"/>
          <w:b w:val="1"/>
          <w:bCs w:val="1"/>
          <w:color w:val="006098"/>
        </w:rPr>
        <w: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41,688</w:t>
            </w:r>
          </w:p>
        </w:tc>
        <w:tc>
          <w:tcPr>
            <w:tcW w:w="620" w:type="dxa"/>
            <w:vAlign w:val="bottom"/>
          </w:tcPr>
          <w:p>
            <w:pPr>
              <w:jc w:val="right"/>
              <w:ind w:right="441"/>
              <w:spacing w:after="0"/>
              <w:rPr>
                <w:sz w:val="20"/>
                <w:szCs w:val="20"/>
                <w:color w:val="auto"/>
              </w:rPr>
            </w:pPr>
            <w:r>
              <w:rPr>
                <w:rFonts w:ascii="Arial" w:cs="Arial" w:eastAsia="Arial" w:hAnsi="Arial"/>
                <w:sz w:val="16"/>
                <w:szCs w:val="16"/>
                <w:color w:val="131E29"/>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131E29"/>
              </w:rPr>
              <w:t>37,625</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100,219</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99,173</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56,519</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55,658</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13,718</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7,696</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39,160</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36,466</w:t>
            </w:r>
          </w:p>
        </w:tc>
      </w:tr>
      <w:tr>
        <w:trPr>
          <w:trHeight w:val="245"/>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3,883</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3,881</w:t>
            </w:r>
          </w:p>
        </w:tc>
      </w:tr>
      <w:tr>
        <w:trPr>
          <w:trHeight w:val="221"/>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255,187</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240,499</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5,849</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8,918</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921,876</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852,380</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195,447</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196,295</w:t>
            </w:r>
          </w:p>
        </w:tc>
      </w:tr>
      <w:tr>
        <w:trPr>
          <w:trHeight w:val="245"/>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806,410</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813,353</w:t>
            </w:r>
          </w:p>
        </w:tc>
      </w:tr>
      <w:tr>
        <w:trPr>
          <w:trHeight w:val="221"/>
        </w:trPr>
        <w:tc>
          <w:tcPr>
            <w:tcW w:w="880" w:type="dxa"/>
            <w:vAlign w:val="bottom"/>
          </w:tcPr>
          <w:p>
            <w:pPr>
              <w:jc w:val="right"/>
              <w:ind w:right="81"/>
              <w:spacing w:after="0"/>
              <w:rPr>
                <w:sz w:val="20"/>
                <w:szCs w:val="20"/>
                <w:color w:val="auto"/>
              </w:rPr>
            </w:pPr>
            <w:r>
              <w:rPr>
                <w:rFonts w:ascii="Arial" w:cs="Arial" w:eastAsia="Arial" w:hAnsi="Arial"/>
                <w:sz w:val="16"/>
                <w:szCs w:val="16"/>
                <w:color w:val="006098"/>
                <w:w w:val="98"/>
              </w:rPr>
              <w:t>2,184,769</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2,111,445</w:t>
            </w:r>
          </w:p>
        </w:tc>
      </w:tr>
      <w:tr>
        <w:trPr>
          <w:trHeight w:val="675"/>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w:t>
            </w:r>
          </w:p>
        </w:tc>
        <w:tc>
          <w:tcPr>
            <w:tcW w:w="6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432"/>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1</w:t>
            </w:r>
          </w:p>
        </w:tc>
        <w:tc>
          <w:tcPr>
            <w:tcW w:w="6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1</w:t>
            </w:r>
          </w:p>
        </w:tc>
      </w:tr>
      <w:tr>
        <w:trPr>
          <w:trHeight w:val="432"/>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w:t>
            </w:r>
          </w:p>
        </w:tc>
        <w:tc>
          <w:tcPr>
            <w:tcW w:w="6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432"/>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w:t>
            </w:r>
          </w:p>
        </w:tc>
        <w:tc>
          <w:tcPr>
            <w:tcW w:w="6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580,773</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581,261</w:t>
            </w:r>
          </w:p>
        </w:tc>
      </w:tr>
      <w:tr>
        <w:trPr>
          <w:trHeight w:val="243"/>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66</w:t>
            </w:r>
          </w:p>
        </w:tc>
        <w:tc>
          <w:tcPr>
            <w:tcW w:w="6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48</w:t>
            </w:r>
          </w:p>
        </w:tc>
      </w:tr>
      <w:tr>
        <w:trPr>
          <w:trHeight w:val="245"/>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115,605</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99,508</w:t>
            </w:r>
          </w:p>
        </w:tc>
      </w:tr>
      <w:tr>
        <w:trPr>
          <w:trHeight w:val="221"/>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696,445</w:t>
            </w:r>
          </w:p>
        </w:tc>
        <w:tc>
          <w:tcPr>
            <w:tcW w:w="6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131E29"/>
              </w:rPr>
              <w:t>680,818</w:t>
            </w:r>
          </w:p>
        </w:tc>
      </w:tr>
      <w:tr>
        <w:trPr>
          <w:trHeight w:val="245"/>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224,080</w:t>
            </w:r>
          </w:p>
        </w:tc>
        <w:tc>
          <w:tcPr>
            <w:tcW w:w="6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217,051</w:t>
            </w:r>
          </w:p>
        </w:tc>
      </w:tr>
      <w:tr>
        <w:trPr>
          <w:trHeight w:val="221"/>
        </w:trPr>
        <w:tc>
          <w:tcPr>
            <w:tcW w:w="880" w:type="dxa"/>
            <w:vAlign w:val="bottom"/>
          </w:tcPr>
          <w:p>
            <w:pPr>
              <w:jc w:val="right"/>
              <w:ind w:right="81"/>
              <w:spacing w:after="0"/>
              <w:rPr>
                <w:sz w:val="20"/>
                <w:szCs w:val="20"/>
                <w:color w:val="auto"/>
              </w:rPr>
            </w:pPr>
            <w:r>
              <w:rPr>
                <w:rFonts w:ascii="Arial" w:cs="Arial" w:eastAsia="Arial" w:hAnsi="Arial"/>
                <w:sz w:val="16"/>
                <w:szCs w:val="16"/>
                <w:color w:val="006098"/>
              </w:rPr>
              <w:t>920,525</w:t>
            </w: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897,869</w:t>
            </w:r>
          </w:p>
        </w:tc>
      </w:tr>
      <w:tr>
        <w:trPr>
          <w:trHeight w:val="214"/>
        </w:trPr>
        <w:tc>
          <w:tcPr>
            <w:tcW w:w="880" w:type="dxa"/>
            <w:vAlign w:val="bottom"/>
          </w:tcPr>
          <w:p>
            <w:pPr>
              <w:jc w:val="right"/>
              <w:ind w:right="81"/>
              <w:spacing w:after="0"/>
              <w:rPr>
                <w:sz w:val="20"/>
                <w:szCs w:val="20"/>
                <w:color w:val="auto"/>
              </w:rPr>
            </w:pPr>
            <w:r>
              <w:rPr>
                <w:rFonts w:ascii="Arial" w:cs="Arial" w:eastAsia="Arial" w:hAnsi="Arial"/>
                <w:sz w:val="16"/>
                <w:szCs w:val="16"/>
                <w:b w:val="1"/>
                <w:bCs w:val="1"/>
                <w:color w:val="006098"/>
                <w:w w:val="98"/>
              </w:rPr>
              <w:t>3,105,294</w:t>
            </w: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131E29"/>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31E29"/>
              </w:rPr>
              <w:t>3,009,314</w:t>
            </w:r>
          </w:p>
        </w:tc>
      </w:tr>
      <w:tr>
        <w:trPr>
          <w:trHeight w:val="20"/>
        </w:trPr>
        <w:tc>
          <w:tcPr>
            <w:tcW w:w="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-33655</wp:posOffset>
            </wp:positionV>
            <wp:extent cx="122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2555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-8255</wp:posOffset>
            </wp:positionV>
            <wp:extent cx="12255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2555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-179070</wp:posOffset>
            </wp:positionV>
            <wp:extent cx="12255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25550" cy="8255"/>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-2510790</wp:posOffset>
            </wp:positionV>
            <wp:extent cx="122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20"/>
          </w:cols>
          <w:pgMar w:left="340" w:top="373"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color w:val="131E29"/>
        </w:rPr>
        <w:t>See accompanying notes to condensed consolidated financial statements.</w:t>
      </w:r>
    </w:p>
    <w:p>
      <w:pPr>
        <w:sectPr>
          <w:pgSz w:w="11900" w:h="16838" w:orient="portrait"/>
          <w:cols w:equalWidth="0" w:num="1">
            <w:col w:w="11220"/>
          </w:cols>
          <w:pgMar w:left="340" w:top="3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000"/>
        <w:spacing w:after="0"/>
        <w:rPr>
          <w:sz w:val="20"/>
          <w:szCs w:val="20"/>
          <w:color w:val="auto"/>
        </w:rPr>
      </w:pPr>
      <w:r>
        <w:rPr>
          <w:sz w:val="1"/>
          <w:szCs w:val="1"/>
          <w:color w:val="auto"/>
        </w:rPr>
        <w:drawing>
          <wp:inline distT="0" distB="0" distL="0" distR="0">
            <wp:extent cx="171450" cy="2400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97155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7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34925</wp:posOffset>
            </wp:positionV>
            <wp:extent cx="67036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2780" w:type="dxa"/>
            <w:vAlign w:val="bottom"/>
            <w:tcBorders>
              <w:bottom w:val="single" w:sz="8" w:color="D7282F"/>
            </w:tcBorders>
            <w:gridSpan w:val="10"/>
          </w:tcPr>
          <w:p>
            <w:pPr>
              <w:ind w:left="10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B</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color w:val="131E29"/>
              </w:rPr>
              <w:t>Other</w:t>
            </w:r>
          </w:p>
        </w:tc>
        <w:tc>
          <w:tcPr>
            <w:tcW w:w="100" w:type="dxa"/>
            <w:vAlign w:val="bottom"/>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color w:val="131E29"/>
              </w:rPr>
              <w:t>Retained</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131E29"/>
              </w:rPr>
              <w:t>Paid-in-</w:t>
            </w:r>
          </w:p>
        </w:tc>
        <w:tc>
          <w:tcPr>
            <w:tcW w:w="1140" w:type="dxa"/>
            <w:vAlign w:val="bottom"/>
            <w:gridSpan w:val="3"/>
          </w:tcPr>
          <w:p>
            <w:pPr>
              <w:jc w:val="center"/>
              <w:ind w:right="80"/>
              <w:spacing w:after="0"/>
              <w:rPr>
                <w:sz w:val="20"/>
                <w:szCs w:val="20"/>
                <w:color w:val="auto"/>
              </w:rPr>
            </w:pPr>
            <w:r>
              <w:rPr>
                <w:rFonts w:ascii="Arial" w:cs="Arial" w:eastAsia="Arial" w:hAnsi="Arial"/>
                <w:sz w:val="14"/>
                <w:szCs w:val="14"/>
                <w:color w:val="131E29"/>
              </w:rPr>
              <w:t>Comprehensive</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Capital</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96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Earnings</w:t>
            </w:r>
          </w:p>
        </w:tc>
        <w:tc>
          <w:tcPr>
            <w:tcW w:w="100" w:type="dxa"/>
            <w:vAlign w:val="bottom"/>
            <w:tcBorders>
              <w:bottom w:val="single" w:sz="8" w:color="D2DCE5"/>
            </w:tcBorders>
          </w:tcPr>
          <w:p>
            <w:pPr>
              <w:spacing w:after="0"/>
              <w:rPr>
                <w:sz w:val="18"/>
                <w:szCs w:val="18"/>
                <w:color w:val="auto"/>
              </w:rPr>
            </w:pPr>
          </w:p>
        </w:tc>
        <w:tc>
          <w:tcPr>
            <w:tcW w:w="7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27"/>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2025</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127,054</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9"/>
                <w:szCs w:val="19"/>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35,211</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b w:val="1"/>
                <w:bCs w:val="1"/>
                <w:color w:val="131E29"/>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2,280</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$ 581,261</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48</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99,508</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$ 217,051</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$ 897,869</w:t>
            </w:r>
          </w:p>
        </w:tc>
        <w:tc>
          <w:tcPr>
            <w:tcW w:w="0" w:type="dxa"/>
            <w:vAlign w:val="bottom"/>
          </w:tcPr>
          <w:p>
            <w:pPr>
              <w:spacing w:after="0"/>
              <w:rPr>
                <w:sz w:val="1"/>
                <w:szCs w:val="1"/>
                <w:color w:val="auto"/>
              </w:rPr>
            </w:pPr>
          </w:p>
        </w:tc>
      </w:tr>
      <w:tr>
        <w:trPr>
          <w:trHeight w:val="226"/>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9"/>
                <w:szCs w:val="19"/>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16,097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6098"/>
              </w:rPr>
              <w:t>7,567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23,664</w:t>
            </w:r>
          </w:p>
        </w:tc>
        <w:tc>
          <w:tcPr>
            <w:tcW w:w="0" w:type="dxa"/>
            <w:vAlign w:val="bottom"/>
          </w:tcPr>
          <w:p>
            <w:pPr>
              <w:spacing w:after="0"/>
              <w:rPr>
                <w:sz w:val="1"/>
                <w:szCs w:val="1"/>
                <w:color w:val="auto"/>
              </w:rPr>
            </w:pPr>
          </w:p>
        </w:tc>
      </w:tr>
      <w:tr>
        <w:trPr>
          <w:trHeight w:val="197"/>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on derivative</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securities, effective portion, net</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 expense of $6</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7"/>
                <w:szCs w:val="17"/>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8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18</w:t>
            </w: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8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9</w:t>
            </w: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27</w:t>
            </w: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Equity-based compensation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3,779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tcPr>
          <w:p>
            <w:pPr>
              <w:jc w:val="right"/>
              <w:spacing w:after="0"/>
              <w:rPr>
                <w:sz w:val="20"/>
                <w:szCs w:val="20"/>
                <w:color w:val="auto"/>
              </w:rPr>
            </w:pPr>
            <w:r>
              <w:rPr>
                <w:rFonts w:ascii="Arial" w:cs="Arial" w:eastAsia="Arial" w:hAnsi="Arial"/>
                <w:sz w:val="14"/>
                <w:szCs w:val="14"/>
                <w:color w:val="006098"/>
              </w:rPr>
              <w:t>1,499</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5,278</w:t>
            </w:r>
          </w:p>
        </w:tc>
        <w:tc>
          <w:tcPr>
            <w:tcW w:w="0" w:type="dxa"/>
            <w:vAlign w:val="bottom"/>
          </w:tcPr>
          <w:p>
            <w:pPr>
              <w:spacing w:after="0"/>
              <w:rPr>
                <w:sz w:val="1"/>
                <w:szCs w:val="1"/>
                <w:color w:val="auto"/>
              </w:rPr>
            </w:pPr>
          </w:p>
        </w:tc>
      </w:tr>
      <w:tr>
        <w:trPr>
          <w:trHeight w:val="197"/>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 common</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pursuant to vesting of</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 stock</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7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withheld for tax withholding</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obligations</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239</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3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8"/>
                <w:szCs w:val="18"/>
                <w:color w:val="auto"/>
              </w:rPr>
            </w:pPr>
          </w:p>
        </w:tc>
        <w:tc>
          <w:tcPr>
            <w:tcW w:w="360" w:type="dxa"/>
            <w:vAlign w:val="bottom"/>
            <w:gridSpan w:val="2"/>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shd w:val="clear" w:color="auto" w:fill="D2DCE5"/>
          </w:tcPr>
          <w:p>
            <w:pPr>
              <w:spacing w:after="0"/>
              <w:rPr>
                <w:sz w:val="18"/>
                <w:szCs w:val="18"/>
                <w:color w:val="auto"/>
              </w:rPr>
            </w:pP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(4,421)</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04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8"/>
                <w:szCs w:val="18"/>
                <w:color w:val="auto"/>
              </w:rPr>
            </w:pPr>
          </w:p>
        </w:tc>
        <w:tc>
          <w:tcPr>
            <w:tcW w:w="8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(1,756)</w:t>
            </w:r>
          </w:p>
        </w:tc>
        <w:tc>
          <w:tcPr>
            <w:tcW w:w="80" w:type="dxa"/>
            <w:vAlign w:val="bottom"/>
            <w:shd w:val="clear" w:color="auto" w:fill="D2DCE5"/>
          </w:tcPr>
          <w:p>
            <w:pPr>
              <w:spacing w:after="0"/>
              <w:rPr>
                <w:sz w:val="18"/>
                <w:szCs w:val="18"/>
                <w:color w:val="auto"/>
              </w:rPr>
            </w:pP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(6,177)</w:t>
            </w:r>
          </w:p>
        </w:tc>
        <w:tc>
          <w:tcPr>
            <w:tcW w:w="0" w:type="dxa"/>
            <w:vAlign w:val="bottom"/>
          </w:tcPr>
          <w:p>
            <w:pPr>
              <w:spacing w:after="0"/>
              <w:rPr>
                <w:sz w:val="1"/>
                <w:szCs w:val="1"/>
                <w:color w:val="auto"/>
              </w:rPr>
            </w:pPr>
          </w:p>
        </w:tc>
      </w:tr>
      <w:tr>
        <w:trPr>
          <w:trHeight w:val="193"/>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Effect of equity transactions of</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Dutch Bros OpCo Class A</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40" w:type="dxa"/>
            <w:vAlign w:val="bottom"/>
            <w:gridSpan w:val="2"/>
          </w:tcPr>
          <w:p>
            <w:pPr>
              <w:ind w:left="20"/>
              <w:spacing w:after="0"/>
              <w:rPr>
                <w:sz w:val="20"/>
                <w:szCs w:val="20"/>
                <w:color w:val="auto"/>
              </w:rPr>
            </w:pPr>
            <w:r>
              <w:rPr>
                <w:rFonts w:ascii="Arial" w:cs="Arial" w:eastAsia="Arial" w:hAnsi="Arial"/>
                <w:sz w:val="14"/>
                <w:szCs w:val="14"/>
                <w:color w:val="131E29"/>
              </w:rPr>
              <w:t>common units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Arial" w:cs="Arial" w:eastAsia="Arial" w:hAnsi="Arial"/>
                <w:sz w:val="14"/>
                <w:szCs w:val="14"/>
                <w:color w:val="006098"/>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32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006098"/>
              </w:rPr>
              <w:t>—</w:t>
            </w:r>
          </w:p>
        </w:tc>
        <w:tc>
          <w:tcPr>
            <w:tcW w:w="700" w:type="dxa"/>
            <w:vAlign w:val="bottom"/>
          </w:tcPr>
          <w:p>
            <w:pPr>
              <w:jc w:val="right"/>
              <w:spacing w:after="0"/>
              <w:rPr>
                <w:sz w:val="20"/>
                <w:szCs w:val="20"/>
                <w:color w:val="auto"/>
              </w:rPr>
            </w:pPr>
            <w:r>
              <w:rPr>
                <w:rFonts w:ascii="Arial" w:cs="Arial" w:eastAsia="Arial" w:hAnsi="Arial"/>
                <w:sz w:val="14"/>
                <w:szCs w:val="14"/>
                <w:color w:val="006098"/>
              </w:rPr>
              <w:t>290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006098"/>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006098"/>
              </w:rPr>
              <w:t>—</w:t>
            </w:r>
          </w:p>
        </w:tc>
        <w:tc>
          <w:tcPr>
            <w:tcW w:w="720" w:type="dxa"/>
            <w:vAlign w:val="bottom"/>
          </w:tcPr>
          <w:p>
            <w:pPr>
              <w:jc w:val="right"/>
              <w:spacing w:after="0"/>
              <w:rPr>
                <w:sz w:val="20"/>
                <w:szCs w:val="20"/>
                <w:color w:val="auto"/>
              </w:rPr>
            </w:pPr>
            <w:r>
              <w:rPr>
                <w:rFonts w:ascii="Arial" w:cs="Arial" w:eastAsia="Arial" w:hAnsi="Arial"/>
                <w:sz w:val="14"/>
                <w:szCs w:val="14"/>
                <w:color w:val="006098"/>
              </w:rPr>
              <w:t>(290)</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6098"/>
              </w:rPr>
              <w:t>—</w:t>
            </w:r>
          </w:p>
        </w:tc>
        <w:tc>
          <w:tcPr>
            <w:tcW w:w="0" w:type="dxa"/>
            <w:vAlign w:val="bottom"/>
          </w:tcPr>
          <w:p>
            <w:pPr>
              <w:spacing w:after="0"/>
              <w:rPr>
                <w:sz w:val="1"/>
                <w:szCs w:val="1"/>
                <w:color w:val="auto"/>
              </w:rPr>
            </w:pPr>
          </w:p>
        </w:tc>
      </w:tr>
      <w:tr>
        <w:trPr>
          <w:trHeight w:val="197"/>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Impacts of Tax Receivable</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7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Agreements</w:t>
            </w: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ind w:left="60"/>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ind w:left="80"/>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(136)</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100" w:type="dxa"/>
            <w:vAlign w:val="bottom"/>
            <w:shd w:val="clear" w:color="auto" w:fill="D2DCE5"/>
          </w:tcPr>
          <w:p>
            <w:pPr>
              <w:spacing w:after="0"/>
              <w:rPr>
                <w:sz w:val="18"/>
                <w:szCs w:val="18"/>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w:t>
            </w:r>
          </w:p>
        </w:tc>
        <w:tc>
          <w:tcPr>
            <w:tcW w:w="80" w:type="dxa"/>
            <w:vAlign w:val="bottom"/>
            <w:shd w:val="clear" w:color="auto" w:fill="D2DCE5"/>
          </w:tcPr>
          <w:p>
            <w:pPr>
              <w:spacing w:after="0"/>
              <w:rPr>
                <w:sz w:val="18"/>
                <w:szCs w:val="18"/>
                <w:color w:val="auto"/>
              </w:rPr>
            </w:pPr>
          </w:p>
        </w:tc>
        <w:tc>
          <w:tcPr>
            <w:tcW w:w="7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006098"/>
              </w:rPr>
              <w:t>(136)</w:t>
            </w:r>
          </w:p>
        </w:tc>
        <w:tc>
          <w:tcPr>
            <w:tcW w:w="0" w:type="dxa"/>
            <w:vAlign w:val="bottom"/>
          </w:tcPr>
          <w:p>
            <w:pPr>
              <w:spacing w:after="0"/>
              <w:rPr>
                <w:sz w:val="1"/>
                <w:szCs w:val="1"/>
                <w:color w:val="auto"/>
              </w:rPr>
            </w:pPr>
          </w:p>
        </w:tc>
      </w:tr>
      <w:tr>
        <w:trPr>
          <w:trHeight w:val="200"/>
        </w:trPr>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March 31, 2026</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6098"/>
              </w:rPr>
              <w:t>127,293</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006098"/>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006098"/>
              </w:rPr>
              <w:t>1</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6098"/>
              </w:rPr>
              <w:t>35,211</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006098"/>
              </w:rPr>
              <w:t>$</w:t>
            </w:r>
          </w:p>
        </w:tc>
        <w:tc>
          <w:tcPr>
            <w:tcW w:w="360" w:type="dxa"/>
            <w:vAlign w:val="bottom"/>
            <w:gridSpan w:val="2"/>
          </w:tcPr>
          <w:p>
            <w:pPr>
              <w:ind w:left="60"/>
              <w:spacing w:after="0"/>
              <w:rPr>
                <w:sz w:val="20"/>
                <w:szCs w:val="20"/>
                <w:color w:val="auto"/>
              </w:rPr>
            </w:pPr>
            <w:r>
              <w:rPr>
                <w:rFonts w:ascii="Arial" w:cs="Arial" w:eastAsia="Arial" w:hAnsi="Arial"/>
                <w:sz w:val="14"/>
                <w:szCs w:val="14"/>
                <w:b w:val="1"/>
                <w:bCs w:val="1"/>
                <w:color w:val="006098"/>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006098"/>
              </w:rPr>
              <w:t>2,280</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006098"/>
              </w:rPr>
              <w:t>$</w:t>
            </w: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006098"/>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006098"/>
                <w:w w:val="99"/>
              </w:rPr>
              <w:t>$ 580,773</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006098"/>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006098"/>
              </w:rPr>
              <w:t>66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006098"/>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006098"/>
              </w:rPr>
              <w:t>115,605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6098"/>
              </w:rPr>
              <w:t>$ 224,080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6098"/>
                <w:w w:val="99"/>
              </w:rPr>
              <w:t>$ 920,525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6098"/>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Condensed 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31E29"/>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34925</wp:posOffset>
            </wp:positionV>
            <wp:extent cx="67208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323"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2660" w:type="dxa"/>
            <w:vAlign w:val="bottom"/>
            <w:tcBorders>
              <w:bottom w:val="single" w:sz="8" w:color="D7282F"/>
            </w:tcBorders>
            <w:gridSpan w:val="9"/>
          </w:tcPr>
          <w:p>
            <w:pPr>
              <w:ind w:left="20"/>
              <w:spacing w:after="0"/>
              <w:rPr>
                <w:sz w:val="20"/>
                <w:szCs w:val="20"/>
                <w:color w:val="auto"/>
              </w:rPr>
            </w:pPr>
            <w:r>
              <w:rPr>
                <w:rFonts w:ascii="Arial" w:cs="Arial" w:eastAsia="Arial" w:hAnsi="Arial"/>
                <w:sz w:val="14"/>
                <w:szCs w:val="14"/>
                <w:b w:val="1"/>
                <w:bCs w:val="1"/>
                <w:color w:val="131E29"/>
              </w:rPr>
              <w:t>Dutch Bros Inc. Stockholders’ Equity</w:t>
            </w:r>
          </w:p>
        </w:tc>
        <w:tc>
          <w:tcPr>
            <w:tcW w:w="10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A</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131E29"/>
              </w:rPr>
              <w:t>Class B</w:t>
            </w:r>
          </w:p>
        </w:tc>
        <w:tc>
          <w:tcPr>
            <w:tcW w:w="960" w:type="dxa"/>
            <w:vAlign w:val="bottom"/>
            <w:gridSpan w:val="3"/>
          </w:tcPr>
          <w:p>
            <w:pPr>
              <w:jc w:val="center"/>
              <w:ind w:left="208"/>
              <w:spacing w:after="0"/>
              <w:rPr>
                <w:sz w:val="20"/>
                <w:szCs w:val="20"/>
                <w:color w:val="auto"/>
              </w:rPr>
            </w:pPr>
            <w:r>
              <w:rPr>
                <w:rFonts w:ascii="Arial" w:cs="Arial" w:eastAsia="Arial" w:hAnsi="Arial"/>
                <w:sz w:val="14"/>
                <w:szCs w:val="14"/>
                <w:b w:val="1"/>
                <w:bCs w:val="1"/>
                <w:color w:val="131E29"/>
              </w:rPr>
              <w:t>Class C</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center"/>
              <w:ind w:right="8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131E29"/>
              </w:rPr>
              <w:t>Common Stock</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color w:val="131E29"/>
              </w:rPr>
              <w:t>Common Stock</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140" w:type="dxa"/>
            <w:vAlign w:val="bottom"/>
            <w:tcBorders>
              <w:bottom w:val="single" w:sz="8" w:color="D7282F"/>
            </w:tcBorders>
          </w:tcPr>
          <w:p>
            <w:pPr>
              <w:spacing w:after="0" w:line="20" w:lineRule="exact"/>
              <w:rPr>
                <w:sz w:val="1"/>
                <w:szCs w:val="1"/>
                <w:color w:val="auto"/>
              </w:rPr>
            </w:pPr>
          </w:p>
        </w:tc>
        <w:tc>
          <w:tcPr>
            <w:tcW w:w="46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D7282F"/>
            </w:tcBorders>
          </w:tcPr>
          <w:p>
            <w:pPr>
              <w:spacing w:after="0" w:line="20" w:lineRule="exact"/>
              <w:rPr>
                <w:sz w:val="1"/>
                <w:szCs w:val="1"/>
                <w:color w:val="auto"/>
              </w:rPr>
            </w:pPr>
          </w:p>
        </w:tc>
        <w:tc>
          <w:tcPr>
            <w:tcW w:w="80" w:type="dxa"/>
            <w:vAlign w:val="bottom"/>
            <w:tcBorders>
              <w:bottom w:val="single" w:sz="8" w:color="D7282F"/>
            </w:tcBorders>
          </w:tcPr>
          <w:p>
            <w:pPr>
              <w:spacing w:after="0" w:line="20" w:lineRule="exact"/>
              <w:rPr>
                <w:sz w:val="1"/>
                <w:szCs w:val="1"/>
                <w:color w:val="auto"/>
              </w:rPr>
            </w:pPr>
          </w:p>
        </w:tc>
        <w:tc>
          <w:tcPr>
            <w:tcW w:w="30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131E29"/>
              </w:rPr>
              <w:t>Accumulated</w:t>
            </w:r>
          </w:p>
        </w:tc>
        <w:tc>
          <w:tcPr>
            <w:tcW w:w="140" w:type="dxa"/>
            <w:vAlign w:val="bottom"/>
          </w:tcPr>
          <w:p>
            <w:pPr>
              <w:spacing w:after="0" w:line="20" w:lineRule="exact"/>
              <w:rPr>
                <w:sz w:val="1"/>
                <w:szCs w:val="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131E29"/>
              </w:rPr>
              <w:t>Retained</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131E29"/>
              </w:rPr>
              <w:t>Additional</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131E29"/>
              </w:rPr>
              <w:t>Other</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131E29"/>
              </w:rPr>
              <w:t>Earnings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w w:val="98"/>
              </w:rPr>
              <w:t>Non-</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131E29"/>
              </w:rPr>
              <w:t>Total</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100"/>
              <w:spacing w:after="0"/>
              <w:rPr>
                <w:sz w:val="20"/>
                <w:szCs w:val="20"/>
                <w:color w:val="auto"/>
              </w:rPr>
            </w:pPr>
            <w:r>
              <w:rPr>
                <w:rFonts w:ascii="Arial" w:cs="Arial" w:eastAsia="Arial" w:hAnsi="Arial"/>
                <w:sz w:val="14"/>
                <w:szCs w:val="14"/>
                <w:color w:val="131E29"/>
              </w:rPr>
              <w:t>Paid-in-  Comprehensive</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131E29"/>
              </w:rPr>
              <w:t>(Accumulated</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color w:val="131E29"/>
              </w:rPr>
              <w:t>Controlling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6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131E29"/>
              </w:rPr>
              <w:t>Shares</w:t>
            </w:r>
          </w:p>
        </w:tc>
        <w:tc>
          <w:tcPr>
            <w:tcW w:w="80" w:type="dxa"/>
            <w:vAlign w:val="bottom"/>
            <w:tcBorders>
              <w:bottom w:val="single" w:sz="8" w:color="D2DCE5"/>
            </w:tcBorders>
          </w:tcPr>
          <w:p>
            <w:pPr>
              <w:spacing w:after="0"/>
              <w:rPr>
                <w:sz w:val="18"/>
                <w:szCs w:val="18"/>
                <w:color w:val="auto"/>
              </w:rPr>
            </w:pPr>
          </w:p>
        </w:tc>
        <w:tc>
          <w:tcPr>
            <w:tcW w:w="58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color w:val="131E29"/>
              </w:rPr>
              <w:t>Amount</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131E29"/>
              </w:rPr>
              <w:t>Capital</w:t>
            </w:r>
          </w:p>
        </w:tc>
        <w:tc>
          <w:tcPr>
            <w:tcW w:w="100" w:type="dxa"/>
            <w:vAlign w:val="bottom"/>
            <w:tcBorders>
              <w:bottom w:val="single" w:sz="8" w:color="D2DCE5"/>
            </w:tcBorders>
          </w:tcPr>
          <w:p>
            <w:pPr>
              <w:spacing w:after="0"/>
              <w:rPr>
                <w:sz w:val="18"/>
                <w:szCs w:val="18"/>
                <w:color w:val="auto"/>
              </w:rPr>
            </w:pPr>
          </w:p>
        </w:tc>
        <w:tc>
          <w:tcPr>
            <w:tcW w:w="10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color w:val="131E29"/>
              </w:rPr>
              <w:t>Income</w:t>
            </w:r>
          </w:p>
        </w:tc>
        <w:tc>
          <w:tcPr>
            <w:tcW w:w="80" w:type="dxa"/>
            <w:vAlign w:val="bottom"/>
            <w:tcBorders>
              <w:bottom w:val="single" w:sz="8" w:color="D2DCE5"/>
            </w:tcBorders>
          </w:tcPr>
          <w:p>
            <w:pPr>
              <w:spacing w:after="0"/>
              <w:rPr>
                <w:sz w:val="18"/>
                <w:szCs w:val="18"/>
                <w:color w:val="auto"/>
              </w:rPr>
            </w:pPr>
          </w:p>
        </w:tc>
        <w:tc>
          <w:tcPr>
            <w:tcW w:w="140" w:type="dxa"/>
            <w:vAlign w:val="bottom"/>
            <w:tcBorders>
              <w:bottom w:val="single" w:sz="8" w:color="D7282F"/>
            </w:tcBorders>
          </w:tcPr>
          <w:p>
            <w:pPr>
              <w:spacing w:after="0"/>
              <w:rPr>
                <w:sz w:val="18"/>
                <w:szCs w:val="18"/>
                <w:color w:val="auto"/>
              </w:rPr>
            </w:pPr>
          </w:p>
        </w:tc>
        <w:tc>
          <w:tcPr>
            <w:tcW w:w="78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color w:val="131E29"/>
              </w:rPr>
              <w:t>Deficit)</w:t>
            </w:r>
          </w:p>
        </w:tc>
        <w:tc>
          <w:tcPr>
            <w:tcW w:w="80" w:type="dxa"/>
            <w:vAlign w:val="bottom"/>
            <w:tcBorders>
              <w:bottom w:val="single" w:sz="8" w:color="D2DCE5"/>
            </w:tcBorders>
          </w:tcPr>
          <w:p>
            <w:pPr>
              <w:spacing w:after="0"/>
              <w:rPr>
                <w:sz w:val="18"/>
                <w:szCs w:val="18"/>
                <w:color w:val="auto"/>
              </w:rPr>
            </w:pPr>
          </w:p>
        </w:tc>
        <w:tc>
          <w:tcPr>
            <w:tcW w:w="7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131E29"/>
              </w:rPr>
              <w:t>Interests</w:t>
            </w:r>
          </w:p>
        </w:tc>
        <w:tc>
          <w:tcPr>
            <w:tcW w:w="80" w:type="dxa"/>
            <w:vAlign w:val="bottom"/>
            <w:tcBorders>
              <w:bottom w:val="single" w:sz="8" w:color="D2DCE5"/>
            </w:tcBorders>
          </w:tcPr>
          <w:p>
            <w:pPr>
              <w:spacing w:after="0"/>
              <w:rPr>
                <w:sz w:val="18"/>
                <w:szCs w:val="18"/>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131E29"/>
              </w:rPr>
              <w:t>Equity</w:t>
            </w:r>
          </w:p>
        </w:tc>
        <w:tc>
          <w:tcPr>
            <w:tcW w:w="0" w:type="dxa"/>
            <w:vAlign w:val="bottom"/>
          </w:tcPr>
          <w:p>
            <w:pPr>
              <w:spacing w:after="0"/>
              <w:rPr>
                <w:sz w:val="1"/>
                <w:szCs w:val="1"/>
                <w:color w:val="auto"/>
              </w:rPr>
            </w:pPr>
          </w:p>
        </w:tc>
      </w:tr>
      <w:tr>
        <w:trPr>
          <w:trHeight w:val="227"/>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2024</w:t>
            </w:r>
          </w:p>
        </w:tc>
        <w:tc>
          <w:tcPr>
            <w:tcW w:w="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8"/>
              </w:rPr>
              <w:t>115,432</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jc w:val="right"/>
              <w:ind w:right="148"/>
              <w:spacing w:after="0"/>
              <w:rPr>
                <w:sz w:val="20"/>
                <w:szCs w:val="20"/>
                <w:color w:val="auto"/>
              </w:rPr>
            </w:pPr>
            <w:r>
              <w:rPr>
                <w:rFonts w:ascii="Arial" w:cs="Arial" w:eastAsia="Arial" w:hAnsi="Arial"/>
                <w:sz w:val="14"/>
                <w:szCs w:val="14"/>
                <w:b w:val="1"/>
                <w:bCs w:val="1"/>
                <w:color w:val="131E29"/>
              </w:rPr>
              <w:t>$</w:t>
            </w:r>
          </w:p>
        </w:tc>
        <w:tc>
          <w:tcPr>
            <w:tcW w:w="2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shd w:val="clear" w:color="auto" w:fill="D2DCE5"/>
          </w:tcPr>
          <w:p>
            <w:pPr>
              <w:spacing w:after="0"/>
              <w:rPr>
                <w:sz w:val="19"/>
                <w:szCs w:val="19"/>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35,227</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540" w:type="dxa"/>
            <w:vAlign w:val="bottom"/>
            <w:gridSpan w:val="2"/>
            <w:shd w:val="clear" w:color="auto" w:fill="D2DCE5"/>
          </w:tcPr>
          <w:p>
            <w:pPr>
              <w:ind w:left="260"/>
              <w:spacing w:after="0"/>
              <w:rPr>
                <w:sz w:val="20"/>
                <w:szCs w:val="20"/>
                <w:color w:val="auto"/>
              </w:rPr>
            </w:pPr>
            <w:r>
              <w:rPr>
                <w:rFonts w:ascii="Arial" w:cs="Arial" w:eastAsia="Arial" w:hAnsi="Arial"/>
                <w:sz w:val="14"/>
                <w:szCs w:val="14"/>
                <w:b w:val="1"/>
                <w:bCs w:val="1"/>
                <w:color w:val="131E29"/>
              </w:rPr>
              <w:t>—</w:t>
            </w:r>
          </w:p>
        </w:tc>
        <w:tc>
          <w:tcPr>
            <w:tcW w:w="58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3,545</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shd w:val="clear" w:color="auto" w:fill="D2DCE5"/>
          </w:tcPr>
          <w:p>
            <w:pPr>
              <w:ind w:left="80"/>
              <w:spacing w:after="0"/>
              <w:rPr>
                <w:sz w:val="20"/>
                <w:szCs w:val="20"/>
                <w:color w:val="auto"/>
              </w:rPr>
            </w:pPr>
            <w:r>
              <w:rPr>
                <w:rFonts w:ascii="Arial" w:cs="Arial" w:eastAsia="Arial" w:hAnsi="Arial"/>
                <w:sz w:val="14"/>
                <w:szCs w:val="14"/>
                <w:b w:val="1"/>
                <w:bCs w:val="1"/>
                <w:color w:val="131E29"/>
              </w:rPr>
              <w:t>—</w:t>
            </w:r>
          </w:p>
        </w:tc>
        <w:tc>
          <w:tcPr>
            <w:tcW w:w="7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99"/>
              </w:rPr>
              <w:t>$ 517,074</w:t>
            </w:r>
          </w:p>
        </w:tc>
        <w:tc>
          <w:tcPr>
            <w:tcW w:w="100" w:type="dxa"/>
            <w:vAlign w:val="bottom"/>
            <w:shd w:val="clear" w:color="auto" w:fill="D2DCE5"/>
          </w:tcPr>
          <w:p>
            <w:pPr>
              <w:spacing w:after="0"/>
              <w:rPr>
                <w:sz w:val="19"/>
                <w:szCs w:val="19"/>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628</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19,666</w:t>
            </w:r>
          </w:p>
        </w:tc>
        <w:tc>
          <w:tcPr>
            <w:tcW w:w="80" w:type="dxa"/>
            <w:vAlign w:val="bottom"/>
            <w:shd w:val="clear" w:color="auto" w:fill="D2DCE5"/>
          </w:tcPr>
          <w:p>
            <w:pPr>
              <w:spacing w:after="0"/>
              <w:rPr>
                <w:sz w:val="19"/>
                <w:szCs w:val="19"/>
                <w:color w:val="auto"/>
              </w:rPr>
            </w:pPr>
          </w:p>
        </w:tc>
        <w:tc>
          <w:tcPr>
            <w:tcW w:w="74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rPr>
              <w:t>$ 226,496</w:t>
            </w:r>
          </w:p>
        </w:tc>
        <w:tc>
          <w:tcPr>
            <w:tcW w:w="80" w:type="dxa"/>
            <w:vAlign w:val="bottom"/>
            <w:shd w:val="clear" w:color="auto" w:fill="D2DCE5"/>
          </w:tcPr>
          <w:p>
            <w:pPr>
              <w:spacing w:after="0"/>
              <w:rPr>
                <w:sz w:val="19"/>
                <w:szCs w:val="19"/>
                <w:color w:val="auto"/>
              </w:rPr>
            </w:pPr>
          </w:p>
        </w:tc>
        <w:tc>
          <w:tcPr>
            <w:tcW w:w="700" w:type="dxa"/>
            <w:vAlign w:val="bottom"/>
            <w:shd w:val="clear" w:color="auto" w:fill="D2DCE5"/>
          </w:tcPr>
          <w:p>
            <w:pPr>
              <w:jc w:val="right"/>
              <w:ind w:right="8"/>
              <w:spacing w:after="0"/>
              <w:rPr>
                <w:sz w:val="20"/>
                <w:szCs w:val="20"/>
                <w:color w:val="auto"/>
              </w:rPr>
            </w:pPr>
            <w:r>
              <w:rPr>
                <w:rFonts w:ascii="Arial" w:cs="Arial" w:eastAsia="Arial" w:hAnsi="Arial"/>
                <w:sz w:val="14"/>
                <w:szCs w:val="14"/>
                <w:b w:val="1"/>
                <w:bCs w:val="1"/>
                <w:color w:val="131E29"/>
                <w:w w:val="96"/>
              </w:rPr>
              <w:t>$ 763,865</w:t>
            </w:r>
          </w:p>
        </w:tc>
        <w:tc>
          <w:tcPr>
            <w:tcW w:w="0" w:type="dxa"/>
            <w:vAlign w:val="bottom"/>
          </w:tcPr>
          <w:p>
            <w:pPr>
              <w:spacing w:after="0"/>
              <w:rPr>
                <w:sz w:val="1"/>
                <w:szCs w:val="1"/>
                <w:color w:val="auto"/>
              </w:rPr>
            </w:pPr>
          </w:p>
        </w:tc>
      </w:tr>
      <w:tr>
        <w:trPr>
          <w:trHeight w:val="208"/>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Net income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131E29"/>
              </w:rPr>
              <w:t>15,353</w:t>
            </w:r>
          </w:p>
        </w:tc>
        <w:tc>
          <w:tcPr>
            <w:tcW w:w="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131E29"/>
              </w:rPr>
              <w:t>7,127</w:t>
            </w:r>
          </w:p>
        </w:tc>
        <w:tc>
          <w:tcPr>
            <w:tcW w:w="8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22,480</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loss on derivative</w:t>
            </w: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4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securities, effective portion, net</w:t>
            </w:r>
          </w:p>
        </w:tc>
        <w:tc>
          <w:tcPr>
            <w:tcW w:w="6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shd w:val="clear" w:color="auto" w:fill="D2DCE5"/>
          </w:tcPr>
          <w:p>
            <w:pPr>
              <w:spacing w:after="0"/>
              <w:rPr>
                <w:sz w:val="15"/>
                <w:szCs w:val="15"/>
                <w:color w:val="auto"/>
              </w:rPr>
            </w:pPr>
          </w:p>
        </w:tc>
        <w:tc>
          <w:tcPr>
            <w:tcW w:w="540" w:type="dxa"/>
            <w:vAlign w:val="bottom"/>
            <w:gridSpan w:val="2"/>
            <w:vMerge w:val="restart"/>
            <w:shd w:val="clear" w:color="auto" w:fill="D2DCE5"/>
          </w:tcPr>
          <w:p>
            <w:pPr>
              <w:ind w:left="26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(96)</w:t>
            </w:r>
          </w:p>
        </w:tc>
        <w:tc>
          <w:tcPr>
            <w:tcW w:w="1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(190)</w:t>
            </w: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8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(159)</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(445)</w:t>
            </w: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 income tax benefit of $93</w:t>
            </w:r>
          </w:p>
        </w:tc>
        <w:tc>
          <w:tcPr>
            <w:tcW w:w="660" w:type="dxa"/>
            <w:vAlign w:val="bottom"/>
            <w:gridSpan w:val="2"/>
            <w:vMerge w:val="continue"/>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40" w:type="dxa"/>
            <w:vAlign w:val="bottom"/>
            <w:gridSpan w:val="2"/>
            <w:vMerge w:val="continue"/>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54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860" w:type="dxa"/>
            <w:vAlign w:val="bottom"/>
            <w:gridSpan w:val="2"/>
            <w:vMerge w:val="continue"/>
            <w:shd w:val="clear" w:color="auto" w:fill="D2DCE5"/>
          </w:tcPr>
          <w:p>
            <w:pPr>
              <w:spacing w:after="0"/>
              <w:rPr>
                <w:sz w:val="17"/>
                <w:szCs w:val="17"/>
                <w:color w:val="auto"/>
              </w:rPr>
            </w:pPr>
          </w:p>
        </w:tc>
        <w:tc>
          <w:tcPr>
            <w:tcW w:w="74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Equity-based compensation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2,900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131E29"/>
              </w:rPr>
              <w:t>1,294</w:t>
            </w:r>
          </w:p>
        </w:tc>
        <w:tc>
          <w:tcPr>
            <w:tcW w:w="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4,194</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Issuance of Class A common</w:t>
            </w: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4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stock pursuant to vesting of</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4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equity awards, net of stock</w:t>
            </w: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2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4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00" w:type="dxa"/>
            <w:vAlign w:val="bottom"/>
            <w:shd w:val="clear" w:color="auto" w:fill="D2DCE5"/>
          </w:tcPr>
          <w:p>
            <w:pPr>
              <w:spacing w:after="0"/>
              <w:rPr>
                <w:sz w:val="14"/>
                <w:szCs w:val="14"/>
                <w:color w:val="auto"/>
              </w:rPr>
            </w:pPr>
          </w:p>
        </w:tc>
        <w:tc>
          <w:tcPr>
            <w:tcW w:w="2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9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14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4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withheld for tax withholding</w:t>
            </w: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4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5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obligations</w:t>
            </w:r>
          </w:p>
        </w:tc>
        <w:tc>
          <w:tcPr>
            <w:tcW w:w="58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295</w:t>
            </w:r>
          </w:p>
        </w:tc>
        <w:tc>
          <w:tcPr>
            <w:tcW w:w="80" w:type="dxa"/>
            <w:vAlign w:val="bottom"/>
            <w:tcBorders>
              <w:bottom w:val="single" w:sz="8" w:color="D2DCE5"/>
            </w:tcBorders>
            <w:shd w:val="clear" w:color="auto" w:fill="D2DCE5"/>
          </w:tcPr>
          <w:p>
            <w:pPr>
              <w:spacing w:after="0"/>
              <w:rPr>
                <w:sz w:val="16"/>
                <w:szCs w:val="16"/>
                <w:color w:val="auto"/>
              </w:rPr>
            </w:pPr>
          </w:p>
        </w:tc>
        <w:tc>
          <w:tcPr>
            <w:tcW w:w="32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Borders>
              <w:bottom w:val="single" w:sz="8" w:color="D2DCE5"/>
            </w:tcBorders>
            <w:shd w:val="clear" w:color="auto" w:fill="D2DCE5"/>
          </w:tcPr>
          <w:p>
            <w:pPr>
              <w:spacing w:after="0"/>
              <w:rPr>
                <w:sz w:val="16"/>
                <w:szCs w:val="16"/>
                <w:color w:val="auto"/>
              </w:rPr>
            </w:pPr>
          </w:p>
        </w:tc>
        <w:tc>
          <w:tcPr>
            <w:tcW w:w="540" w:type="dxa"/>
            <w:vAlign w:val="bottom"/>
            <w:tcBorders>
              <w:bottom w:val="single" w:sz="8" w:color="D2DCE5"/>
            </w:tcBorders>
            <w:gridSpan w:val="2"/>
            <w:shd w:val="clear" w:color="auto" w:fill="D2DCE5"/>
          </w:tcPr>
          <w:p>
            <w:pPr>
              <w:ind w:left="260"/>
              <w:spacing w:after="0"/>
              <w:rPr>
                <w:sz w:val="20"/>
                <w:szCs w:val="20"/>
                <w:color w:val="auto"/>
              </w:rPr>
            </w:pPr>
            <w:r>
              <w:rPr>
                <w:rFonts w:ascii="Arial" w:cs="Arial" w:eastAsia="Arial" w:hAnsi="Arial"/>
                <w:sz w:val="14"/>
                <w:szCs w:val="14"/>
                <w:color w:val="131E29"/>
              </w:rPr>
              <w:t>—</w:t>
            </w:r>
          </w:p>
        </w:tc>
        <w:tc>
          <w:tcPr>
            <w:tcW w:w="660" w:type="dxa"/>
            <w:vAlign w:val="bottom"/>
            <w:tcBorders>
              <w:bottom w:val="single" w:sz="8" w:color="D2DCE5"/>
            </w:tcBorders>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Borders>
              <w:bottom w:val="single" w:sz="8" w:color="D2DCE5"/>
            </w:tcBorders>
            <w:shd w:val="clear" w:color="auto" w:fill="D2DCE5"/>
          </w:tcPr>
          <w:p>
            <w:pPr>
              <w:spacing w:after="0"/>
              <w:rPr>
                <w:sz w:val="16"/>
                <w:szCs w:val="16"/>
                <w:color w:val="auto"/>
              </w:rPr>
            </w:pPr>
          </w:p>
        </w:tc>
        <w:tc>
          <w:tcPr>
            <w:tcW w:w="360" w:type="dxa"/>
            <w:vAlign w:val="bottom"/>
            <w:tcBorders>
              <w:bottom w:val="single" w:sz="8" w:color="D2DCE5"/>
            </w:tcBorders>
            <w:gridSpan w:val="2"/>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(7,771)</w:t>
            </w:r>
          </w:p>
        </w:tc>
        <w:tc>
          <w:tcPr>
            <w:tcW w:w="100" w:type="dxa"/>
            <w:vAlign w:val="bottom"/>
            <w:tcBorders>
              <w:bottom w:val="single" w:sz="8" w:color="D2DCE5"/>
            </w:tcBorders>
            <w:shd w:val="clear" w:color="auto" w:fill="D2DCE5"/>
          </w:tcPr>
          <w:p>
            <w:pPr>
              <w:spacing w:after="0"/>
              <w:rPr>
                <w:sz w:val="16"/>
                <w:szCs w:val="16"/>
                <w:color w:val="auto"/>
              </w:rPr>
            </w:pPr>
          </w:p>
        </w:tc>
        <w:tc>
          <w:tcPr>
            <w:tcW w:w="100" w:type="dxa"/>
            <w:vAlign w:val="bottom"/>
            <w:tcBorders>
              <w:bottom w:val="single" w:sz="8" w:color="D2DCE5"/>
            </w:tcBorders>
            <w:shd w:val="clear" w:color="auto" w:fill="D2DCE5"/>
          </w:tcPr>
          <w:p>
            <w:pPr>
              <w:spacing w:after="0"/>
              <w:rPr>
                <w:sz w:val="16"/>
                <w:szCs w:val="16"/>
                <w:color w:val="auto"/>
              </w:rPr>
            </w:pPr>
          </w:p>
        </w:tc>
        <w:tc>
          <w:tcPr>
            <w:tcW w:w="102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Borders>
              <w:bottom w:val="single" w:sz="8" w:color="D2DCE5"/>
            </w:tcBorders>
            <w:shd w:val="clear" w:color="auto" w:fill="D2DCE5"/>
          </w:tcPr>
          <w:p>
            <w:pPr>
              <w:spacing w:after="0"/>
              <w:rPr>
                <w:sz w:val="16"/>
                <w:szCs w:val="16"/>
                <w:color w:val="auto"/>
              </w:rPr>
            </w:pPr>
          </w:p>
        </w:tc>
        <w:tc>
          <w:tcPr>
            <w:tcW w:w="860" w:type="dxa"/>
            <w:vAlign w:val="bottom"/>
            <w:tcBorders>
              <w:bottom w:val="single" w:sz="8" w:color="D2DCE5"/>
            </w:tcBorders>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(3,247)</w:t>
            </w:r>
          </w:p>
        </w:tc>
        <w:tc>
          <w:tcPr>
            <w:tcW w:w="80" w:type="dxa"/>
            <w:vAlign w:val="bottom"/>
            <w:tcBorders>
              <w:bottom w:val="single" w:sz="8" w:color="D2DCE5"/>
            </w:tcBorders>
            <w:shd w:val="clear" w:color="auto" w:fill="D2DCE5"/>
          </w:tcPr>
          <w:p>
            <w:pPr>
              <w:spacing w:after="0"/>
              <w:rPr>
                <w:sz w:val="16"/>
                <w:szCs w:val="16"/>
                <w:color w:val="auto"/>
              </w:rPr>
            </w:pPr>
          </w:p>
        </w:tc>
        <w:tc>
          <w:tcPr>
            <w:tcW w:w="70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4"/>
                <w:szCs w:val="14"/>
                <w:color w:val="131E29"/>
              </w:rPr>
              <w:t>(11,018)</w:t>
            </w:r>
          </w:p>
        </w:tc>
        <w:tc>
          <w:tcPr>
            <w:tcW w:w="0" w:type="dxa"/>
            <w:vAlign w:val="bottom"/>
          </w:tcPr>
          <w:p>
            <w:pPr>
              <w:spacing w:after="0"/>
              <w:rPr>
                <w:sz w:val="1"/>
                <w:szCs w:val="1"/>
                <w:color w:val="auto"/>
              </w:rPr>
            </w:pPr>
          </w:p>
        </w:tc>
      </w:tr>
      <w:tr>
        <w:trPr>
          <w:trHeight w:val="193"/>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Issuance of Class A common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stock in exchange for surrender</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and conversion of Dutch Bros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OpCo Class A common units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for surrender and cancellation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of Class C common stock,</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pursuant to exchange</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131E29"/>
              </w:rPr>
              <w:t>9,447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5"/>
                <w:szCs w:val="15"/>
                <w:color w:val="auto"/>
              </w:rPr>
            </w:pPr>
          </w:p>
        </w:tc>
        <w:tc>
          <w:tcPr>
            <w:tcW w:w="540" w:type="dxa"/>
            <w:vAlign w:val="bottom"/>
            <w:gridSpan w:val="2"/>
            <w:vMerge w:val="restart"/>
          </w:tcPr>
          <w:p>
            <w:pPr>
              <w:ind w:left="260"/>
              <w:spacing w:after="0"/>
              <w:rPr>
                <w:sz w:val="20"/>
                <w:szCs w:val="20"/>
                <w:color w:val="auto"/>
              </w:rPr>
            </w:pPr>
            <w:r>
              <w:rPr>
                <w:rFonts w:ascii="Arial" w:cs="Arial" w:eastAsia="Arial" w:hAnsi="Arial"/>
                <w:sz w:val="14"/>
                <w:szCs w:val="14"/>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131E29"/>
              </w:rPr>
              <w:t>(1,197)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gridSpan w:val="2"/>
            <w:vMerge w:val="restart"/>
          </w:tcPr>
          <w:p>
            <w:pPr>
              <w:ind w:left="80"/>
              <w:spacing w:after="0"/>
              <w:rPr>
                <w:sz w:val="20"/>
                <w:szCs w:val="20"/>
                <w:color w:val="auto"/>
              </w:rPr>
            </w:pPr>
            <w:r>
              <w:rPr>
                <w:rFonts w:ascii="Arial" w:cs="Arial" w:eastAsia="Arial" w:hAnsi="Arial"/>
                <w:sz w:val="14"/>
                <w:szCs w:val="14"/>
                <w:color w:val="131E29"/>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131E29"/>
              </w:rPr>
              <w:t>—</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4"/>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transactions</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Effect of equity transactions of</w:t>
            </w: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4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5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7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Dutch Bros OpCo Class A</w:t>
            </w:r>
          </w:p>
        </w:tc>
        <w:tc>
          <w:tcPr>
            <w:tcW w:w="6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shd w:val="clear" w:color="auto" w:fill="D2DCE5"/>
          </w:tcPr>
          <w:p>
            <w:pPr>
              <w:spacing w:after="0"/>
              <w:rPr>
                <w:sz w:val="15"/>
                <w:szCs w:val="15"/>
                <w:color w:val="auto"/>
              </w:rPr>
            </w:pPr>
          </w:p>
        </w:tc>
        <w:tc>
          <w:tcPr>
            <w:tcW w:w="540" w:type="dxa"/>
            <w:vAlign w:val="bottom"/>
            <w:gridSpan w:val="2"/>
            <w:vMerge w:val="restart"/>
            <w:shd w:val="clear" w:color="auto" w:fill="D2DCE5"/>
          </w:tcPr>
          <w:p>
            <w:pPr>
              <w:ind w:left="26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5"/>
                <w:szCs w:val="15"/>
                <w:color w:val="auto"/>
              </w:rPr>
            </w:pPr>
          </w:p>
        </w:tc>
        <w:tc>
          <w:tcPr>
            <w:tcW w:w="360" w:type="dxa"/>
            <w:vAlign w:val="bottom"/>
            <w:gridSpan w:val="2"/>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34,267</w:t>
            </w:r>
          </w:p>
        </w:tc>
        <w:tc>
          <w:tcPr>
            <w:tcW w:w="1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102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shd w:val="clear" w:color="auto" w:fill="D2DCE5"/>
          </w:tcPr>
          <w:p>
            <w:pPr>
              <w:spacing w:after="0"/>
              <w:rPr>
                <w:sz w:val="15"/>
                <w:szCs w:val="15"/>
                <w:color w:val="auto"/>
              </w:rPr>
            </w:pPr>
          </w:p>
        </w:tc>
        <w:tc>
          <w:tcPr>
            <w:tcW w:w="860" w:type="dxa"/>
            <w:vAlign w:val="bottom"/>
            <w:gridSpan w:val="2"/>
            <w:vMerge w:val="restart"/>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7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(34,267)</w:t>
            </w:r>
          </w:p>
        </w:tc>
        <w:tc>
          <w:tcPr>
            <w:tcW w:w="80" w:type="dxa"/>
            <w:vAlign w:val="bottom"/>
            <w:shd w:val="clear" w:color="auto" w:fill="D2DCE5"/>
          </w:tcPr>
          <w:p>
            <w:pPr>
              <w:spacing w:after="0"/>
              <w:rPr>
                <w:sz w:val="15"/>
                <w:szCs w:val="15"/>
                <w:color w:val="auto"/>
              </w:rPr>
            </w:pP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common units</w:t>
            </w:r>
          </w:p>
        </w:tc>
        <w:tc>
          <w:tcPr>
            <w:tcW w:w="660" w:type="dxa"/>
            <w:vAlign w:val="bottom"/>
            <w:gridSpan w:val="2"/>
            <w:vMerge w:val="continue"/>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640" w:type="dxa"/>
            <w:vAlign w:val="bottom"/>
            <w:gridSpan w:val="2"/>
            <w:vMerge w:val="continue"/>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540" w:type="dxa"/>
            <w:vAlign w:val="bottom"/>
            <w:gridSpan w:val="2"/>
            <w:vMerge w:val="continue"/>
            <w:shd w:val="clear" w:color="auto" w:fill="D2DCE5"/>
          </w:tcPr>
          <w:p>
            <w:pPr>
              <w:spacing w:after="0"/>
              <w:rPr>
                <w:sz w:val="17"/>
                <w:szCs w:val="17"/>
                <w:color w:val="auto"/>
              </w:rPr>
            </w:pPr>
          </w:p>
        </w:tc>
        <w:tc>
          <w:tcPr>
            <w:tcW w:w="660" w:type="dxa"/>
            <w:vAlign w:val="bottom"/>
            <w:gridSpan w:val="2"/>
            <w:vMerge w:val="continue"/>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360" w:type="dxa"/>
            <w:vAlign w:val="bottom"/>
            <w:gridSpan w:val="2"/>
            <w:vMerge w:val="continue"/>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020" w:type="dxa"/>
            <w:vAlign w:val="bottom"/>
            <w:gridSpan w:val="2"/>
            <w:vMerge w:val="continue"/>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860" w:type="dxa"/>
            <w:vAlign w:val="bottom"/>
            <w:gridSpan w:val="2"/>
            <w:vMerge w:val="continue"/>
            <w:shd w:val="clear" w:color="auto" w:fill="D2DCE5"/>
          </w:tcPr>
          <w:p>
            <w:pPr>
              <w:spacing w:after="0"/>
              <w:rPr>
                <w:sz w:val="17"/>
                <w:szCs w:val="17"/>
                <w:color w:val="auto"/>
              </w:rPr>
            </w:pPr>
          </w:p>
        </w:tc>
        <w:tc>
          <w:tcPr>
            <w:tcW w:w="74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70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Impacts of Tax Receivable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60" w:type="dxa"/>
            <w:vAlign w:val="bottom"/>
            <w:gridSpan w:val="2"/>
          </w:tcPr>
          <w:p>
            <w:pPr>
              <w:ind w:left="20"/>
              <w:spacing w:after="0"/>
              <w:rPr>
                <w:sz w:val="20"/>
                <w:szCs w:val="20"/>
                <w:color w:val="auto"/>
              </w:rPr>
            </w:pPr>
            <w:r>
              <w:rPr>
                <w:rFonts w:ascii="Arial" w:cs="Arial" w:eastAsia="Arial" w:hAnsi="Arial"/>
                <w:sz w:val="14"/>
                <w:szCs w:val="14"/>
                <w:color w:val="131E29"/>
              </w:rPr>
              <w:t>Agreements</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6"/>
                <w:szCs w:val="16"/>
                <w:color w:val="auto"/>
              </w:rPr>
            </w:pPr>
          </w:p>
        </w:tc>
        <w:tc>
          <w:tcPr>
            <w:tcW w:w="540" w:type="dxa"/>
            <w:vAlign w:val="bottom"/>
            <w:gridSpan w:val="2"/>
          </w:tcPr>
          <w:p>
            <w:pPr>
              <w:ind w:left="26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360" w:type="dxa"/>
            <w:vAlign w:val="bottom"/>
            <w:gridSpan w:val="2"/>
          </w:tcPr>
          <w:p>
            <w:pPr>
              <w:ind w:left="80"/>
              <w:spacing w:after="0"/>
              <w:rPr>
                <w:sz w:val="20"/>
                <w:szCs w:val="20"/>
                <w:color w:val="auto"/>
              </w:rPr>
            </w:pPr>
            <w:r>
              <w:rPr>
                <w:rFonts w:ascii="Arial" w:cs="Arial" w:eastAsia="Arial" w:hAnsi="Arial"/>
                <w:sz w:val="14"/>
                <w:szCs w:val="14"/>
                <w:color w:val="131E29"/>
              </w:rPr>
              <w:t>—</w:t>
            </w:r>
          </w:p>
        </w:tc>
        <w:tc>
          <w:tcPr>
            <w:tcW w:w="700" w:type="dxa"/>
            <w:vAlign w:val="bottom"/>
          </w:tcPr>
          <w:p>
            <w:pPr>
              <w:jc w:val="right"/>
              <w:spacing w:after="0"/>
              <w:rPr>
                <w:sz w:val="20"/>
                <w:szCs w:val="20"/>
                <w:color w:val="auto"/>
              </w:rPr>
            </w:pPr>
            <w:r>
              <w:rPr>
                <w:rFonts w:ascii="Arial" w:cs="Arial" w:eastAsia="Arial" w:hAnsi="Arial"/>
                <w:sz w:val="14"/>
                <w:szCs w:val="14"/>
                <w:color w:val="131E29"/>
              </w:rPr>
              <w:t>17,226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131E29"/>
              </w:rPr>
              <w:t>17,226</w:t>
            </w:r>
          </w:p>
        </w:tc>
        <w:tc>
          <w:tcPr>
            <w:tcW w:w="0" w:type="dxa"/>
            <w:vAlign w:val="bottom"/>
          </w:tcPr>
          <w:p>
            <w:pPr>
              <w:spacing w:after="0"/>
              <w:rPr>
                <w:sz w:val="1"/>
                <w:szCs w:val="1"/>
                <w:color w:val="auto"/>
              </w:rPr>
            </w:pPr>
          </w:p>
        </w:tc>
      </w:tr>
      <w:tr>
        <w:trPr>
          <w:trHeight w:val="22"/>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Reverse Split transaction</w:t>
            </w: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2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4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5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shd w:val="clear" w:color="auto" w:fill="D2DCE5"/>
          </w:tcPr>
          <w:p>
            <w:pPr>
              <w:spacing w:after="0"/>
              <w:rPr>
                <w:sz w:val="16"/>
                <w:szCs w:val="16"/>
                <w:color w:val="auto"/>
              </w:rPr>
            </w:pPr>
          </w:p>
        </w:tc>
        <w:tc>
          <w:tcPr>
            <w:tcW w:w="78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7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pursuant to OpCo</w:t>
            </w: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(16)</w:t>
            </w:r>
          </w:p>
        </w:tc>
        <w:tc>
          <w:tcPr>
            <w:tcW w:w="80" w:type="dxa"/>
            <w:vAlign w:val="bottom"/>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460" w:type="dxa"/>
            <w:vAlign w:val="bottom"/>
            <w:vMerge w:val="restart"/>
            <w:shd w:val="clear" w:color="auto" w:fill="D2DCE5"/>
          </w:tcPr>
          <w:p>
            <w:pPr>
              <w:ind w:left="26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280" w:type="dxa"/>
            <w:vAlign w:val="bottom"/>
            <w:vMerge w:val="restart"/>
            <w:shd w:val="clear" w:color="auto" w:fill="D2DCE5"/>
          </w:tcPr>
          <w:p>
            <w:pPr>
              <w:ind w:left="80"/>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vMerge w:val="restart"/>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140" w:type="dxa"/>
            <w:vAlign w:val="bottom"/>
            <w:shd w:val="clear" w:color="auto" w:fill="D2DCE5"/>
          </w:tcPr>
          <w:p>
            <w:pPr>
              <w:spacing w:after="0"/>
              <w:rPr>
                <w:sz w:val="15"/>
                <w:szCs w:val="15"/>
                <w:color w:val="auto"/>
              </w:rPr>
            </w:pPr>
          </w:p>
        </w:tc>
        <w:tc>
          <w:tcPr>
            <w:tcW w:w="780" w:type="dxa"/>
            <w:vAlign w:val="bottom"/>
            <w:vMerge w:val="restart"/>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4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80" w:type="dxa"/>
            <w:vAlign w:val="bottom"/>
            <w:vMerge w:val="restart"/>
            <w:shd w:val="clear" w:color="auto" w:fill="D2DCE5"/>
          </w:tcPr>
          <w:p>
            <w:pPr>
              <w:spacing w:after="0"/>
              <w:rPr>
                <w:sz w:val="15"/>
                <w:szCs w:val="15"/>
                <w:color w:val="auto"/>
              </w:rPr>
            </w:pPr>
          </w:p>
        </w:tc>
        <w:tc>
          <w:tcPr>
            <w:tcW w:w="700" w:type="dxa"/>
            <w:vAlign w:val="bottom"/>
            <w:vMerge w:val="restart"/>
            <w:shd w:val="clear" w:color="auto" w:fill="D2DCE5"/>
          </w:tcPr>
          <w:p>
            <w:pPr>
              <w:jc w:val="right"/>
              <w:ind w:right="8"/>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194"/>
        </w:trPr>
        <w:tc>
          <w:tcPr>
            <w:tcW w:w="2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Recapitalization</w:t>
            </w:r>
          </w:p>
        </w:tc>
        <w:tc>
          <w:tcPr>
            <w:tcW w:w="5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32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56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0" w:type="dxa"/>
            <w:vAlign w:val="bottom"/>
            <w:tcBorders>
              <w:bottom w:val="single" w:sz="8" w:color="auto"/>
            </w:tcBorders>
            <w:shd w:val="clear" w:color="auto" w:fill="D2DCE5"/>
          </w:tcPr>
          <w:p>
            <w:pPr>
              <w:spacing w:after="0"/>
              <w:rPr>
                <w:sz w:val="16"/>
                <w:szCs w:val="16"/>
                <w:color w:val="auto"/>
              </w:rPr>
            </w:pPr>
          </w:p>
        </w:tc>
        <w:tc>
          <w:tcPr>
            <w:tcW w:w="46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5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00" w:type="dxa"/>
            <w:vAlign w:val="bottom"/>
            <w:tcBorders>
              <w:bottom w:val="single" w:sz="8" w:color="auto"/>
            </w:tcBorders>
            <w:shd w:val="clear" w:color="auto" w:fill="D2DCE5"/>
          </w:tcPr>
          <w:p>
            <w:pPr>
              <w:spacing w:after="0"/>
              <w:rPr>
                <w:sz w:val="16"/>
                <w:szCs w:val="16"/>
                <w:color w:val="auto"/>
              </w:rPr>
            </w:pPr>
          </w:p>
        </w:tc>
        <w:tc>
          <w:tcPr>
            <w:tcW w:w="2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100" w:type="dxa"/>
            <w:vAlign w:val="bottom"/>
            <w:vMerge w:val="continue"/>
            <w:shd w:val="clear" w:color="auto" w:fill="D2DCE5"/>
          </w:tcPr>
          <w:p>
            <w:pPr>
              <w:spacing w:after="0"/>
              <w:rPr>
                <w:sz w:val="16"/>
                <w:szCs w:val="16"/>
                <w:color w:val="auto"/>
              </w:rPr>
            </w:pPr>
          </w:p>
        </w:tc>
        <w:tc>
          <w:tcPr>
            <w:tcW w:w="100" w:type="dxa"/>
            <w:vAlign w:val="bottom"/>
            <w:tcBorders>
              <w:bottom w:val="single" w:sz="8" w:color="auto"/>
            </w:tcBorders>
            <w:shd w:val="clear" w:color="auto" w:fill="D2DCE5"/>
          </w:tcPr>
          <w:p>
            <w:pPr>
              <w:spacing w:after="0"/>
              <w:rPr>
                <w:sz w:val="16"/>
                <w:szCs w:val="16"/>
                <w:color w:val="auto"/>
              </w:rPr>
            </w:pPr>
          </w:p>
        </w:tc>
        <w:tc>
          <w:tcPr>
            <w:tcW w:w="94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140" w:type="dxa"/>
            <w:vAlign w:val="bottom"/>
            <w:tcBorders>
              <w:bottom w:val="single" w:sz="8" w:color="auto"/>
            </w:tcBorders>
            <w:shd w:val="clear" w:color="auto" w:fill="D2DCE5"/>
          </w:tcPr>
          <w:p>
            <w:pPr>
              <w:spacing w:after="0"/>
              <w:rPr>
                <w:sz w:val="16"/>
                <w:szCs w:val="16"/>
                <w:color w:val="auto"/>
              </w:rPr>
            </w:pPr>
          </w:p>
        </w:tc>
        <w:tc>
          <w:tcPr>
            <w:tcW w:w="78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40" w:type="dxa"/>
            <w:vAlign w:val="bottom"/>
            <w:tcBorders>
              <w:bottom w:val="single" w:sz="8" w:color="auto"/>
            </w:tcBorders>
            <w:vMerge w:val="continue"/>
            <w:shd w:val="clear" w:color="auto" w:fill="D2DCE5"/>
          </w:tcPr>
          <w:p>
            <w:pPr>
              <w:spacing w:after="0"/>
              <w:rPr>
                <w:sz w:val="16"/>
                <w:szCs w:val="16"/>
                <w:color w:val="auto"/>
              </w:rPr>
            </w:pPr>
          </w:p>
        </w:tc>
        <w:tc>
          <w:tcPr>
            <w:tcW w:w="80" w:type="dxa"/>
            <w:vAlign w:val="bottom"/>
            <w:vMerge w:val="continue"/>
            <w:shd w:val="clear" w:color="auto" w:fill="D2DCE5"/>
          </w:tcPr>
          <w:p>
            <w:pPr>
              <w:spacing w:after="0"/>
              <w:rPr>
                <w:sz w:val="16"/>
                <w:szCs w:val="16"/>
                <w:color w:val="auto"/>
              </w:rPr>
            </w:pPr>
          </w:p>
        </w:tc>
        <w:tc>
          <w:tcPr>
            <w:tcW w:w="700" w:type="dxa"/>
            <w:vAlign w:val="bottom"/>
            <w:tcBorders>
              <w:bottom w:val="single" w:sz="8" w:color="auto"/>
            </w:tcBorders>
            <w:vMerge w:val="continue"/>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131E29"/>
              </w:rPr>
              <w:t>Balance, March 31, 2025</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131E29"/>
              </w:rPr>
              <w:t>125,174</w:t>
            </w:r>
          </w:p>
        </w:tc>
        <w:tc>
          <w:tcPr>
            <w:tcW w:w="80" w:type="dxa"/>
            <w:vAlign w:val="bottom"/>
          </w:tcPr>
          <w:p>
            <w:pPr>
              <w:spacing w:after="0"/>
              <w:rPr>
                <w:sz w:val="19"/>
                <w:szCs w:val="19"/>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131E29"/>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131E29"/>
              </w:rPr>
              <w:t>1</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131E29"/>
              </w:rPr>
              <w:t>35,211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131E29"/>
              </w:rPr>
              <w:t>$</w:t>
            </w:r>
          </w:p>
        </w:tc>
        <w:tc>
          <w:tcPr>
            <w:tcW w:w="540" w:type="dxa"/>
            <w:vAlign w:val="bottom"/>
            <w:gridSpan w:val="2"/>
          </w:tcPr>
          <w:p>
            <w:pPr>
              <w:ind w:left="260"/>
              <w:spacing w:after="0"/>
              <w:rPr>
                <w:sz w:val="20"/>
                <w:szCs w:val="20"/>
                <w:color w:val="auto"/>
              </w:rPr>
            </w:pPr>
            <w:r>
              <w:rPr>
                <w:rFonts w:ascii="Arial" w:cs="Arial" w:eastAsia="Arial" w:hAnsi="Arial"/>
                <w:sz w:val="14"/>
                <w:szCs w:val="14"/>
                <w:b w:val="1"/>
                <w:bCs w:val="1"/>
                <w:color w:val="131E29"/>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131E29"/>
              </w:rPr>
              <w:t>2,347</w:t>
            </w:r>
          </w:p>
        </w:tc>
        <w:tc>
          <w:tcPr>
            <w:tcW w:w="80" w:type="dxa"/>
            <w:vAlign w:val="bottom"/>
          </w:tcPr>
          <w:p>
            <w:pPr>
              <w:spacing w:after="0"/>
              <w:rPr>
                <w:sz w:val="19"/>
                <w:szCs w:val="19"/>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131E29"/>
              </w:rPr>
              <w:t>$</w:t>
            </w:r>
          </w:p>
        </w:tc>
        <w:tc>
          <w:tcPr>
            <w:tcW w:w="360" w:type="dxa"/>
            <w:vAlign w:val="bottom"/>
            <w:gridSpan w:val="2"/>
          </w:tcPr>
          <w:p>
            <w:pPr>
              <w:ind w:left="80"/>
              <w:spacing w:after="0"/>
              <w:rPr>
                <w:sz w:val="20"/>
                <w:szCs w:val="20"/>
                <w:color w:val="auto"/>
              </w:rPr>
            </w:pPr>
            <w:r>
              <w:rPr>
                <w:rFonts w:ascii="Arial" w:cs="Arial" w:eastAsia="Arial" w:hAnsi="Arial"/>
                <w:sz w:val="14"/>
                <w:szCs w:val="14"/>
                <w:b w:val="1"/>
                <w:bCs w:val="1"/>
                <w:color w:val="131E29"/>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131E29"/>
                <w:w w:val="99"/>
              </w:rPr>
              <w:t>$ 563,600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131E29"/>
                <w:w w:val="76"/>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131E29"/>
              </w:rPr>
              <w:t>438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131E29"/>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131E29"/>
              </w:rPr>
              <w:t>35,019</w:t>
            </w:r>
          </w:p>
        </w:tc>
        <w:tc>
          <w:tcPr>
            <w:tcW w:w="80" w:type="dxa"/>
            <w:vAlign w:val="bottom"/>
          </w:tcPr>
          <w:p>
            <w:pPr>
              <w:spacing w:after="0"/>
              <w:rPr>
                <w:sz w:val="19"/>
                <w:szCs w:val="19"/>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131E29"/>
              </w:rPr>
              <w:t>$ 197,244</w:t>
            </w:r>
          </w:p>
        </w:tc>
        <w:tc>
          <w:tcPr>
            <w:tcW w:w="80" w:type="dxa"/>
            <w:vAlign w:val="bottom"/>
          </w:tcPr>
          <w:p>
            <w:pPr>
              <w:spacing w:after="0"/>
              <w:rPr>
                <w:sz w:val="19"/>
                <w:szCs w:val="19"/>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131E29"/>
                <w:w w:val="96"/>
              </w:rPr>
              <w:t>$ 796,302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w:t>
      </w:r>
    </w:p>
    <w:p>
      <w:pPr>
        <w:spacing w:after="0" w:line="181" w:lineRule="exact"/>
        <w:rPr>
          <w:sz w:val="20"/>
          <w:szCs w:val="20"/>
          <w:color w:val="auto"/>
        </w:rPr>
      </w:pPr>
    </w:p>
    <w:p>
      <w:pPr>
        <w:jc w:val="right"/>
        <w:ind w:right="24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29210</wp:posOffset>
            </wp:positionV>
            <wp:extent cx="18256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9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31E29"/>
        </w:rPr>
        <w:t>Cash flows from operating activities: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6"/>
          <w:szCs w:val="16"/>
          <w:color w:val="131E29"/>
        </w:rPr>
        <w:t>Adjustments to reconcile net income to net cash provided by operating activities: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131E29"/>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131E29"/>
        </w:rPr>
        <w:t>Non-cash interest expense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131E29"/>
        </w:rPr>
        <w:t>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131E29"/>
        </w:rPr>
        <w:t>Equity-based compensation</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131E29"/>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color w:val="131E29"/>
        </w:rPr>
        <w:t>Non-cash operating lease cost</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131E29"/>
        </w:rPr>
        <w:t>Changes in operating assets and liabilities, net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Accounts receivable, net</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Prepaid expenses and other current assets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Accounts payable</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Deferred revenue</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color w:val="131E29"/>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6"/>
          <w:szCs w:val="16"/>
          <w:color w:val="131E29"/>
        </w:rPr>
        <w:t>Net cash provided by operating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131E29"/>
        </w:rPr>
        <w:t>Cash flows from investing activities: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20"/>
        <w:spacing w:after="0"/>
        <w:tabs>
          <w:tab w:leader="none" w:pos="1980" w:val="left"/>
        </w:tabs>
        <w:rPr>
          <w:sz w:val="20"/>
          <w:szCs w:val="20"/>
          <w:color w:val="auto"/>
        </w:rPr>
      </w:pPr>
      <w:r>
        <w:rPr>
          <w:rFonts w:ascii="Arial" w:cs="Arial" w:eastAsia="Arial" w:hAnsi="Arial"/>
          <w:sz w:val="16"/>
          <w:szCs w:val="16"/>
          <w:b w:val="1"/>
          <w:bCs w:val="1"/>
          <w:color w:val="131E29"/>
        </w:rPr>
        <w:t>2026</w:t>
      </w:r>
      <w:r>
        <w:rPr>
          <w:sz w:val="20"/>
          <w:szCs w:val="20"/>
          <w:color w:val="auto"/>
        </w:rPr>
        <w:tab/>
      </w:r>
      <w:r>
        <w:rPr>
          <w:rFonts w:ascii="Arial" w:cs="Arial" w:eastAsia="Arial" w:hAnsi="Arial"/>
          <w:sz w:val="16"/>
          <w:szCs w:val="16"/>
          <w:b w:val="1"/>
          <w:bCs w:val="1"/>
          <w:color w:val="131E29"/>
        </w:rPr>
        <w:t>2025</w:t>
      </w:r>
    </w:p>
    <w:p>
      <w:pPr>
        <w:spacing w:after="0" w:line="329" w:lineRule="exact"/>
        <w:rPr>
          <w:sz w:val="20"/>
          <w:szCs w:val="20"/>
          <w:color w:val="auto"/>
        </w:rPr>
      </w:pPr>
    </w:p>
    <w:p>
      <w:pPr>
        <w:ind w:left="20"/>
        <w:spacing w:after="0"/>
        <w:tabs>
          <w:tab w:leader="none" w:pos="800" w:val="left"/>
          <w:tab w:leader="none" w:pos="1480" w:val="left"/>
          <w:tab w:leader="none" w:pos="2300" w:val="left"/>
        </w:tabs>
        <w:rPr>
          <w:sz w:val="20"/>
          <w:szCs w:val="20"/>
          <w:color w:val="auto"/>
        </w:rPr>
      </w:pPr>
      <w:r>
        <w:rPr>
          <w:rFonts w:ascii="Arial" w:cs="Arial" w:eastAsia="Arial" w:hAnsi="Arial"/>
          <w:sz w:val="16"/>
          <w:szCs w:val="16"/>
          <w:color w:val="006098"/>
        </w:rPr>
        <w:t>$</w:t>
      </w:r>
      <w:r>
        <w:rPr>
          <w:sz w:val="20"/>
          <w:szCs w:val="20"/>
          <w:color w:val="auto"/>
        </w:rPr>
        <w:tab/>
      </w:r>
      <w:r>
        <w:rPr>
          <w:rFonts w:ascii="Arial" w:cs="Arial" w:eastAsia="Arial" w:hAnsi="Arial"/>
          <w:sz w:val="16"/>
          <w:szCs w:val="16"/>
          <w:color w:val="006098"/>
        </w:rPr>
        <w:t>23,664</w:t>
      </w:r>
      <w:r>
        <w:rPr>
          <w:rFonts w:ascii="Arial" w:cs="Arial" w:eastAsia="Arial" w:hAnsi="Arial"/>
          <w:sz w:val="16"/>
          <w:szCs w:val="16"/>
          <w:color w:val="131E29"/>
        </w:rPr>
        <w:tab/>
        <w:t>$</w:t>
      </w:r>
      <w:r>
        <w:rPr>
          <w:sz w:val="20"/>
          <w:szCs w:val="20"/>
          <w:color w:val="auto"/>
        </w:rPr>
        <w:tab/>
      </w:r>
      <w:r>
        <w:rPr>
          <w:rFonts w:ascii="Arial" w:cs="Arial" w:eastAsia="Arial" w:hAnsi="Arial"/>
          <w:sz w:val="15"/>
          <w:szCs w:val="15"/>
          <w:color w:val="131E29"/>
        </w:rPr>
        <w:t>22,480</w:t>
      </w:r>
    </w:p>
    <w:p>
      <w:pPr>
        <w:spacing w:after="0" w:line="302" w:lineRule="exact"/>
        <w:rPr>
          <w:sz w:val="20"/>
          <w:szCs w:val="20"/>
          <w:color w:val="auto"/>
        </w:rPr>
      </w:pPr>
    </w:p>
    <w:p>
      <w:pPr>
        <w:ind w:left="820"/>
        <w:spacing w:after="0"/>
        <w:tabs>
          <w:tab w:leader="none" w:pos="2300" w:val="left"/>
        </w:tabs>
        <w:rPr>
          <w:sz w:val="20"/>
          <w:szCs w:val="20"/>
          <w:color w:val="auto"/>
        </w:rPr>
      </w:pPr>
      <w:r>
        <w:rPr>
          <w:rFonts w:ascii="Arial" w:cs="Arial" w:eastAsia="Arial" w:hAnsi="Arial"/>
          <w:sz w:val="16"/>
          <w:szCs w:val="16"/>
          <w:color w:val="006098"/>
        </w:rPr>
        <w:t>38,255</w:t>
      </w:r>
      <w:r>
        <w:rPr>
          <w:sz w:val="20"/>
          <w:szCs w:val="20"/>
          <w:color w:val="auto"/>
        </w:rPr>
        <w:tab/>
      </w:r>
      <w:r>
        <w:rPr>
          <w:rFonts w:ascii="Arial" w:cs="Arial" w:eastAsia="Arial" w:hAnsi="Arial"/>
          <w:sz w:val="16"/>
          <w:szCs w:val="16"/>
          <w:color w:val="131E29"/>
        </w:rPr>
        <w:t>26,430</w:t>
      </w:r>
    </w:p>
    <w:p>
      <w:pPr>
        <w:spacing w:after="0" w:line="59" w:lineRule="exact"/>
        <w:rPr>
          <w:sz w:val="20"/>
          <w:szCs w:val="20"/>
          <w:color w:val="auto"/>
        </w:rPr>
      </w:pPr>
    </w:p>
    <w:p>
      <w:pPr>
        <w:ind w:left="2540" w:hanging="1487"/>
        <w:spacing w:after="0"/>
        <w:tabs>
          <w:tab w:leader="none" w:pos="2540" w:val="left"/>
        </w:tabs>
        <w:numPr>
          <w:ilvl w:val="0"/>
          <w:numId w:val="3"/>
        </w:numPr>
        <w:rPr>
          <w:rFonts w:ascii="Arial" w:cs="Arial" w:eastAsia="Arial" w:hAnsi="Arial"/>
          <w:sz w:val="16"/>
          <w:szCs w:val="16"/>
          <w:color w:val="006098"/>
        </w:rPr>
      </w:pPr>
      <w:r>
        <w:rPr>
          <w:rFonts w:ascii="Arial" w:cs="Arial" w:eastAsia="Arial" w:hAnsi="Arial"/>
          <w:sz w:val="16"/>
          <w:szCs w:val="16"/>
          <w:color w:val="131E29"/>
        </w:rPr>
        <w:t>278</w:t>
      </w:r>
    </w:p>
    <w:p>
      <w:pPr>
        <w:spacing w:after="0" w:line="5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1020" w:type="dxa"/>
            <w:vAlign w:val="bottom"/>
          </w:tcPr>
          <w:p>
            <w:pPr>
              <w:jc w:val="right"/>
              <w:ind w:right="459"/>
              <w:spacing w:after="0"/>
              <w:rPr>
                <w:sz w:val="20"/>
                <w:szCs w:val="20"/>
                <w:color w:val="auto"/>
              </w:rPr>
            </w:pPr>
            <w:r>
              <w:rPr>
                <w:rFonts w:ascii="Arial" w:cs="Arial" w:eastAsia="Arial" w:hAnsi="Arial"/>
                <w:sz w:val="16"/>
                <w:szCs w:val="16"/>
                <w:color w:val="006098"/>
              </w:rPr>
              <w:t>96</w:t>
            </w:r>
          </w:p>
        </w:tc>
        <w:tc>
          <w:tcPr>
            <w:tcW w:w="1000" w:type="dxa"/>
            <w:vAlign w:val="bottom"/>
          </w:tcPr>
          <w:p>
            <w:pPr>
              <w:jc w:val="right"/>
              <w:spacing w:after="0"/>
              <w:rPr>
                <w:sz w:val="20"/>
                <w:szCs w:val="20"/>
                <w:color w:val="auto"/>
              </w:rPr>
            </w:pPr>
            <w:r>
              <w:rPr>
                <w:rFonts w:ascii="Arial" w:cs="Arial" w:eastAsia="Arial" w:hAnsi="Arial"/>
                <w:sz w:val="16"/>
                <w:szCs w:val="16"/>
                <w:color w:val="131E29"/>
              </w:rPr>
              <w:t>58</w:t>
            </w:r>
          </w:p>
        </w:tc>
      </w:tr>
      <w:tr>
        <w:trPr>
          <w:trHeight w:val="243"/>
        </w:trPr>
        <w:tc>
          <w:tcPr>
            <w:tcW w:w="1020" w:type="dxa"/>
            <w:vAlign w:val="bottom"/>
          </w:tcPr>
          <w:p>
            <w:pPr>
              <w:jc w:val="right"/>
              <w:ind w:right="459"/>
              <w:spacing w:after="0"/>
              <w:rPr>
                <w:sz w:val="20"/>
                <w:szCs w:val="20"/>
                <w:color w:val="auto"/>
              </w:rPr>
            </w:pPr>
            <w:r>
              <w:rPr>
                <w:rFonts w:ascii="Arial" w:cs="Arial" w:eastAsia="Arial" w:hAnsi="Arial"/>
                <w:sz w:val="16"/>
                <w:szCs w:val="16"/>
                <w:color w:val="006098"/>
              </w:rPr>
              <w:t>5,278</w:t>
            </w:r>
          </w:p>
        </w:tc>
        <w:tc>
          <w:tcPr>
            <w:tcW w:w="1000" w:type="dxa"/>
            <w:vAlign w:val="bottom"/>
          </w:tcPr>
          <w:p>
            <w:pPr>
              <w:jc w:val="right"/>
              <w:spacing w:after="0"/>
              <w:rPr>
                <w:sz w:val="20"/>
                <w:szCs w:val="20"/>
                <w:color w:val="auto"/>
              </w:rPr>
            </w:pPr>
            <w:r>
              <w:rPr>
                <w:rFonts w:ascii="Arial" w:cs="Arial" w:eastAsia="Arial" w:hAnsi="Arial"/>
                <w:sz w:val="16"/>
                <w:szCs w:val="16"/>
                <w:color w:val="131E29"/>
              </w:rPr>
              <w:t>4,194</w:t>
            </w:r>
          </w:p>
        </w:tc>
      </w:tr>
      <w:tr>
        <w:trPr>
          <w:trHeight w:val="243"/>
        </w:trPr>
        <w:tc>
          <w:tcPr>
            <w:tcW w:w="1020" w:type="dxa"/>
            <w:vAlign w:val="bottom"/>
          </w:tcPr>
          <w:p>
            <w:pPr>
              <w:jc w:val="right"/>
              <w:ind w:right="459"/>
              <w:spacing w:after="0"/>
              <w:rPr>
                <w:sz w:val="20"/>
                <w:szCs w:val="20"/>
                <w:color w:val="auto"/>
              </w:rPr>
            </w:pPr>
            <w:r>
              <w:rPr>
                <w:rFonts w:ascii="Arial" w:cs="Arial" w:eastAsia="Arial" w:hAnsi="Arial"/>
                <w:sz w:val="16"/>
                <w:szCs w:val="16"/>
                <w:color w:val="006098"/>
              </w:rPr>
              <w:t>3,034</w:t>
            </w:r>
          </w:p>
        </w:tc>
        <w:tc>
          <w:tcPr>
            <w:tcW w:w="1000" w:type="dxa"/>
            <w:vAlign w:val="bottom"/>
          </w:tcPr>
          <w:p>
            <w:pPr>
              <w:jc w:val="right"/>
              <w:spacing w:after="0"/>
              <w:rPr>
                <w:sz w:val="20"/>
                <w:szCs w:val="20"/>
                <w:color w:val="auto"/>
              </w:rPr>
            </w:pPr>
            <w:r>
              <w:rPr>
                <w:rFonts w:ascii="Arial" w:cs="Arial" w:eastAsia="Arial" w:hAnsi="Arial"/>
                <w:sz w:val="16"/>
                <w:szCs w:val="16"/>
                <w:color w:val="131E29"/>
              </w:rPr>
              <w:t>985</w:t>
            </w:r>
          </w:p>
        </w:tc>
      </w:tr>
      <w:tr>
        <w:trPr>
          <w:trHeight w:val="243"/>
        </w:trPr>
        <w:tc>
          <w:tcPr>
            <w:tcW w:w="1020" w:type="dxa"/>
            <w:vAlign w:val="bottom"/>
          </w:tcPr>
          <w:p>
            <w:pPr>
              <w:jc w:val="right"/>
              <w:ind w:right="459"/>
              <w:spacing w:after="0"/>
              <w:rPr>
                <w:sz w:val="20"/>
                <w:szCs w:val="20"/>
                <w:color w:val="auto"/>
              </w:rPr>
            </w:pPr>
            <w:r>
              <w:rPr>
                <w:rFonts w:ascii="Arial" w:cs="Arial" w:eastAsia="Arial" w:hAnsi="Arial"/>
                <w:sz w:val="16"/>
                <w:szCs w:val="16"/>
                <w:color w:val="006098"/>
              </w:rPr>
              <w:t>6,607</w:t>
            </w:r>
          </w:p>
        </w:tc>
        <w:tc>
          <w:tcPr>
            <w:tcW w:w="1000" w:type="dxa"/>
            <w:vAlign w:val="bottom"/>
          </w:tcPr>
          <w:p>
            <w:pPr>
              <w:jc w:val="right"/>
              <w:spacing w:after="0"/>
              <w:rPr>
                <w:sz w:val="20"/>
                <w:szCs w:val="20"/>
                <w:color w:val="auto"/>
              </w:rPr>
            </w:pPr>
            <w:r>
              <w:rPr>
                <w:rFonts w:ascii="Arial" w:cs="Arial" w:eastAsia="Arial" w:hAnsi="Arial"/>
                <w:sz w:val="16"/>
                <w:szCs w:val="16"/>
                <w:color w:val="131E29"/>
              </w:rPr>
              <w:t>4,635</w:t>
            </w:r>
          </w:p>
        </w:tc>
      </w:tr>
      <w:tr>
        <w:trPr>
          <w:trHeight w:val="486"/>
        </w:trPr>
        <w:tc>
          <w:tcPr>
            <w:tcW w:w="1020" w:type="dxa"/>
            <w:vAlign w:val="bottom"/>
          </w:tcPr>
          <w:p>
            <w:pPr>
              <w:jc w:val="right"/>
              <w:ind w:right="419"/>
              <w:spacing w:after="0"/>
              <w:rPr>
                <w:sz w:val="20"/>
                <w:szCs w:val="20"/>
                <w:color w:val="auto"/>
              </w:rPr>
            </w:pPr>
            <w:r>
              <w:rPr>
                <w:rFonts w:ascii="Arial" w:cs="Arial" w:eastAsia="Arial" w:hAnsi="Arial"/>
                <w:sz w:val="16"/>
                <w:szCs w:val="16"/>
                <w:color w:val="006098"/>
              </w:rPr>
              <w:t>(379)</w:t>
            </w:r>
          </w:p>
        </w:tc>
        <w:tc>
          <w:tcPr>
            <w:tcW w:w="1000" w:type="dxa"/>
            <w:vAlign w:val="bottom"/>
          </w:tcPr>
          <w:p>
            <w:pPr>
              <w:jc w:val="right"/>
              <w:spacing w:after="0"/>
              <w:rPr>
                <w:sz w:val="20"/>
                <w:szCs w:val="20"/>
                <w:color w:val="auto"/>
              </w:rPr>
            </w:pPr>
            <w:r>
              <w:rPr>
                <w:rFonts w:ascii="Arial" w:cs="Arial" w:eastAsia="Arial" w:hAnsi="Arial"/>
                <w:sz w:val="16"/>
                <w:szCs w:val="16"/>
                <w:color w:val="131E29"/>
              </w:rPr>
              <w:t>(1,037)</w:t>
            </w:r>
          </w:p>
        </w:tc>
      </w:tr>
      <w:tr>
        <w:trPr>
          <w:trHeight w:val="243"/>
        </w:trPr>
        <w:tc>
          <w:tcPr>
            <w:tcW w:w="1020" w:type="dxa"/>
            <w:vAlign w:val="bottom"/>
          </w:tcPr>
          <w:p>
            <w:pPr>
              <w:jc w:val="right"/>
              <w:ind w:right="459"/>
              <w:spacing w:after="0"/>
              <w:rPr>
                <w:sz w:val="20"/>
                <w:szCs w:val="20"/>
                <w:color w:val="auto"/>
              </w:rPr>
            </w:pPr>
            <w:r>
              <w:rPr>
                <w:rFonts w:ascii="Arial" w:cs="Arial" w:eastAsia="Arial" w:hAnsi="Arial"/>
                <w:sz w:val="16"/>
                <w:szCs w:val="16"/>
                <w:color w:val="006098"/>
                <w:w w:val="93"/>
              </w:rPr>
              <w:t>11,525</w:t>
            </w:r>
          </w:p>
        </w:tc>
        <w:tc>
          <w:tcPr>
            <w:tcW w:w="1000" w:type="dxa"/>
            <w:vAlign w:val="bottom"/>
          </w:tcPr>
          <w:p>
            <w:pPr>
              <w:jc w:val="right"/>
              <w:spacing w:after="0"/>
              <w:rPr>
                <w:sz w:val="20"/>
                <w:szCs w:val="20"/>
                <w:color w:val="auto"/>
              </w:rPr>
            </w:pPr>
            <w:r>
              <w:rPr>
                <w:rFonts w:ascii="Arial" w:cs="Arial" w:eastAsia="Arial" w:hAnsi="Arial"/>
                <w:sz w:val="16"/>
                <w:szCs w:val="16"/>
                <w:color w:val="131E29"/>
              </w:rPr>
              <w:t>(1,737)</w:t>
            </w:r>
          </w:p>
        </w:tc>
      </w:tr>
    </w:tbl>
    <w:p>
      <w:pPr>
        <w:spacing w:after="0" w:line="28" w:lineRule="exact"/>
        <w:rPr>
          <w:sz w:val="20"/>
          <w:szCs w:val="20"/>
          <w:color w:val="auto"/>
        </w:rPr>
      </w:pPr>
    </w:p>
    <w:p>
      <w:pPr>
        <w:ind w:left="2540" w:hanging="1460"/>
        <w:spacing w:after="0"/>
        <w:tabs>
          <w:tab w:leader="none" w:pos="2540" w:val="left"/>
        </w:tabs>
        <w:numPr>
          <w:ilvl w:val="0"/>
          <w:numId w:val="4"/>
        </w:numPr>
        <w:rPr>
          <w:rFonts w:ascii="Arial" w:cs="Arial" w:eastAsia="Arial" w:hAnsi="Arial"/>
          <w:sz w:val="16"/>
          <w:szCs w:val="16"/>
          <w:color w:val="006098"/>
        </w:rPr>
      </w:pPr>
      <w:r>
        <w:rPr>
          <w:rFonts w:ascii="Arial" w:cs="Arial" w:eastAsia="Arial" w:hAnsi="Arial"/>
          <w:sz w:val="16"/>
          <w:szCs w:val="16"/>
          <w:color w:val="131E29"/>
        </w:rPr>
        <w:t>792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0" w:type="dxa"/>
            <w:vAlign w:val="bottom"/>
          </w:tcPr>
          <w:p>
            <w:pPr>
              <w:jc w:val="right"/>
              <w:spacing w:after="0"/>
              <w:rPr>
                <w:sz w:val="20"/>
                <w:szCs w:val="20"/>
                <w:color w:val="auto"/>
              </w:rPr>
            </w:pPr>
            <w:r>
              <w:rPr>
                <w:rFonts w:ascii="Arial" w:cs="Arial" w:eastAsia="Arial" w:hAnsi="Arial"/>
                <w:sz w:val="16"/>
                <w:szCs w:val="16"/>
                <w:color w:val="006098"/>
              </w:rPr>
              <w:t>1,346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(2,240)</w:t>
            </w:r>
          </w:p>
        </w:tc>
      </w:tr>
      <w:tr>
        <w:trPr>
          <w:trHeight w:val="243"/>
        </w:trPr>
        <w:tc>
          <w:tcPr>
            <w:tcW w:w="1400" w:type="dxa"/>
            <w:vAlign w:val="bottom"/>
          </w:tcPr>
          <w:p>
            <w:pPr>
              <w:jc w:val="right"/>
              <w:spacing w:after="0"/>
              <w:rPr>
                <w:sz w:val="20"/>
                <w:szCs w:val="20"/>
                <w:color w:val="auto"/>
              </w:rPr>
            </w:pPr>
            <w:r>
              <w:rPr>
                <w:rFonts w:ascii="Arial" w:cs="Arial" w:eastAsia="Arial" w:hAnsi="Arial"/>
                <w:sz w:val="16"/>
                <w:szCs w:val="16"/>
                <w:color w:val="006098"/>
              </w:rPr>
              <w:t>2,134</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(1,026)</w:t>
            </w:r>
          </w:p>
        </w:tc>
      </w:tr>
      <w:tr>
        <w:trPr>
          <w:trHeight w:val="243"/>
        </w:trPr>
        <w:tc>
          <w:tcPr>
            <w:tcW w:w="1400" w:type="dxa"/>
            <w:vAlign w:val="bottom"/>
          </w:tcPr>
          <w:p>
            <w:pPr>
              <w:jc w:val="right"/>
              <w:spacing w:after="0"/>
              <w:rPr>
                <w:sz w:val="20"/>
                <w:szCs w:val="20"/>
                <w:color w:val="auto"/>
              </w:rPr>
            </w:pPr>
            <w:r>
              <w:rPr>
                <w:rFonts w:ascii="Arial" w:cs="Arial" w:eastAsia="Arial" w:hAnsi="Arial"/>
                <w:sz w:val="16"/>
                <w:szCs w:val="16"/>
                <w:color w:val="006098"/>
              </w:rPr>
              <w:t>(3,664)</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(11,140)</w:t>
            </w:r>
          </w:p>
        </w:tc>
      </w:tr>
      <w:tr>
        <w:trPr>
          <w:trHeight w:val="243"/>
        </w:trPr>
        <w:tc>
          <w:tcPr>
            <w:tcW w:w="1400" w:type="dxa"/>
            <w:vAlign w:val="bottom"/>
          </w:tcPr>
          <w:p>
            <w:pPr>
              <w:jc w:val="right"/>
              <w:spacing w:after="0"/>
              <w:rPr>
                <w:sz w:val="20"/>
                <w:szCs w:val="20"/>
                <w:color w:val="auto"/>
              </w:rPr>
            </w:pPr>
            <w:r>
              <w:rPr>
                <w:rFonts w:ascii="Arial" w:cs="Arial" w:eastAsia="Arial" w:hAnsi="Arial"/>
                <w:sz w:val="16"/>
                <w:szCs w:val="16"/>
                <w:color w:val="006098"/>
              </w:rPr>
              <w:t>(2,047)</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131E29"/>
              </w:rPr>
              <w:t>(3,187)</w:t>
            </w:r>
          </w:p>
        </w:tc>
      </w:tr>
      <w:tr>
        <w:trPr>
          <w:trHeight w:val="244"/>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(1,168)</w:t>
            </w:r>
          </w:p>
        </w:tc>
        <w:tc>
          <w:tcPr>
            <w:tcW w:w="8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(2,601)</w:t>
            </w:r>
          </w:p>
        </w:tc>
      </w:tr>
      <w:tr>
        <w:trPr>
          <w:trHeight w:val="223"/>
        </w:trPr>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84,724</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36,884</w:t>
            </w:r>
          </w:p>
        </w:tc>
      </w:tr>
    </w:tbl>
    <w:p>
      <w:pPr>
        <w:spacing w:after="0" w:line="242" w:lineRule="exact"/>
        <w:rPr>
          <w:sz w:val="20"/>
          <w:szCs w:val="20"/>
          <w:color w:val="auto"/>
        </w:rPr>
      </w:pPr>
    </w:p>
    <w:p>
      <w:pPr>
        <w:sectPr>
          <w:pgSz w:w="11900" w:h="16838" w:orient="portrait"/>
          <w:cols w:equalWidth="0" w:num="2">
            <w:col w:w="7640" w:space="720"/>
            <w:col w:w="28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Purchases of property and equipment</w:t>
            </w:r>
          </w:p>
        </w:tc>
        <w:tc>
          <w:tcPr>
            <w:tcW w:w="420" w:type="dxa"/>
            <w:vAlign w:val="bottom"/>
            <w:shd w:val="clear" w:color="auto" w:fill="D2DCE5"/>
          </w:tcPr>
          <w:p>
            <w:pPr>
              <w:spacing w:after="0"/>
              <w:rPr>
                <w:sz w:val="20"/>
                <w:szCs w:val="20"/>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(57,000)</w:t>
            </w:r>
          </w:p>
        </w:tc>
        <w:tc>
          <w:tcPr>
            <w:tcW w:w="80" w:type="dxa"/>
            <w:vAlign w:val="bottom"/>
            <w:shd w:val="clear" w:color="auto" w:fill="D2DCE5"/>
          </w:tcPr>
          <w:p>
            <w:pPr>
              <w:spacing w:after="0"/>
              <w:rPr>
                <w:sz w:val="20"/>
                <w:szCs w:val="20"/>
                <w:color w:val="auto"/>
              </w:rPr>
            </w:pPr>
          </w:p>
        </w:tc>
        <w:tc>
          <w:tcPr>
            <w:tcW w:w="440" w:type="dxa"/>
            <w:vAlign w:val="bottom"/>
            <w:shd w:val="clear" w:color="auto" w:fill="D2DCE5"/>
          </w:tcPr>
          <w:p>
            <w:pPr>
              <w:spacing w:after="0"/>
              <w:rPr>
                <w:sz w:val="20"/>
                <w:szCs w:val="20"/>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(45,551)</w:t>
            </w:r>
          </w:p>
        </w:tc>
      </w:tr>
      <w:tr>
        <w:trPr>
          <w:trHeight w:val="242"/>
        </w:trPr>
        <w:tc>
          <w:tcPr>
            <w:tcW w:w="8360" w:type="dxa"/>
            <w:vAlign w:val="bottom"/>
          </w:tcPr>
          <w:p>
            <w:pPr>
              <w:ind w:left="180"/>
              <w:spacing w:after="0"/>
              <w:rPr>
                <w:sz w:val="20"/>
                <w:szCs w:val="20"/>
                <w:color w:val="auto"/>
              </w:rPr>
            </w:pPr>
            <w:r>
              <w:rPr>
                <w:rFonts w:ascii="Arial" w:cs="Arial" w:eastAsia="Arial" w:hAnsi="Arial"/>
                <w:sz w:val="16"/>
                <w:szCs w:val="16"/>
                <w:color w:val="131E29"/>
              </w:rPr>
              <w:t>Proceeds from disposal of property and equipment</w:t>
            </w:r>
          </w:p>
        </w:tc>
        <w:tc>
          <w:tcPr>
            <w:tcW w:w="4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006098"/>
              </w:rPr>
              <w:t>—</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23</w:t>
            </w:r>
          </w:p>
        </w:tc>
      </w:tr>
      <w:tr>
        <w:trPr>
          <w:trHeight w:val="244"/>
        </w:trPr>
        <w:tc>
          <w:tcPr>
            <w:tcW w:w="83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Acquisition of assets</w:t>
            </w:r>
          </w:p>
        </w:tc>
        <w:tc>
          <w:tcPr>
            <w:tcW w:w="420" w:type="dxa"/>
            <w:vAlign w:val="bottom"/>
            <w:tcBorders>
              <w:bottom w:val="single" w:sz="8" w:color="auto"/>
            </w:tcBorders>
            <w:shd w:val="clear" w:color="auto" w:fill="D2DCE5"/>
          </w:tcPr>
          <w:p>
            <w:pPr>
              <w:spacing w:after="0"/>
              <w:rPr>
                <w:sz w:val="21"/>
                <w:szCs w:val="21"/>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(19,805)</w:t>
            </w:r>
          </w:p>
        </w:tc>
        <w:tc>
          <w:tcPr>
            <w:tcW w:w="80" w:type="dxa"/>
            <w:vAlign w:val="bottom"/>
            <w:shd w:val="clear" w:color="auto" w:fill="D2DCE5"/>
          </w:tcPr>
          <w:p>
            <w:pPr>
              <w:spacing w:after="0"/>
              <w:rPr>
                <w:sz w:val="21"/>
                <w:szCs w:val="21"/>
                <w:color w:val="auto"/>
              </w:rPr>
            </w:pPr>
          </w:p>
        </w:tc>
        <w:tc>
          <w:tcPr>
            <w:tcW w:w="440" w:type="dxa"/>
            <w:vAlign w:val="bottom"/>
            <w:tcBorders>
              <w:bottom w:val="single" w:sz="8" w:color="auto"/>
            </w:tcBorders>
            <w:shd w:val="clear" w:color="auto" w:fill="D2DCE5"/>
          </w:tcPr>
          <w:p>
            <w:pPr>
              <w:spacing w:after="0"/>
              <w:rPr>
                <w:sz w:val="21"/>
                <w:szCs w:val="21"/>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w:t>
            </w:r>
          </w:p>
        </w:tc>
      </w:tr>
      <w:tr>
        <w:trPr>
          <w:trHeight w:val="222"/>
        </w:trPr>
        <w:tc>
          <w:tcPr>
            <w:tcW w:w="8360" w:type="dxa"/>
            <w:vAlign w:val="bottom"/>
            <w:tcBorders>
              <w:bottom w:val="single" w:sz="8" w:color="D2DCE5"/>
            </w:tcBorders>
          </w:tcPr>
          <w:p>
            <w:pPr>
              <w:ind w:left="680"/>
              <w:spacing w:after="0"/>
              <w:rPr>
                <w:sz w:val="20"/>
                <w:szCs w:val="20"/>
                <w:color w:val="auto"/>
              </w:rPr>
            </w:pPr>
            <w:r>
              <w:rPr>
                <w:rFonts w:ascii="Arial" w:cs="Arial" w:eastAsia="Arial" w:hAnsi="Arial"/>
                <w:sz w:val="16"/>
                <w:szCs w:val="16"/>
                <w:color w:val="131E29"/>
              </w:rPr>
              <w:t>Net cash used in investing activities</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(76,805)</w:t>
            </w:r>
          </w:p>
        </w:tc>
        <w:tc>
          <w:tcPr>
            <w:tcW w:w="80" w:type="dxa"/>
            <w:vAlign w:val="bottom"/>
            <w:tcBorders>
              <w:bottom w:val="single" w:sz="8" w:color="D2DCE5"/>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(45,528)</w:t>
            </w:r>
          </w:p>
        </w:tc>
      </w:tr>
      <w:tr>
        <w:trPr>
          <w:trHeight w:val="224"/>
        </w:trPr>
        <w:tc>
          <w:tcPr>
            <w:tcW w:w="8360" w:type="dxa"/>
            <w:vAlign w:val="bottom"/>
            <w:shd w:val="clear" w:color="auto" w:fill="D2DCE5"/>
          </w:tcPr>
          <w:p>
            <w:pPr>
              <w:ind w:left="20"/>
              <w:spacing w:after="0"/>
              <w:rPr>
                <w:sz w:val="20"/>
                <w:szCs w:val="20"/>
                <w:color w:val="auto"/>
              </w:rPr>
            </w:pPr>
            <w:r>
              <w:rPr>
                <w:rFonts w:ascii="Arial" w:cs="Arial" w:eastAsia="Arial" w:hAnsi="Arial"/>
                <w:sz w:val="16"/>
                <w:szCs w:val="16"/>
                <w:b w:val="1"/>
                <w:bCs w:val="1"/>
                <w:color w:val="131E29"/>
              </w:rPr>
              <w:t>Cash flows from financing activities:</w:t>
            </w:r>
          </w:p>
        </w:tc>
        <w:tc>
          <w:tcPr>
            <w:tcW w:w="42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44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r>
      <w:tr>
        <w:trPr>
          <w:trHeight w:val="242"/>
        </w:trPr>
        <w:tc>
          <w:tcPr>
            <w:tcW w:w="8360" w:type="dxa"/>
            <w:vAlign w:val="bottom"/>
          </w:tcPr>
          <w:p>
            <w:pPr>
              <w:ind w:left="180"/>
              <w:spacing w:after="0"/>
              <w:rPr>
                <w:sz w:val="20"/>
                <w:szCs w:val="20"/>
                <w:color w:val="auto"/>
              </w:rPr>
            </w:pPr>
            <w:r>
              <w:rPr>
                <w:rFonts w:ascii="Arial" w:cs="Arial" w:eastAsia="Arial" w:hAnsi="Arial"/>
                <w:sz w:val="16"/>
                <w:szCs w:val="16"/>
                <w:color w:val="131E29"/>
              </w:rPr>
              <w:t>Payments on finance lease liabilities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6098"/>
              </w:rPr>
              <w:t>(5,739)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(3,400)</w:t>
            </w:r>
          </w:p>
        </w:tc>
      </w:tr>
      <w:tr>
        <w:trPr>
          <w:trHeight w:val="244"/>
        </w:trPr>
        <w:tc>
          <w:tcPr>
            <w:tcW w:w="83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Proceeds from long-term debt</w:t>
            </w:r>
          </w:p>
        </w:tc>
        <w:tc>
          <w:tcPr>
            <w:tcW w:w="420" w:type="dxa"/>
            <w:vAlign w:val="bottom"/>
            <w:shd w:val="clear" w:color="auto" w:fill="D2DCE5"/>
          </w:tcPr>
          <w:p>
            <w:pPr>
              <w:spacing w:after="0"/>
              <w:rPr>
                <w:sz w:val="21"/>
                <w:szCs w:val="21"/>
                <w:color w:val="auto"/>
              </w:rPr>
            </w:pPr>
          </w:p>
        </w:tc>
        <w:tc>
          <w:tcPr>
            <w:tcW w:w="1060" w:type="dxa"/>
            <w:vAlign w:val="bottom"/>
            <w:gridSpan w:val="2"/>
            <w:shd w:val="clear" w:color="auto" w:fill="D2DCE5"/>
          </w:tcPr>
          <w:p>
            <w:pPr>
              <w:jc w:val="right"/>
              <w:ind w:right="160"/>
              <w:spacing w:after="0"/>
              <w:rPr>
                <w:sz w:val="20"/>
                <w:szCs w:val="20"/>
                <w:color w:val="auto"/>
              </w:rPr>
            </w:pPr>
            <w:r>
              <w:rPr>
                <w:rFonts w:ascii="Arial" w:cs="Arial" w:eastAsia="Arial" w:hAnsi="Arial"/>
                <w:sz w:val="16"/>
                <w:szCs w:val="16"/>
                <w:color w:val="006098"/>
              </w:rPr>
              <w:t>—</w:t>
            </w:r>
          </w:p>
        </w:tc>
        <w:tc>
          <w:tcPr>
            <w:tcW w:w="44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50,000</w:t>
            </w:r>
          </w:p>
        </w:tc>
      </w:tr>
      <w:tr>
        <w:trPr>
          <w:trHeight w:val="242"/>
        </w:trPr>
        <w:tc>
          <w:tcPr>
            <w:tcW w:w="8360" w:type="dxa"/>
            <w:vAlign w:val="bottom"/>
          </w:tcPr>
          <w:p>
            <w:pPr>
              <w:ind w:left="180"/>
              <w:spacing w:after="0"/>
              <w:rPr>
                <w:sz w:val="20"/>
                <w:szCs w:val="20"/>
                <w:color w:val="auto"/>
              </w:rPr>
            </w:pPr>
            <w:r>
              <w:rPr>
                <w:rFonts w:ascii="Arial" w:cs="Arial" w:eastAsia="Arial" w:hAnsi="Arial"/>
                <w:sz w:val="16"/>
                <w:szCs w:val="16"/>
                <w:color w:val="131E29"/>
              </w:rPr>
              <w:t>Payments on long-term debt</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6098"/>
              </w:rPr>
              <w:t>(969)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(3,780)</w:t>
            </w:r>
          </w:p>
        </w:tc>
      </w:tr>
      <w:tr>
        <w:trPr>
          <w:trHeight w:val="244"/>
        </w:trPr>
        <w:tc>
          <w:tcPr>
            <w:tcW w:w="8360" w:type="dxa"/>
            <w:vAlign w:val="bottom"/>
            <w:shd w:val="clear" w:color="auto" w:fill="D2DCE5"/>
          </w:tcPr>
          <w:p>
            <w:pPr>
              <w:ind w:left="180"/>
              <w:spacing w:after="0"/>
              <w:rPr>
                <w:sz w:val="20"/>
                <w:szCs w:val="20"/>
                <w:color w:val="auto"/>
              </w:rPr>
            </w:pPr>
            <w:r>
              <w:rPr>
                <w:rFonts w:ascii="Arial" w:cs="Arial" w:eastAsia="Arial" w:hAnsi="Arial"/>
                <w:sz w:val="16"/>
                <w:szCs w:val="16"/>
                <w:color w:val="131E29"/>
              </w:rPr>
              <w:t>Tax withholding payments upon vesting of equity awards</w:t>
            </w:r>
          </w:p>
        </w:tc>
        <w:tc>
          <w:tcPr>
            <w:tcW w:w="420" w:type="dxa"/>
            <w:vAlign w:val="bottom"/>
            <w:shd w:val="clear" w:color="auto" w:fill="D2DCE5"/>
          </w:tcPr>
          <w:p>
            <w:pPr>
              <w:spacing w:after="0"/>
              <w:rPr>
                <w:sz w:val="21"/>
                <w:szCs w:val="21"/>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(6,177)</w:t>
            </w:r>
          </w:p>
        </w:tc>
        <w:tc>
          <w:tcPr>
            <w:tcW w:w="80" w:type="dxa"/>
            <w:vAlign w:val="bottom"/>
            <w:shd w:val="clear" w:color="auto" w:fill="D2DCE5"/>
          </w:tcPr>
          <w:p>
            <w:pPr>
              <w:spacing w:after="0"/>
              <w:rPr>
                <w:sz w:val="21"/>
                <w:szCs w:val="21"/>
                <w:color w:val="auto"/>
              </w:rPr>
            </w:pPr>
          </w:p>
        </w:tc>
        <w:tc>
          <w:tcPr>
            <w:tcW w:w="440" w:type="dxa"/>
            <w:vAlign w:val="bottom"/>
            <w:shd w:val="clear" w:color="auto" w:fill="D2DCE5"/>
          </w:tcPr>
          <w:p>
            <w:pPr>
              <w:spacing w:after="0"/>
              <w:rPr>
                <w:sz w:val="21"/>
                <w:szCs w:val="21"/>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(11,018)</w:t>
            </w:r>
          </w:p>
        </w:tc>
      </w:tr>
      <w:tr>
        <w:trPr>
          <w:trHeight w:val="242"/>
        </w:trPr>
        <w:tc>
          <w:tcPr>
            <w:tcW w:w="8360" w:type="dxa"/>
            <w:vAlign w:val="bottom"/>
            <w:tcBorders>
              <w:bottom w:val="single" w:sz="8" w:color="D2DCE5"/>
            </w:tcBorders>
          </w:tcPr>
          <w:p>
            <w:pPr>
              <w:ind w:left="180"/>
              <w:spacing w:after="0"/>
              <w:rPr>
                <w:sz w:val="20"/>
                <w:szCs w:val="20"/>
                <w:color w:val="auto"/>
              </w:rPr>
            </w:pPr>
            <w:r>
              <w:rPr>
                <w:rFonts w:ascii="Arial" w:cs="Arial" w:eastAsia="Arial" w:hAnsi="Arial"/>
                <w:sz w:val="16"/>
                <w:szCs w:val="16"/>
                <w:color w:val="131E29"/>
              </w:rPr>
              <w:t>Payments under tax receivable agreements</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006098"/>
              </w:rPr>
              <w:t>(921)</w:t>
            </w:r>
          </w:p>
        </w:tc>
        <w:tc>
          <w:tcPr>
            <w:tcW w:w="80" w:type="dxa"/>
            <w:vAlign w:val="bottom"/>
            <w:tcBorders>
              <w:bottom w:val="single" w:sz="8" w:color="D2DCE5"/>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131E29"/>
              </w:rPr>
              <w:t>(71)</w:t>
            </w:r>
          </w:p>
        </w:tc>
      </w:tr>
      <w:tr>
        <w:trPr>
          <w:trHeight w:val="224"/>
        </w:trPr>
        <w:tc>
          <w:tcPr>
            <w:tcW w:w="8360" w:type="dxa"/>
            <w:vAlign w:val="bottom"/>
            <w:shd w:val="clear" w:color="auto" w:fill="D2DCE5"/>
          </w:tcPr>
          <w:p>
            <w:pPr>
              <w:ind w:left="680"/>
              <w:spacing w:after="0"/>
              <w:rPr>
                <w:sz w:val="20"/>
                <w:szCs w:val="20"/>
                <w:color w:val="auto"/>
              </w:rPr>
            </w:pPr>
            <w:r>
              <w:rPr>
                <w:rFonts w:ascii="Arial" w:cs="Arial" w:eastAsia="Arial" w:hAnsi="Arial"/>
                <w:sz w:val="16"/>
                <w:szCs w:val="16"/>
                <w:color w:val="131E29"/>
              </w:rPr>
              <w:t>Net cash provided by (used in) financing activities</w:t>
            </w:r>
          </w:p>
        </w:tc>
        <w:tc>
          <w:tcPr>
            <w:tcW w:w="420" w:type="dxa"/>
            <w:vAlign w:val="bottom"/>
            <w:tcBorders>
              <w:bottom w:val="single" w:sz="8" w:color="auto"/>
            </w:tcBorders>
            <w:shd w:val="clear" w:color="auto" w:fill="D2DCE5"/>
          </w:tcPr>
          <w:p>
            <w:pPr>
              <w:spacing w:after="0"/>
              <w:rPr>
                <w:sz w:val="19"/>
                <w:szCs w:val="19"/>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(13,806)</w:t>
            </w:r>
          </w:p>
        </w:tc>
        <w:tc>
          <w:tcPr>
            <w:tcW w:w="80" w:type="dxa"/>
            <w:vAlign w:val="bottom"/>
            <w:shd w:val="clear" w:color="auto" w:fill="D2DCE5"/>
          </w:tcPr>
          <w:p>
            <w:pPr>
              <w:spacing w:after="0"/>
              <w:rPr>
                <w:sz w:val="19"/>
                <w:szCs w:val="19"/>
                <w:color w:val="auto"/>
              </w:rPr>
            </w:pPr>
          </w:p>
        </w:tc>
        <w:tc>
          <w:tcPr>
            <w:tcW w:w="44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31,731</w:t>
            </w:r>
          </w:p>
        </w:tc>
      </w:tr>
      <w:tr>
        <w:trPr>
          <w:trHeight w:val="222"/>
        </w:trPr>
        <w:tc>
          <w:tcPr>
            <w:tcW w:w="8360" w:type="dxa"/>
            <w:vAlign w:val="bottom"/>
          </w:tcPr>
          <w:p>
            <w:pPr>
              <w:ind w:left="840"/>
              <w:spacing w:after="0"/>
              <w:rPr>
                <w:sz w:val="20"/>
                <w:szCs w:val="20"/>
                <w:color w:val="auto"/>
              </w:rPr>
            </w:pPr>
            <w:r>
              <w:rPr>
                <w:rFonts w:ascii="Arial" w:cs="Arial" w:eastAsia="Arial" w:hAnsi="Arial"/>
                <w:sz w:val="16"/>
                <w:szCs w:val="16"/>
                <w:color w:val="131E29"/>
              </w:rPr>
              <w:t>Net increase (decrease) in cash and cash equivalents</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006098"/>
              </w:rPr>
              <w:t>(5,887)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31E29"/>
              </w:rPr>
              <w:t>23,087</w:t>
            </w:r>
          </w:p>
        </w:tc>
      </w:tr>
      <w:tr>
        <w:trPr>
          <w:trHeight w:val="244"/>
        </w:trPr>
        <w:tc>
          <w:tcPr>
            <w:tcW w:w="8360" w:type="dxa"/>
            <w:vAlign w:val="bottom"/>
            <w:shd w:val="clear" w:color="auto" w:fill="D2DCE5"/>
          </w:tcPr>
          <w:p>
            <w:pPr>
              <w:ind w:left="20"/>
              <w:spacing w:after="0"/>
              <w:rPr>
                <w:sz w:val="20"/>
                <w:szCs w:val="20"/>
                <w:color w:val="auto"/>
              </w:rPr>
            </w:pPr>
            <w:r>
              <w:rPr>
                <w:rFonts w:ascii="Arial" w:cs="Arial" w:eastAsia="Arial" w:hAnsi="Arial"/>
                <w:sz w:val="16"/>
                <w:szCs w:val="16"/>
                <w:color w:val="131E29"/>
              </w:rPr>
              <w:t>Cash and cash equivalents, beginning of period</w:t>
            </w:r>
          </w:p>
        </w:tc>
        <w:tc>
          <w:tcPr>
            <w:tcW w:w="420" w:type="dxa"/>
            <w:vAlign w:val="bottom"/>
            <w:tcBorders>
              <w:bottom w:val="single" w:sz="8" w:color="auto"/>
            </w:tcBorders>
            <w:shd w:val="clear" w:color="auto" w:fill="D2DCE5"/>
          </w:tcPr>
          <w:p>
            <w:pPr>
              <w:spacing w:after="0"/>
              <w:rPr>
                <w:sz w:val="21"/>
                <w:szCs w:val="21"/>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006098"/>
              </w:rPr>
              <w:t>269,404</w:t>
            </w:r>
          </w:p>
        </w:tc>
        <w:tc>
          <w:tcPr>
            <w:tcW w:w="80" w:type="dxa"/>
            <w:vAlign w:val="bottom"/>
            <w:shd w:val="clear" w:color="auto" w:fill="D2DCE5"/>
          </w:tcPr>
          <w:p>
            <w:pPr>
              <w:spacing w:after="0"/>
              <w:rPr>
                <w:sz w:val="21"/>
                <w:szCs w:val="21"/>
                <w:color w:val="auto"/>
              </w:rPr>
            </w:pPr>
          </w:p>
        </w:tc>
        <w:tc>
          <w:tcPr>
            <w:tcW w:w="440" w:type="dxa"/>
            <w:vAlign w:val="bottom"/>
            <w:tcBorders>
              <w:bottom w:val="single" w:sz="8" w:color="auto"/>
            </w:tcBorders>
            <w:shd w:val="clear" w:color="auto" w:fill="D2DCE5"/>
          </w:tcPr>
          <w:p>
            <w:pPr>
              <w:spacing w:after="0"/>
              <w:rPr>
                <w:sz w:val="21"/>
                <w:szCs w:val="21"/>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6"/>
                <w:szCs w:val="16"/>
                <w:color w:val="131E29"/>
              </w:rPr>
              <w:t>293,354</w:t>
            </w:r>
          </w:p>
        </w:tc>
      </w:tr>
      <w:tr>
        <w:trPr>
          <w:trHeight w:val="210"/>
        </w:trPr>
        <w:tc>
          <w:tcPr>
            <w:tcW w:w="8360" w:type="dxa"/>
            <w:vAlign w:val="bottom"/>
          </w:tcPr>
          <w:p>
            <w:pPr>
              <w:ind w:left="20"/>
              <w:spacing w:after="0"/>
              <w:rPr>
                <w:sz w:val="20"/>
                <w:szCs w:val="20"/>
                <w:color w:val="auto"/>
              </w:rPr>
            </w:pPr>
            <w:r>
              <w:rPr>
                <w:rFonts w:ascii="Arial" w:cs="Arial" w:eastAsia="Arial" w:hAnsi="Arial"/>
                <w:sz w:val="16"/>
                <w:szCs w:val="16"/>
                <w:b w:val="1"/>
                <w:bCs w:val="1"/>
                <w:color w:val="131E29"/>
              </w:rPr>
              <w:t>Cash and cash equivalents, end of period</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006098"/>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006098"/>
              </w:rPr>
              <w:t>263,517</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131E2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131E29"/>
              </w:rPr>
              <w:t>316,441</w:t>
            </w:r>
          </w:p>
        </w:tc>
      </w:tr>
      <w:tr>
        <w:trPr>
          <w:trHeight w:val="20"/>
        </w:trPr>
        <w:tc>
          <w:tcPr>
            <w:tcW w:w="8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020"/>
        <w:spacing w:after="0"/>
        <w:rPr>
          <w:sz w:val="20"/>
          <w:szCs w:val="20"/>
          <w:color w:val="auto"/>
        </w:rPr>
      </w:pPr>
      <w:r>
        <w:rPr>
          <w:sz w:val="1"/>
          <w:szCs w:val="1"/>
          <w:color w:val="auto"/>
        </w:rPr>
        <w:drawing>
          <wp:inline distT="0" distB="0" distL="0" distR="0">
            <wp:extent cx="171450" cy="24003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131E29"/>
        </w:rPr>
        <w:t>Condensed Consolidated Statements of Cash Flows (continued)</w:t>
      </w:r>
    </w:p>
    <w:p>
      <w:pPr>
        <w:spacing w:after="0" w:line="235" w:lineRule="exact"/>
        <w:rPr>
          <w:sz w:val="20"/>
          <w:szCs w:val="20"/>
          <w:color w:val="auto"/>
        </w:rPr>
      </w:pPr>
    </w:p>
    <w:p>
      <w:pPr>
        <w:ind w:left="860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29210</wp:posOffset>
            </wp:positionV>
            <wp:extent cx="18256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unaudited)</w:t>
            </w:r>
          </w:p>
        </w:tc>
        <w:tc>
          <w:tcPr>
            <w:tcW w:w="100" w:type="dxa"/>
            <w:vAlign w:val="bottom"/>
          </w:tcPr>
          <w:p>
            <w:pPr>
              <w:spacing w:after="0"/>
              <w:rPr>
                <w:sz w:val="19"/>
                <w:szCs w:val="19"/>
                <w:color w:val="auto"/>
              </w:rPr>
            </w:pPr>
          </w:p>
        </w:tc>
        <w:tc>
          <w:tcPr>
            <w:tcW w:w="320" w:type="dxa"/>
            <w:vAlign w:val="bottom"/>
            <w:tcBorders>
              <w:bottom w:val="single" w:sz="8" w:color="D7282F"/>
            </w:tcBorders>
          </w:tcPr>
          <w:p>
            <w:pPr>
              <w:spacing w:after="0"/>
              <w:rPr>
                <w:sz w:val="19"/>
                <w:szCs w:val="19"/>
                <w:color w:val="auto"/>
              </w:rPr>
            </w:pPr>
          </w:p>
        </w:tc>
        <w:tc>
          <w:tcPr>
            <w:tcW w:w="1080" w:type="dxa"/>
            <w:vAlign w:val="bottom"/>
            <w:tcBorders>
              <w:bottom w:val="single" w:sz="8" w:color="D7282F"/>
            </w:tcBorders>
          </w:tcPr>
          <w:p>
            <w:pPr>
              <w:jc w:val="right"/>
              <w:ind w:right="439"/>
              <w:spacing w:after="0"/>
              <w:rPr>
                <w:sz w:val="20"/>
                <w:szCs w:val="20"/>
                <w:color w:val="auto"/>
              </w:rPr>
            </w:pPr>
            <w:r>
              <w:rPr>
                <w:rFonts w:ascii="Arial" w:cs="Arial" w:eastAsia="Arial" w:hAnsi="Arial"/>
                <w:sz w:val="16"/>
                <w:szCs w:val="16"/>
                <w:b w:val="1"/>
                <w:bCs w:val="1"/>
                <w:color w:val="131E29"/>
              </w:rPr>
              <w:t>2026</w:t>
            </w:r>
          </w:p>
        </w:tc>
        <w:tc>
          <w:tcPr>
            <w:tcW w:w="80" w:type="dxa"/>
            <w:vAlign w:val="bottom"/>
          </w:tcPr>
          <w:p>
            <w:pPr>
              <w:spacing w:after="0"/>
              <w:rPr>
                <w:sz w:val="19"/>
                <w:szCs w:val="19"/>
                <w:color w:val="auto"/>
              </w:rPr>
            </w:pPr>
          </w:p>
        </w:tc>
        <w:tc>
          <w:tcPr>
            <w:tcW w:w="320" w:type="dxa"/>
            <w:vAlign w:val="bottom"/>
            <w:tcBorders>
              <w:bottom w:val="single" w:sz="8" w:color="D7282F"/>
            </w:tcBorders>
          </w:tcPr>
          <w:p>
            <w:pPr>
              <w:spacing w:after="0"/>
              <w:rPr>
                <w:sz w:val="19"/>
                <w:szCs w:val="19"/>
                <w:color w:val="auto"/>
              </w:rPr>
            </w:pPr>
          </w:p>
        </w:tc>
        <w:tc>
          <w:tcPr>
            <w:tcW w:w="1080" w:type="dxa"/>
            <w:vAlign w:val="bottom"/>
            <w:tcBorders>
              <w:bottom w:val="single" w:sz="8" w:color="D7282F"/>
            </w:tcBorders>
          </w:tcPr>
          <w:p>
            <w:pPr>
              <w:jc w:val="right"/>
              <w:ind w:right="439"/>
              <w:spacing w:after="0"/>
              <w:rPr>
                <w:sz w:val="20"/>
                <w:szCs w:val="20"/>
                <w:color w:val="auto"/>
              </w:rPr>
            </w:pPr>
            <w:r>
              <w:rPr>
                <w:rFonts w:ascii="Arial" w:cs="Arial" w:eastAsia="Arial" w:hAnsi="Arial"/>
                <w:sz w:val="16"/>
                <w:szCs w:val="16"/>
                <w:b w:val="1"/>
                <w:bCs w:val="1"/>
                <w:color w:val="131E29"/>
              </w:rPr>
              <w:t>2025</w:t>
            </w:r>
          </w:p>
        </w:tc>
      </w:tr>
      <w:tr>
        <w:trPr>
          <w:trHeight w:val="237"/>
        </w:trPr>
        <w:tc>
          <w:tcPr>
            <w:tcW w:w="8360" w:type="dxa"/>
            <w:vAlign w:val="bottom"/>
            <w:gridSpan w:val="2"/>
          </w:tcPr>
          <w:p>
            <w:pPr>
              <w:ind w:left="20"/>
              <w:spacing w:after="0"/>
              <w:rPr>
                <w:sz w:val="20"/>
                <w:szCs w:val="20"/>
                <w:color w:val="auto"/>
              </w:rPr>
            </w:pPr>
            <w:r>
              <w:rPr>
                <w:rFonts w:ascii="Arial" w:cs="Arial" w:eastAsia="Arial" w:hAnsi="Arial"/>
                <w:sz w:val="16"/>
                <w:szCs w:val="16"/>
                <w:b w:val="1"/>
                <w:bCs w:val="1"/>
                <w:color w:val="131E29"/>
              </w:rPr>
              <w:t>Supplemental disclosure of cash flow information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7"/>
        </w:trPr>
        <w:tc>
          <w:tcPr>
            <w:tcW w:w="8360" w:type="dxa"/>
            <w:vAlign w:val="bottom"/>
            <w:gridSpan w:val="2"/>
            <w:shd w:val="clear" w:color="auto" w:fill="D2DCE5"/>
          </w:tcPr>
          <w:p>
            <w:pPr>
              <w:ind w:left="180"/>
              <w:spacing w:after="0"/>
              <w:rPr>
                <w:sz w:val="20"/>
                <w:szCs w:val="20"/>
                <w:color w:val="auto"/>
              </w:rPr>
            </w:pPr>
            <w:r>
              <w:rPr>
                <w:rFonts w:ascii="Arial" w:cs="Arial" w:eastAsia="Arial" w:hAnsi="Arial"/>
                <w:sz w:val="16"/>
                <w:szCs w:val="16"/>
                <w:color w:val="131E29"/>
              </w:rPr>
              <w:t>Interest paid</w:t>
            </w:r>
          </w:p>
        </w:tc>
        <w:tc>
          <w:tcPr>
            <w:tcW w:w="320" w:type="dxa"/>
            <w:vAlign w:val="bottom"/>
            <w:shd w:val="clear" w:color="auto" w:fill="D2DCE5"/>
          </w:tcPr>
          <w:p>
            <w:pPr>
              <w:jc w:val="right"/>
              <w:ind w:right="119"/>
              <w:spacing w:after="0"/>
              <w:rPr>
                <w:sz w:val="20"/>
                <w:szCs w:val="20"/>
                <w:color w:val="auto"/>
              </w:rPr>
            </w:pPr>
            <w:r>
              <w:rPr>
                <w:rFonts w:ascii="Arial" w:cs="Arial" w:eastAsia="Arial" w:hAnsi="Arial"/>
                <w:sz w:val="16"/>
                <w:szCs w:val="16"/>
                <w:color w:val="006098"/>
              </w:rPr>
              <w:t>$</w:t>
            </w: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006098"/>
              </w:rPr>
              <w:t>9,151</w:t>
            </w:r>
          </w:p>
        </w:tc>
        <w:tc>
          <w:tcPr>
            <w:tcW w:w="80" w:type="dxa"/>
            <w:vAlign w:val="bottom"/>
            <w:shd w:val="clear" w:color="auto" w:fill="D2DCE5"/>
          </w:tcPr>
          <w:p>
            <w:pPr>
              <w:spacing w:after="0"/>
              <w:rPr>
                <w:sz w:val="21"/>
                <w:szCs w:val="21"/>
                <w:color w:val="auto"/>
              </w:rPr>
            </w:pPr>
          </w:p>
        </w:tc>
        <w:tc>
          <w:tcPr>
            <w:tcW w:w="320" w:type="dxa"/>
            <w:vAlign w:val="bottom"/>
            <w:shd w:val="clear" w:color="auto" w:fill="D2DCE5"/>
          </w:tcPr>
          <w:p>
            <w:pPr>
              <w:jc w:val="right"/>
              <w:ind w:right="119"/>
              <w:spacing w:after="0"/>
              <w:rPr>
                <w:sz w:val="20"/>
                <w:szCs w:val="20"/>
                <w:color w:val="auto"/>
              </w:rPr>
            </w:pPr>
            <w:r>
              <w:rPr>
                <w:rFonts w:ascii="Arial" w:cs="Arial" w:eastAsia="Arial" w:hAnsi="Arial"/>
                <w:sz w:val="16"/>
                <w:szCs w:val="16"/>
                <w:color w:val="131E29"/>
              </w:rPr>
              <w:t>$</w:t>
            </w:r>
          </w:p>
        </w:tc>
        <w:tc>
          <w:tcPr>
            <w:tcW w:w="1080" w:type="dxa"/>
            <w:vAlign w:val="bottom"/>
            <w:shd w:val="clear" w:color="auto" w:fill="D2DCE5"/>
          </w:tcPr>
          <w:p>
            <w:pPr>
              <w:jc w:val="right"/>
              <w:spacing w:after="0"/>
              <w:rPr>
                <w:sz w:val="20"/>
                <w:szCs w:val="20"/>
                <w:color w:val="auto"/>
              </w:rPr>
            </w:pPr>
            <w:r>
              <w:rPr>
                <w:rFonts w:ascii="Arial" w:cs="Arial" w:eastAsia="Arial" w:hAnsi="Arial"/>
                <w:sz w:val="16"/>
                <w:szCs w:val="16"/>
                <w:color w:val="131E29"/>
              </w:rPr>
              <w:t>9,823</w:t>
            </w:r>
          </w:p>
        </w:tc>
      </w:tr>
      <w:tr>
        <w:trPr>
          <w:trHeight w:val="242"/>
        </w:trPr>
        <w:tc>
          <w:tcPr>
            <w:tcW w:w="8360" w:type="dxa"/>
            <w:vAlign w:val="bottom"/>
            <w:gridSpan w:val="2"/>
          </w:tcPr>
          <w:p>
            <w:pPr>
              <w:ind w:left="180"/>
              <w:spacing w:after="0"/>
              <w:rPr>
                <w:sz w:val="20"/>
                <w:szCs w:val="20"/>
                <w:color w:val="auto"/>
              </w:rPr>
            </w:pPr>
            <w:r>
              <w:rPr>
                <w:rFonts w:ascii="Arial" w:cs="Arial" w:eastAsia="Arial" w:hAnsi="Arial"/>
                <w:sz w:val="16"/>
                <w:szCs w:val="16"/>
                <w:color w:val="131E29"/>
              </w:rPr>
              <w:t>Income taxes paid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6098"/>
              </w:rPr>
              <w:t>159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131E29"/>
              </w:rPr>
              <w:t>183</w:t>
            </w:r>
          </w:p>
        </w:tc>
      </w:tr>
      <w:tr>
        <w:trPr>
          <w:trHeight w:val="244"/>
        </w:trPr>
        <w:tc>
          <w:tcPr>
            <w:tcW w:w="8360" w:type="dxa"/>
            <w:vAlign w:val="bottom"/>
            <w:gridSpan w:val="2"/>
            <w:shd w:val="clear" w:color="auto" w:fill="D2DCE5"/>
          </w:tcPr>
          <w:p>
            <w:pPr>
              <w:ind w:left="20"/>
              <w:spacing w:after="0"/>
              <w:rPr>
                <w:sz w:val="20"/>
                <w:szCs w:val="20"/>
                <w:color w:val="auto"/>
              </w:rPr>
            </w:pPr>
            <w:r>
              <w:rPr>
                <w:rFonts w:ascii="Arial" w:cs="Arial" w:eastAsia="Arial" w:hAnsi="Arial"/>
                <w:sz w:val="16"/>
                <w:szCs w:val="16"/>
                <w:b w:val="1"/>
                <w:bCs w:val="1"/>
                <w:color w:val="131E29"/>
              </w:rPr>
              <w:t>Supplemental disclosure of noncash investing and financing activities</w:t>
            </w:r>
          </w:p>
        </w:tc>
        <w:tc>
          <w:tcPr>
            <w:tcW w:w="32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080" w:type="dxa"/>
            <w:vAlign w:val="bottom"/>
            <w:shd w:val="clear" w:color="auto" w:fill="D2DCE5"/>
          </w:tcPr>
          <w:p>
            <w:pPr>
              <w:spacing w:after="0"/>
              <w:rPr>
                <w:sz w:val="21"/>
                <w:szCs w:val="21"/>
                <w:color w:val="auto"/>
              </w:rPr>
            </w:pPr>
          </w:p>
        </w:tc>
      </w:tr>
      <w:tr>
        <w:trPr>
          <w:trHeight w:val="241"/>
        </w:trPr>
        <w:tc>
          <w:tcPr>
            <w:tcW w:w="8360" w:type="dxa"/>
            <w:vAlign w:val="bottom"/>
            <w:gridSpan w:val="2"/>
          </w:tcPr>
          <w:p>
            <w:pPr>
              <w:ind w:left="180"/>
              <w:spacing w:after="0"/>
              <w:rPr>
                <w:sz w:val="20"/>
                <w:szCs w:val="20"/>
                <w:color w:val="auto"/>
              </w:rPr>
            </w:pPr>
            <w:r>
              <w:rPr>
                <w:rFonts w:ascii="Arial" w:cs="Arial" w:eastAsia="Arial" w:hAnsi="Arial"/>
                <w:sz w:val="16"/>
                <w:szCs w:val="16"/>
                <w:color w:val="131E29"/>
              </w:rPr>
              <w:t>Additions of property and equipment recorded as liabilities as of end of period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6098"/>
              </w:rPr>
              <w:t>16,223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131E29"/>
              </w:rPr>
              <w:t>9,778</w:t>
            </w: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540" w:type="dxa"/>
            <w:vAlign w:val="bottom"/>
            <w:gridSpan w:val="2"/>
          </w:tcPr>
          <w:p>
            <w:pPr>
              <w:ind w:left="3020"/>
              <w:spacing w:after="0"/>
              <w:rPr>
                <w:sz w:val="20"/>
                <w:szCs w:val="20"/>
                <w:color w:val="auto"/>
              </w:rPr>
            </w:pPr>
            <w:r>
              <w:rPr>
                <w:rFonts w:ascii="Arial" w:cs="Arial" w:eastAsia="Arial" w:hAnsi="Arial"/>
                <w:sz w:val="18"/>
                <w:szCs w:val="18"/>
                <w:color w:val="131E29"/>
              </w:rPr>
              <w:t>Index for Notes to Condensed Consolidated Financial Statements</w:t>
            </w:r>
          </w:p>
        </w:tc>
        <w:tc>
          <w:tcPr>
            <w:tcW w:w="700" w:type="dxa"/>
            <w:vAlign w:val="bottom"/>
          </w:tcPr>
          <w:p>
            <w:pPr>
              <w:spacing w:after="0"/>
              <w:rPr>
                <w:sz w:val="20"/>
                <w:szCs w:val="20"/>
                <w:color w:val="auto"/>
              </w:rPr>
            </w:pPr>
          </w:p>
        </w:tc>
      </w:tr>
      <w:tr>
        <w:trPr>
          <w:trHeight w:val="253"/>
        </w:trPr>
        <w:tc>
          <w:tcPr>
            <w:tcW w:w="1044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006098"/>
              </w:rPr>
              <w:t>Note</w:t>
            </w:r>
          </w:p>
        </w:tc>
        <w:tc>
          <w:tcPr>
            <w:tcW w:w="100" w:type="dxa"/>
            <w:vAlign w:val="bottom"/>
            <w:tcBorders>
              <w:bottom w:val="single" w:sz="8" w:color="D2DCE5"/>
            </w:tcBorders>
          </w:tcPr>
          <w:p>
            <w:pPr>
              <w:spacing w:after="0"/>
              <w:rPr>
                <w:sz w:val="21"/>
                <w:szCs w:val="21"/>
                <w:color w:val="auto"/>
              </w:rPr>
            </w:pPr>
          </w:p>
        </w:tc>
        <w:tc>
          <w:tcPr>
            <w:tcW w:w="70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006098"/>
                <w:w w:val="97"/>
              </w:rPr>
              <w:t>Page</w:t>
            </w:r>
          </w:p>
        </w:tc>
      </w:tr>
      <w:tr>
        <w:trPr>
          <w:trHeight w:val="243"/>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 — Organization and Background</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11</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2 — Basis of Presentation and Summary of Significant Accounting Policies</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11</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3 — Revenue Recognition</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12</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4 — Organization Realignment and Restructurings</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13</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5 — Acquisitions</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14</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6 — Supplemental Financial Information</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14</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7 — Property and Equipment</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15</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8 — Other Long-Term Assets</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15</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9 — Leases</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16</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10 — Debt</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17</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11 — Derivative Financial Instrument</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18</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12 — Income Taxes</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19</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13 — Equity-Based Compensation</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20</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14 — Non-Controlling Interests</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22</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15 — Income Per Share</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23</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16 — Commitments and Contingencies</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25</w:t>
            </w:r>
          </w:p>
        </w:tc>
      </w:tr>
      <w:tr>
        <w:trPr>
          <w:trHeight w:val="23"/>
        </w:trPr>
        <w:tc>
          <w:tcPr>
            <w:tcW w:w="10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5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NOTE 17 — Related Party Transactions</w:t>
            </w:r>
          </w:p>
        </w:tc>
        <w:tc>
          <w:tcPr>
            <w:tcW w:w="700" w:type="dxa"/>
            <w:vAlign w:val="bottom"/>
            <w:tcBorders>
              <w:bottom w:val="single" w:sz="8" w:color="D2DCE5"/>
            </w:tcBorders>
            <w:shd w:val="clear" w:color="auto" w:fill="D2DCE5"/>
          </w:tcPr>
          <w:p>
            <w:pPr>
              <w:jc w:val="right"/>
              <w:ind w:right="170"/>
              <w:spacing w:after="0"/>
              <w:rPr>
                <w:sz w:val="20"/>
                <w:szCs w:val="20"/>
                <w:color w:val="auto"/>
              </w:rPr>
            </w:pPr>
            <w:r>
              <w:rPr>
                <w:rFonts w:ascii="Arial" w:cs="Arial" w:eastAsia="Arial" w:hAnsi="Arial"/>
                <w:sz w:val="18"/>
                <w:szCs w:val="18"/>
                <w:color w:val="131E29"/>
              </w:rPr>
              <w:t>26</w:t>
            </w:r>
          </w:p>
        </w:tc>
      </w:tr>
      <w:tr>
        <w:trPr>
          <w:trHeight w:val="247"/>
        </w:trPr>
        <w:tc>
          <w:tcPr>
            <w:tcW w:w="10540" w:type="dxa"/>
            <w:vAlign w:val="bottom"/>
            <w:gridSpan w:val="2"/>
          </w:tcPr>
          <w:p>
            <w:pPr>
              <w:ind w:left="20"/>
              <w:spacing w:after="0"/>
              <w:rPr>
                <w:sz w:val="20"/>
                <w:szCs w:val="20"/>
                <w:color w:val="auto"/>
              </w:rPr>
            </w:pPr>
            <w:r>
              <w:rPr>
                <w:rFonts w:ascii="Arial" w:cs="Arial" w:eastAsia="Arial" w:hAnsi="Arial"/>
                <w:sz w:val="18"/>
                <w:szCs w:val="18"/>
                <w:color w:val="131E29"/>
              </w:rPr>
              <w:t>NOTE 18 — Segment Reporting</w:t>
            </w:r>
          </w:p>
        </w:tc>
        <w:tc>
          <w:tcPr>
            <w:tcW w:w="700" w:type="dxa"/>
            <w:vAlign w:val="bottom"/>
          </w:tcPr>
          <w:p>
            <w:pPr>
              <w:jc w:val="right"/>
              <w:ind w:right="170"/>
              <w:spacing w:after="0"/>
              <w:rPr>
                <w:sz w:val="20"/>
                <w:szCs w:val="20"/>
                <w:color w:val="auto"/>
              </w:rPr>
            </w:pPr>
            <w:r>
              <w:rPr>
                <w:rFonts w:ascii="Arial" w:cs="Arial" w:eastAsia="Arial" w:hAnsi="Arial"/>
                <w:sz w:val="18"/>
                <w:szCs w:val="18"/>
                <w:color w:val="131E29"/>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69" w:lineRule="exact"/>
        <w:rPr>
          <w:sz w:val="20"/>
          <w:szCs w:val="20"/>
          <w:color w:val="auto"/>
        </w:rPr>
      </w:pPr>
    </w:p>
    <w:p>
      <w:pPr>
        <w:ind w:left="2900"/>
        <w:spacing w:after="0"/>
        <w:rPr>
          <w:sz w:val="20"/>
          <w:szCs w:val="20"/>
          <w:color w:val="auto"/>
        </w:rPr>
      </w:pPr>
      <w:r>
        <w:rPr>
          <w:rFonts w:ascii="Arial" w:cs="Arial" w:eastAsia="Arial" w:hAnsi="Arial"/>
          <w:sz w:val="18"/>
          <w:szCs w:val="18"/>
          <w:color w:val="131E29"/>
        </w:rPr>
        <w:t>Notes to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 — Organization and Background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Business</w:t>
      </w:r>
    </w:p>
    <w:p>
      <w:pPr>
        <w:spacing w:after="0" w:line="11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131E29"/>
        </w:rPr>
        <w:t>Dutch Bros Inc., a Delaware corporation, together with its subsidiaries (the Company, we, us, or our, collectively) operates and franchises drive-thru shops as well as sells and distributes coffee, coffee-related products, and accessories. As of March 31, 2026, there were 1,177 shops in operation in 25 U.S. states, of which 844 were company-operated and 333 were franchised.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Organization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 As of March 31, 2026, Dutch Bros Inc. held 100.0% of the voting interest and 71.6% of the economic interest of Dutch Bros OpCo. The Continuing Members held no voting interest and the remaining 28.4% of the economic interest of Dutch Bros OpCo.</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2 —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Financial Statements Presentation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condensed consolidated financial statements as of March 31, 2026 and for the three months ended March 31, 2026 and 2025 have been prepared in accordance with GAAP and pursuant to the rules and regulations of the SEC, consistent in all material respects with those applied in the 2025 Form 10-K and as updated by this Form 10-Q.</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have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2025 Form 10-K that includes additional information on accounting estimates, policies, and the methods and assumptions used in its estimates.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the opinion of management, the accompanying condensed consolidated financial statements reflect all adjustments, consisting of normal recurring adjustments, necessary to present fairly our consolidated financial statements for the periods presented. Operating results for the three months ended March 31, 2026 are not necessarily indicative of the results that may be expected for the fiscal year ending December 31, 2026.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Significant Accounting Policies Updates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material updates to our significant accounting policies during the three months ended March 31, 2026 from those previously reported in the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Recently Issued Accounting Standards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September 2025, the FASB issued ASU 2025-06, </w:t>
      </w:r>
      <w:r>
        <w:rPr>
          <w:rFonts w:ascii="Arial" w:cs="Arial" w:eastAsia="Arial" w:hAnsi="Arial"/>
          <w:sz w:val="18"/>
          <w:szCs w:val="18"/>
          <w:i w:val="1"/>
          <w:iCs w:val="1"/>
          <w:color w:val="131E29"/>
        </w:rPr>
        <w:t>Intangibles - Goodwill and Other - Internal-Use Software (Subtopic 350-40): Targeted</w:t>
      </w:r>
      <w:r>
        <w:rPr>
          <w:rFonts w:ascii="Arial" w:cs="Arial" w:eastAsia="Arial" w:hAnsi="Arial"/>
          <w:sz w:val="18"/>
          <w:szCs w:val="18"/>
          <w:color w:val="131E29"/>
        </w:rPr>
        <w:t xml:space="preserve"> </w:t>
      </w:r>
      <w:r>
        <w:rPr>
          <w:rFonts w:ascii="Arial" w:cs="Arial" w:eastAsia="Arial" w:hAnsi="Arial"/>
          <w:sz w:val="18"/>
          <w:szCs w:val="18"/>
          <w:i w:val="1"/>
          <w:iCs w:val="1"/>
          <w:color w:val="131E29"/>
        </w:rPr>
        <w:t xml:space="preserve">Improvements to the Accounting for Internal-Use Software. </w:t>
      </w:r>
      <w:r>
        <w:rPr>
          <w:rFonts w:ascii="Arial" w:cs="Arial" w:eastAsia="Arial" w:hAnsi="Arial"/>
          <w:sz w:val="18"/>
          <w:szCs w:val="18"/>
          <w:color w:val="131E29"/>
        </w:rPr>
        <w:t>The intent of this ASU is to address businesses’ shift from using prescriptive and</w:t>
      </w:r>
      <w:r>
        <w:rPr>
          <w:rFonts w:ascii="Arial" w:cs="Arial" w:eastAsia="Arial" w:hAnsi="Arial"/>
          <w:sz w:val="18"/>
          <w:szCs w:val="18"/>
          <w:i w:val="1"/>
          <w:iCs w:val="1"/>
          <w:color w:val="131E29"/>
        </w:rPr>
        <w:t xml:space="preserve"> </w:t>
      </w:r>
      <w:r>
        <w:rPr>
          <w:rFonts w:ascii="Arial" w:cs="Arial" w:eastAsia="Arial" w:hAnsi="Arial"/>
          <w:sz w:val="18"/>
          <w:szCs w:val="18"/>
          <w:color w:val="131E29"/>
        </w:rPr>
        <w:t>sequential software development methods to using incremental and iterative development methods. The amendments in this ASU remove all references to prescriptive and sequential software development stages, and also provides criteria for when an entity is required to start capitalizing software costs. ASU 2025-06 is effective for all entities' annual reporting periods beginning after December 15, 2027, and interim periods within those annual reporting periods using a prospective transition, modified transition or retrospective transition approach. Early adoption is permitted as of the beginning of an annual reporting period. We are currently assessing potential impacts of this standard on our business processes and future disclosures.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 xml:space="preserve">In November 2024, the FASB issued ASU No. 2024-03, </w:t>
      </w:r>
      <w:r>
        <w:rPr>
          <w:rFonts w:ascii="Arial" w:cs="Arial" w:eastAsia="Arial" w:hAnsi="Arial"/>
          <w:sz w:val="18"/>
          <w:szCs w:val="18"/>
          <w:i w:val="1"/>
          <w:iCs w:val="1"/>
          <w:color w:val="131E29"/>
        </w:rPr>
        <w:t>Income Statement - Reporting Comprehensive Income - Expense Disaggregation</w:t>
      </w:r>
      <w:r>
        <w:rPr>
          <w:rFonts w:ascii="Arial" w:cs="Arial" w:eastAsia="Arial" w:hAnsi="Arial"/>
          <w:sz w:val="18"/>
          <w:szCs w:val="18"/>
          <w:color w:val="131E29"/>
        </w:rPr>
        <w:t xml:space="preserve"> </w:t>
      </w:r>
      <w:r>
        <w:rPr>
          <w:rFonts w:ascii="Arial" w:cs="Arial" w:eastAsia="Arial" w:hAnsi="Arial"/>
          <w:sz w:val="18"/>
          <w:szCs w:val="18"/>
          <w:i w:val="1"/>
          <w:iCs w:val="1"/>
          <w:color w:val="131E29"/>
        </w:rPr>
        <w:t xml:space="preserve">Disclosures (Subtopic 220-40). </w:t>
      </w:r>
      <w:r>
        <w:rPr>
          <w:rFonts w:ascii="Arial" w:cs="Arial" w:eastAsia="Arial" w:hAnsi="Arial"/>
          <w:sz w:val="18"/>
          <w:szCs w:val="18"/>
          <w:color w:val="131E29"/>
        </w:rPr>
        <w:t>The intent of this ASU is to improve public entity financial footnote disclosures around types of expenses in</w:t>
      </w:r>
      <w:r>
        <w:rPr>
          <w:rFonts w:ascii="Arial" w:cs="Arial" w:eastAsia="Arial" w:hAnsi="Arial"/>
          <w:sz w:val="18"/>
          <w:szCs w:val="18"/>
          <w:i w:val="1"/>
          <w:iCs w:val="1"/>
          <w:color w:val="131E29"/>
        </w:rPr>
        <w:t xml:space="preserve"> </w:t>
      </w:r>
      <w:r>
        <w:rPr>
          <w:rFonts w:ascii="Arial" w:cs="Arial" w:eastAsia="Arial" w:hAnsi="Arial"/>
          <w:sz w:val="18"/>
          <w:szCs w:val="18"/>
          <w:color w:val="131E29"/>
        </w:rPr>
        <w:t>commonly presented expense categories (i.e., cost of sales; selling, general, and administrative expense; and research and development expense).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are currently assessing potential impacts of this standard on our business processes and future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3 — Revenue Recognition</w:t>
      </w:r>
    </w:p>
    <w:p>
      <w:pPr>
        <w:sectPr>
          <w:pgSz w:w="11900" w:h="16838" w:orient="portrait"/>
          <w:cols w:equalWidth="0" w:num="1">
            <w:col w:w="11240"/>
          </w:cols>
          <w:pgMar w:left="320" w:top="130"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disaggregates revenue by major component:</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Company-operated shops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Franchising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Other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131E29"/>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4428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2026</w:t>
            </w:r>
          </w:p>
        </w:tc>
        <w:tc>
          <w:tcPr>
            <w:tcW w:w="100" w:type="dxa"/>
            <w:vAlign w:val="bottom"/>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2025</w:t>
            </w:r>
          </w:p>
        </w:tc>
      </w:tr>
      <w:tr>
        <w:trPr>
          <w:trHeight w:val="274"/>
        </w:trPr>
        <w:tc>
          <w:tcPr>
            <w:tcW w:w="420" w:type="dxa"/>
            <w:vAlign w:val="bottom"/>
          </w:tcPr>
          <w:p>
            <w:pPr>
              <w:jc w:val="right"/>
              <w:ind w:right="210"/>
              <w:spacing w:after="0"/>
              <w:rPr>
                <w:sz w:val="20"/>
                <w:szCs w:val="20"/>
                <w:color w:val="auto"/>
              </w:rPr>
            </w:pPr>
            <w:r>
              <w:rPr>
                <w:rFonts w:ascii="Arial" w:cs="Arial" w:eastAsia="Arial" w:hAnsi="Arial"/>
                <w:sz w:val="18"/>
                <w:szCs w:val="18"/>
                <w:color w:val="006098"/>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006098"/>
              </w:rPr>
              <w:t>429,057</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131E29"/>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131E29"/>
              </w:rPr>
              <w:t>326,421</w:t>
            </w:r>
          </w:p>
        </w:tc>
      </w:tr>
      <w:tr>
        <w:trPr>
          <w:trHeight w:val="270"/>
        </w:trPr>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33,956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27,091</w:t>
            </w:r>
          </w:p>
        </w:tc>
      </w:tr>
      <w:tr>
        <w:trPr>
          <w:trHeight w:val="266"/>
        </w:trPr>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1,399</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1,640</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464,412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355,152</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80" w:space="720"/>
            <w:col w:w="3840"/>
          </w:cols>
          <w:pgMar w:left="320" w:top="130" w:right="3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Deferred Revenue</w:t>
            </w: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316"/>
        </w:trPr>
        <w:tc>
          <w:tcPr>
            <w:tcW w:w="6520" w:type="dxa"/>
            <w:vAlign w:val="bottom"/>
            <w:gridSpan w:val="2"/>
          </w:tcPr>
          <w:p>
            <w:pPr>
              <w:spacing w:after="0"/>
              <w:rPr>
                <w:sz w:val="20"/>
                <w:szCs w:val="20"/>
                <w:color w:val="auto"/>
              </w:rPr>
            </w:pPr>
            <w:r>
              <w:rPr>
                <w:rFonts w:ascii="Arial" w:cs="Arial" w:eastAsia="Arial" w:hAnsi="Arial"/>
                <w:sz w:val="18"/>
                <w:szCs w:val="18"/>
                <w:color w:val="131E29"/>
              </w:rPr>
              <w:t>Components of our deferred revenue liability are as follows:</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40"/>
        </w:trPr>
        <w:tc>
          <w:tcPr>
            <w:tcW w:w="6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198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March 31, 2026</w:t>
            </w:r>
          </w:p>
        </w:tc>
        <w:tc>
          <w:tcPr>
            <w:tcW w:w="100" w:type="dxa"/>
            <w:vAlign w:val="bottom"/>
            <w:tcBorders>
              <w:bottom w:val="single" w:sz="8" w:color="D2DCE5"/>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208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December 31, 2025</w:t>
            </w:r>
          </w:p>
        </w:tc>
      </w:tr>
      <w:tr>
        <w:trPr>
          <w:trHeight w:val="270"/>
        </w:trPr>
        <w:tc>
          <w:tcPr>
            <w:tcW w:w="65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Gift card and loyalty programs</w:t>
            </w:r>
          </w:p>
        </w:tc>
        <w:tc>
          <w:tcPr>
            <w:tcW w:w="320" w:type="dxa"/>
            <w:vAlign w:val="bottom"/>
            <w:shd w:val="clear" w:color="auto" w:fill="D2DCE5"/>
          </w:tcPr>
          <w:p>
            <w:pPr>
              <w:jc w:val="right"/>
              <w:ind w:right="110"/>
              <w:spacing w:after="0"/>
              <w:rPr>
                <w:sz w:val="20"/>
                <w:szCs w:val="20"/>
                <w:color w:val="auto"/>
              </w:rPr>
            </w:pPr>
            <w:r>
              <w:rPr>
                <w:rFonts w:ascii="Arial" w:cs="Arial" w:eastAsia="Arial" w:hAnsi="Arial"/>
                <w:sz w:val="18"/>
                <w:szCs w:val="18"/>
                <w:color w:val="006098"/>
                <w:w w:val="99"/>
              </w:rPr>
              <w:t>$</w:t>
            </w:r>
          </w:p>
        </w:tc>
        <w:tc>
          <w:tcPr>
            <w:tcW w:w="19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59,706</w:t>
            </w:r>
          </w:p>
        </w:tc>
        <w:tc>
          <w:tcPr>
            <w:tcW w:w="100" w:type="dxa"/>
            <w:vAlign w:val="bottom"/>
            <w:shd w:val="clear" w:color="auto" w:fill="D2DCE5"/>
          </w:tcPr>
          <w:p>
            <w:pPr>
              <w:spacing w:after="0"/>
              <w:rPr>
                <w:sz w:val="23"/>
                <w:szCs w:val="23"/>
                <w:color w:val="auto"/>
              </w:rPr>
            </w:pPr>
          </w:p>
        </w:tc>
        <w:tc>
          <w:tcPr>
            <w:tcW w:w="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131E29"/>
                <w:w w:val="99"/>
              </w:rPr>
              <w:t>$</w:t>
            </w:r>
          </w:p>
        </w:tc>
        <w:tc>
          <w:tcPr>
            <w:tcW w:w="20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62,014</w:t>
            </w:r>
          </w:p>
        </w:tc>
      </w:tr>
      <w:tr>
        <w:trPr>
          <w:trHeight w:val="270"/>
        </w:trPr>
        <w:tc>
          <w:tcPr>
            <w:tcW w:w="652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Initial unearned franchise fees</w:t>
            </w:r>
            <w:r>
              <w:rPr>
                <w:rFonts w:ascii="Arial" w:cs="Arial" w:eastAsia="Arial" w:hAnsi="Arial"/>
                <w:sz w:val="23"/>
                <w:szCs w:val="23"/>
                <w:color w:val="131E29"/>
                <w:vertAlign w:val="superscript"/>
              </w:rPr>
              <w:t>1</w:t>
            </w:r>
          </w:p>
        </w:tc>
        <w:tc>
          <w:tcPr>
            <w:tcW w:w="3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2,662</w:t>
            </w:r>
          </w:p>
        </w:tc>
        <w:tc>
          <w:tcPr>
            <w:tcW w:w="100" w:type="dxa"/>
            <w:vAlign w:val="bottom"/>
            <w:tcBorders>
              <w:bottom w:val="single" w:sz="8" w:color="D2DCE5"/>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2,562</w:t>
            </w:r>
          </w:p>
        </w:tc>
      </w:tr>
      <w:tr>
        <w:trPr>
          <w:trHeight w:val="248"/>
        </w:trPr>
        <w:tc>
          <w:tcPr>
            <w:tcW w:w="65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deferred revenue</w:t>
            </w: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b w:val="1"/>
                <w:bCs w:val="1"/>
                <w:color w:val="006098"/>
                <w:w w:val="99"/>
              </w:rPr>
              <w:t>$</w:t>
            </w:r>
          </w:p>
        </w:tc>
        <w:tc>
          <w:tcPr>
            <w:tcW w:w="1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62,368</w:t>
            </w:r>
          </w:p>
        </w:tc>
        <w:tc>
          <w:tcPr>
            <w:tcW w:w="100" w:type="dxa"/>
            <w:vAlign w:val="bottom"/>
            <w:tcBorders>
              <w:bottom w:val="single" w:sz="8" w:color="D2DCE5"/>
            </w:tcBorders>
            <w:shd w:val="clear" w:color="auto" w:fill="D2DCE5"/>
          </w:tcPr>
          <w:p>
            <w:pPr>
              <w:spacing w:after="0"/>
              <w:rPr>
                <w:sz w:val="21"/>
                <w:szCs w:val="21"/>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b w:val="1"/>
                <w:bCs w:val="1"/>
                <w:color w:val="131E29"/>
                <w:w w:val="99"/>
              </w:rPr>
              <w:t>$</w:t>
            </w:r>
          </w:p>
        </w:tc>
        <w:tc>
          <w:tcPr>
            <w:tcW w:w="2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64,576</w:t>
            </w:r>
          </w:p>
        </w:tc>
      </w:tr>
      <w:tr>
        <w:trPr>
          <w:trHeight w:val="20"/>
        </w:trPr>
        <w:tc>
          <w:tcPr>
            <w:tcW w:w="6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9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2080" w:type="dxa"/>
            <w:vAlign w:val="bottom"/>
            <w:tcBorders>
              <w:top w:val="single" w:sz="8" w:color="D2DCE5"/>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24" w:lineRule="exact"/>
        <w:rPr>
          <w:sz w:val="20"/>
          <w:szCs w:val="20"/>
          <w:color w:val="auto"/>
        </w:rPr>
      </w:pPr>
    </w:p>
    <w:p>
      <w:pPr>
        <w:ind w:left="180" w:hanging="172"/>
        <w:spacing w:after="0" w:line="219" w:lineRule="auto"/>
        <w:tabs>
          <w:tab w:leader="none" w:pos="11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Initial and other deferred franchise fees are recorded as a contract liability, and revenue is recognized ratably over the term of the franchise agreement, which is generally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131E29"/>
        </w:rPr>
        <w:t>Deferred revenue activity was as follows:</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Beginning balance</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Revenue deferred </w:t>
      </w:r>
      <w:r>
        <w:rPr>
          <w:rFonts w:ascii="Arial" w:cs="Arial" w:eastAsia="Arial" w:hAnsi="Arial"/>
          <w:sz w:val="23"/>
          <w:szCs w:val="23"/>
          <w:color w:val="131E29"/>
          <w:vertAlign w:val="superscript"/>
        </w:rPr>
        <w:t>1</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 xml:space="preserve">Revenue recognized </w:t>
      </w:r>
      <w:r>
        <w:rPr>
          <w:rFonts w:ascii="Arial" w:cs="Arial" w:eastAsia="Arial" w:hAnsi="Arial"/>
          <w:sz w:val="23"/>
          <w:szCs w:val="23"/>
          <w:color w:val="131E29"/>
          <w:vertAlign w:val="superscript"/>
        </w:rPr>
        <w:t>2</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Other deferred revenue, net</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Ending balance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Less: current portion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Deferred revenue, net of current portion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4428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2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2026</w:t>
            </w:r>
          </w:p>
        </w:tc>
        <w:tc>
          <w:tcPr>
            <w:tcW w:w="100" w:type="dxa"/>
            <w:vAlign w:val="bottom"/>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2025</w:t>
            </w:r>
          </w:p>
        </w:tc>
      </w:tr>
      <w:tr>
        <w:trPr>
          <w:trHeight w:val="282"/>
        </w:trPr>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006098"/>
              </w:rPr>
              <w:t>64,576</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131E29"/>
              </w:rPr>
              <w:t>50,883</w:t>
            </w:r>
          </w:p>
        </w:tc>
      </w:tr>
      <w:tr>
        <w:trPr>
          <w:trHeight w:val="262"/>
        </w:trPr>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199,957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126,012</w:t>
            </w:r>
          </w:p>
        </w:tc>
      </w:tr>
      <w:tr>
        <w:trPr>
          <w:trHeight w:val="270"/>
        </w:trPr>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6098"/>
              </w:rPr>
              <w:t>(202,851)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(129,253)</w:t>
            </w:r>
          </w:p>
        </w:tc>
      </w:tr>
      <w:tr>
        <w:trPr>
          <w:trHeight w:val="266"/>
        </w:trPr>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686</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54</w:t>
            </w:r>
          </w:p>
        </w:tc>
      </w:tr>
      <w:tr>
        <w:trPr>
          <w:trHeight w:val="262"/>
        </w:trPr>
        <w:tc>
          <w:tcPr>
            <w:tcW w:w="4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006098"/>
              </w:rPr>
              <w:t>62,368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131E29"/>
              </w:rPr>
              <w:t>47,696</w:t>
            </w:r>
          </w:p>
        </w:tc>
      </w:tr>
      <w:tr>
        <w:trPr>
          <w:trHeight w:val="258"/>
        </w:trPr>
        <w:tc>
          <w:tcPr>
            <w:tcW w:w="4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(56,519)</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(39,711)</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5,849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7,985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-4693285</wp:posOffset>
            </wp:positionH>
            <wp:positionV relativeFrom="paragraph">
              <wp:posOffset>-873760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-530860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-187960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-4693285</wp:posOffset>
            </wp:positionH>
            <wp:positionV relativeFrom="paragraph">
              <wp:posOffset>-1224915</wp:posOffset>
            </wp:positionV>
            <wp:extent cx="713232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83" w:lineRule="exact"/>
        <w:rPr>
          <w:sz w:val="20"/>
          <w:szCs w:val="20"/>
          <w:color w:val="auto"/>
        </w:rPr>
      </w:pPr>
    </w:p>
    <w:p>
      <w:pPr>
        <w:sectPr>
          <w:pgSz w:w="11900" w:h="16838" w:orient="portrait"/>
          <w:cols w:equalWidth="0" w:num="2">
            <w:col w:w="6680" w:space="720"/>
            <w:col w:w="3840"/>
          </w:cols>
          <w:pgMar w:left="320" w:top="130" w:right="339" w:bottom="1440" w:gutter="0" w:footer="0" w:header="0"/>
        </w:sectPr>
      </w:pPr>
    </w:p>
    <w:p>
      <w:pPr>
        <w:ind w:left="80" w:hanging="72"/>
        <w:spacing w:after="0" w:line="213" w:lineRule="auto"/>
        <w:tabs>
          <w:tab w:leader="none" w:pos="80" w:val="left"/>
        </w:tabs>
        <w:numPr>
          <w:ilvl w:val="0"/>
          <w:numId w:val="6"/>
        </w:numPr>
        <w:rPr>
          <w:rFonts w:ascii="Arial" w:cs="Arial" w:eastAsia="Arial" w:hAnsi="Arial"/>
          <w:sz w:val="19"/>
          <w:szCs w:val="19"/>
          <w:color w:val="131E29"/>
          <w:vertAlign w:val="superscript"/>
        </w:rPr>
      </w:pPr>
      <w:r>
        <w:rPr>
          <w:rFonts w:ascii="Arial" w:cs="Arial" w:eastAsia="Arial" w:hAnsi="Arial"/>
          <w:sz w:val="14"/>
          <w:szCs w:val="14"/>
          <w:color w:val="131E29"/>
        </w:rPr>
        <w:t>Revenue deferred includes gift card activations, loyalty app cash loads and loyalty points and rewards earned.</w:t>
      </w:r>
    </w:p>
    <w:p>
      <w:pPr>
        <w:spacing w:after="0" w:line="1" w:lineRule="exact"/>
        <w:rPr>
          <w:sz w:val="20"/>
          <w:szCs w:val="20"/>
          <w:color w:val="auto"/>
        </w:rPr>
      </w:pPr>
    </w:p>
    <w:p>
      <w:pPr>
        <w:ind w:left="80" w:hanging="72"/>
        <w:spacing w:after="0"/>
        <w:tabs>
          <w:tab w:leader="none" w:pos="80" w:val="left"/>
        </w:tabs>
        <w:numPr>
          <w:ilvl w:val="0"/>
          <w:numId w:val="7"/>
        </w:numPr>
        <w:rPr>
          <w:rFonts w:ascii="Arial" w:cs="Arial" w:eastAsia="Arial" w:hAnsi="Arial"/>
          <w:sz w:val="9"/>
          <w:szCs w:val="9"/>
          <w:color w:val="131E29"/>
        </w:rPr>
      </w:pPr>
      <w:r>
        <w:rPr>
          <w:rFonts w:ascii="Arial" w:cs="Arial" w:eastAsia="Arial" w:hAnsi="Arial"/>
          <w:sz w:val="14"/>
          <w:szCs w:val="14"/>
          <w:color w:val="131E29"/>
        </w:rPr>
        <w:t>Revenue recognized includes redemptions of gift cards, loyalty app cash loads and rewards, as well as expirations.</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Revenue recognized during the three months ended March 31, 2026, and 2025 that was included in the deferred revenue liability balances at the beginning of the period, are shown below.</w:t>
      </w:r>
    </w:p>
    <w:p>
      <w:pPr>
        <w:spacing w:after="0" w:line="15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34925</wp:posOffset>
            </wp:positionV>
            <wp:extent cx="24345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42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4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Gift card redemptions </w:t>
            </w:r>
            <w:r>
              <w:rPr>
                <w:rFonts w:ascii="Arial" w:cs="Arial" w:eastAsia="Arial" w:hAnsi="Arial"/>
                <w:sz w:val="23"/>
                <w:szCs w:val="23"/>
                <w:color w:val="131E29"/>
                <w:vertAlign w:val="superscript"/>
              </w:rPr>
              <w:t>1</w:t>
            </w: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006098"/>
                <w:w w:val="9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5,562</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131E29"/>
                <w:w w:val="9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5,092</w:t>
            </w:r>
          </w:p>
        </w:tc>
      </w:tr>
      <w:tr>
        <w:trPr>
          <w:trHeight w:val="307"/>
        </w:trPr>
        <w:tc>
          <w:tcPr>
            <w:tcW w:w="7320" w:type="dxa"/>
            <w:vAlign w:val="bottom"/>
          </w:tcPr>
          <w:p>
            <w:pPr>
              <w:spacing w:after="0"/>
              <w:rPr>
                <w:sz w:val="20"/>
                <w:szCs w:val="20"/>
                <w:color w:val="auto"/>
              </w:rPr>
            </w:pPr>
            <w:r>
              <w:rPr>
                <w:rFonts w:ascii="Arial" w:cs="Arial" w:eastAsia="Arial" w:hAnsi="Arial"/>
                <w:sz w:val="18"/>
                <w:szCs w:val="18"/>
                <w:color w:val="131E29"/>
              </w:rPr>
              <w:t>_____________________</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ind w:left="220" w:hanging="212"/>
        <w:spacing w:after="0" w:line="202" w:lineRule="auto"/>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131E29"/>
        </w:rPr>
        <w:t>Amounts exclude cash loads and transactions related to our loyalty rewards program.</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4 — Organization Realignment and Restructurings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131E29"/>
        </w:rPr>
        <w:t>On January 29, 2024, our Board of Directors approved an organizational realignment and restructuring plan to expand support operations at our Phoenix, Arizona office. As part of this large-scale initiative, we relocated certain support center staff from our Grants Pass, Oregon headquarters to the Phoenix office. As of March 31, 2025, this initiative was substantially complete, including the build-out and move into our new Phoenix office location. We incurred total aggregate charges of approximately $19.1 million related to this initiative, consisting of (i) approximately $16.6 million in employee-related costs, including relocation, retention and transition costs, termination benefits, and duplicate transition wages and benefits; and (ii) approximately $2.5 million in other costs, including the donation of a building, consulting fees, and duplicate rent. Substantially all of the charges have resulted in current or expected future cash expenditures.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On May 13, 2025, our Board of Directors approved the plan for an additional restructuring program, primarily related to the relocation and streamlining of our remaining back-office operations from our former Grants Pass, Oregon headquarters to our newly-designated Phoenix office corporate headquarters. Affected employees were either offered an opportunity to relocate and continue employment in the Phoenix office or were offered a severance package. As of March 31, 2026, this initiative was substantially complete. We have incurred approximately $8.6 million in charges for this program consisting of (i) employee-related costs, including relocation, retention and transition costs, termination benefits, and duplicate transition wages and benefits; and (ii) other costs, including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During the three months ended March 31, 2026 and 2025, we recorded restructuring charges for employee-related and other costs in selling, general and administrative expenses on the condensed consolidated statements of operations as follows:</w:t>
      </w:r>
    </w:p>
    <w:p>
      <w:pPr>
        <w:spacing w:after="0" w:line="15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34925</wp:posOffset>
            </wp:positionV>
            <wp:extent cx="2425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4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42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006098"/>
                <w:w w:val="9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697</w:t>
            </w:r>
          </w:p>
        </w:tc>
        <w:tc>
          <w:tcPr>
            <w:tcW w:w="100" w:type="dxa"/>
            <w:vAlign w:val="bottom"/>
            <w:shd w:val="clear" w:color="auto" w:fill="D2DCE5"/>
          </w:tcPr>
          <w:p>
            <w:pPr>
              <w:spacing w:after="0"/>
              <w:rPr>
                <w:sz w:val="23"/>
                <w:szCs w:val="23"/>
                <w:color w:val="auto"/>
              </w:rPr>
            </w:pPr>
          </w:p>
        </w:tc>
        <w:tc>
          <w:tcPr>
            <w:tcW w:w="42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w w:val="9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531</w:t>
            </w:r>
          </w:p>
        </w:tc>
      </w:tr>
      <w:tr>
        <w:trPr>
          <w:trHeight w:val="270"/>
        </w:trPr>
        <w:tc>
          <w:tcPr>
            <w:tcW w:w="742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Termination benefits</w:t>
            </w:r>
          </w:p>
        </w:tc>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717</w:t>
            </w:r>
          </w:p>
        </w:tc>
        <w:tc>
          <w:tcPr>
            <w:tcW w:w="100" w:type="dxa"/>
            <w:vAlign w:val="bottom"/>
            <w:tcBorders>
              <w:bottom w:val="single" w:sz="8" w:color="D2DCE5"/>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478</w:t>
            </w:r>
          </w:p>
        </w:tc>
      </w:tr>
      <w:tr>
        <w:trPr>
          <w:trHeight w:val="250"/>
        </w:trPr>
        <w:tc>
          <w:tcPr>
            <w:tcW w:w="7420" w:type="dxa"/>
            <w:vAlign w:val="bottom"/>
            <w:gridSpan w:val="2"/>
            <w:shd w:val="clear" w:color="auto" w:fill="D2DCE5"/>
          </w:tcPr>
          <w:p>
            <w:pPr>
              <w:ind w:left="100"/>
              <w:spacing w:after="0"/>
              <w:rPr>
                <w:sz w:val="20"/>
                <w:szCs w:val="20"/>
                <w:color w:val="auto"/>
              </w:rPr>
            </w:pPr>
            <w:r>
              <w:rPr>
                <w:rFonts w:ascii="Arial" w:cs="Arial" w:eastAsia="Arial" w:hAnsi="Arial"/>
                <w:sz w:val="18"/>
                <w:szCs w:val="18"/>
                <w:color w:val="131E29"/>
              </w:rPr>
              <w:t>Total employee-related costs</w:t>
            </w:r>
          </w:p>
        </w:tc>
        <w:tc>
          <w:tcPr>
            <w:tcW w:w="420" w:type="dxa"/>
            <w:vAlign w:val="bottom"/>
            <w:tcBorders>
              <w:bottom w:val="single" w:sz="8" w:color="auto"/>
            </w:tcBorders>
            <w:shd w:val="clear" w:color="auto" w:fill="D2DCE5"/>
          </w:tcPr>
          <w:p>
            <w:pPr>
              <w:spacing w:after="0"/>
              <w:rPr>
                <w:sz w:val="21"/>
                <w:szCs w:val="21"/>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1,414</w:t>
            </w:r>
          </w:p>
        </w:tc>
        <w:tc>
          <w:tcPr>
            <w:tcW w:w="100" w:type="dxa"/>
            <w:vAlign w:val="bottom"/>
            <w:shd w:val="clear" w:color="auto" w:fill="D2DCE5"/>
          </w:tcPr>
          <w:p>
            <w:pPr>
              <w:spacing w:after="0"/>
              <w:rPr>
                <w:sz w:val="21"/>
                <w:szCs w:val="21"/>
                <w:color w:val="auto"/>
              </w:rPr>
            </w:pPr>
          </w:p>
        </w:tc>
        <w:tc>
          <w:tcPr>
            <w:tcW w:w="420" w:type="dxa"/>
            <w:vAlign w:val="bottom"/>
            <w:tcBorders>
              <w:bottom w:val="single" w:sz="8" w:color="auto"/>
            </w:tcBorders>
            <w:shd w:val="clear" w:color="auto" w:fill="D2DCE5"/>
          </w:tcPr>
          <w:p>
            <w:pPr>
              <w:spacing w:after="0"/>
              <w:rPr>
                <w:sz w:val="21"/>
                <w:szCs w:val="21"/>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1,009</w:t>
            </w:r>
          </w:p>
        </w:tc>
      </w:tr>
      <w:tr>
        <w:trPr>
          <w:trHeight w:val="250"/>
        </w:trPr>
        <w:tc>
          <w:tcPr>
            <w:tcW w:w="7420" w:type="dxa"/>
            <w:vAlign w:val="bottom"/>
            <w:gridSpan w:val="2"/>
          </w:tcPr>
          <w:p>
            <w:pPr>
              <w:ind w:left="20"/>
              <w:spacing w:after="0"/>
              <w:rPr>
                <w:sz w:val="20"/>
                <w:szCs w:val="20"/>
                <w:color w:val="auto"/>
              </w:rPr>
            </w:pPr>
            <w:r>
              <w:rPr>
                <w:rFonts w:ascii="Arial" w:cs="Arial" w:eastAsia="Arial" w:hAnsi="Arial"/>
                <w:sz w:val="18"/>
                <w:szCs w:val="18"/>
                <w:color w:val="131E29"/>
              </w:rPr>
              <w:t>Duplicate rent</w:t>
            </w:r>
          </w:p>
        </w:tc>
        <w:tc>
          <w:tcPr>
            <w:tcW w:w="4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006098"/>
              </w:rPr>
              <w: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244</w:t>
            </w:r>
          </w:p>
        </w:tc>
      </w:tr>
      <w:tr>
        <w:trPr>
          <w:trHeight w:val="270"/>
        </w:trPr>
        <w:tc>
          <w:tcPr>
            <w:tcW w:w="74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Consulting</w:t>
            </w:r>
          </w:p>
        </w:tc>
        <w:tc>
          <w:tcPr>
            <w:tcW w:w="420" w:type="dxa"/>
            <w:vAlign w:val="bottom"/>
            <w:tcBorders>
              <w:bottom w:val="single" w:sz="8" w:color="auto"/>
            </w:tcBorders>
            <w:shd w:val="clear" w:color="auto" w:fill="D2DCE5"/>
          </w:tcPr>
          <w:p>
            <w:pPr>
              <w:spacing w:after="0"/>
              <w:rPr>
                <w:sz w:val="23"/>
                <w:szCs w:val="23"/>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201</w:t>
            </w:r>
          </w:p>
        </w:tc>
        <w:tc>
          <w:tcPr>
            <w:tcW w:w="100" w:type="dxa"/>
            <w:vAlign w:val="bottom"/>
            <w:shd w:val="clear" w:color="auto" w:fill="D2DCE5"/>
          </w:tcPr>
          <w:p>
            <w:pPr>
              <w:spacing w:after="0"/>
              <w:rPr>
                <w:sz w:val="23"/>
                <w:szCs w:val="23"/>
                <w:color w:val="auto"/>
              </w:rPr>
            </w:pPr>
          </w:p>
        </w:tc>
        <w:tc>
          <w:tcPr>
            <w:tcW w:w="420" w:type="dxa"/>
            <w:vAlign w:val="bottom"/>
            <w:tcBorders>
              <w:bottom w:val="single" w:sz="8" w:color="auto"/>
            </w:tcBorders>
            <w:shd w:val="clear" w:color="auto" w:fill="D2DCE5"/>
          </w:tcPr>
          <w:p>
            <w:pPr>
              <w:spacing w:after="0"/>
              <w:rPr>
                <w:sz w:val="23"/>
                <w:szCs w:val="23"/>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(25)</w:t>
            </w:r>
          </w:p>
        </w:tc>
      </w:tr>
      <w:tr>
        <w:trPr>
          <w:trHeight w:val="250"/>
        </w:trPr>
        <w:tc>
          <w:tcPr>
            <w:tcW w:w="7420" w:type="dxa"/>
            <w:vAlign w:val="bottom"/>
            <w:tcBorders>
              <w:bottom w:val="single" w:sz="8" w:color="D2DCE5"/>
            </w:tcBorders>
            <w:gridSpan w:val="2"/>
          </w:tcPr>
          <w:p>
            <w:pPr>
              <w:ind w:left="140"/>
              <w:spacing w:after="0"/>
              <w:rPr>
                <w:sz w:val="20"/>
                <w:szCs w:val="20"/>
                <w:color w:val="auto"/>
              </w:rPr>
            </w:pPr>
            <w:r>
              <w:rPr>
                <w:rFonts w:ascii="Arial" w:cs="Arial" w:eastAsia="Arial" w:hAnsi="Arial"/>
                <w:sz w:val="18"/>
                <w:szCs w:val="18"/>
                <w:color w:val="131E29"/>
              </w:rPr>
              <w:t>Total other costs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201</w:t>
            </w:r>
          </w:p>
        </w:tc>
        <w:tc>
          <w:tcPr>
            <w:tcW w:w="100" w:type="dxa"/>
            <w:vAlign w:val="bottom"/>
            <w:tcBorders>
              <w:bottom w:val="single" w:sz="8" w:color="D2DCE5"/>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219</w:t>
            </w:r>
          </w:p>
        </w:tc>
      </w:tr>
      <w:tr>
        <w:trPr>
          <w:trHeight w:val="248"/>
        </w:trPr>
        <w:tc>
          <w:tcPr>
            <w:tcW w:w="7420" w:type="dxa"/>
            <w:vAlign w:val="bottom"/>
            <w:tcBorders>
              <w:bottom w:val="single" w:sz="8" w:color="D2DCE5"/>
            </w:tcBorders>
            <w:gridSpan w:val="2"/>
            <w:shd w:val="clear" w:color="auto" w:fill="D2DCE5"/>
          </w:tcPr>
          <w:p>
            <w:pPr>
              <w:ind w:left="220"/>
              <w:spacing w:after="0"/>
              <w:rPr>
                <w:sz w:val="20"/>
                <w:szCs w:val="20"/>
                <w:color w:val="auto"/>
              </w:rPr>
            </w:pPr>
            <w:r>
              <w:rPr>
                <w:rFonts w:ascii="Arial" w:cs="Arial" w:eastAsia="Arial" w:hAnsi="Arial"/>
                <w:sz w:val="18"/>
                <w:szCs w:val="18"/>
                <w:b w:val="1"/>
                <w:bCs w:val="1"/>
                <w:color w:val="131E29"/>
              </w:rPr>
              <w:t>Total restructuring costs incurred</w:t>
            </w:r>
          </w:p>
        </w:tc>
        <w:tc>
          <w:tcPr>
            <w:tcW w:w="420" w:type="dxa"/>
            <w:vAlign w:val="bottom"/>
            <w:tcBorders>
              <w:bottom w:val="single" w:sz="8" w:color="auto"/>
            </w:tcBorders>
            <w:shd w:val="clear" w:color="auto" w:fill="D2DCE5"/>
          </w:tcPr>
          <w:p>
            <w:pPr>
              <w:jc w:val="right"/>
              <w:ind w:right="210"/>
              <w:spacing w:after="0"/>
              <w:rPr>
                <w:sz w:val="20"/>
                <w:szCs w:val="20"/>
                <w:color w:val="auto"/>
              </w:rPr>
            </w:pPr>
            <w:r>
              <w:rPr>
                <w:rFonts w:ascii="Arial" w:cs="Arial" w:eastAsia="Arial" w:hAnsi="Arial"/>
                <w:sz w:val="18"/>
                <w:szCs w:val="18"/>
                <w:b w:val="1"/>
                <w:bCs w:val="1"/>
                <w:color w:val="006098"/>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1,615</w:t>
            </w:r>
          </w:p>
        </w:tc>
        <w:tc>
          <w:tcPr>
            <w:tcW w:w="100" w:type="dxa"/>
            <w:vAlign w:val="bottom"/>
            <w:tcBorders>
              <w:bottom w:val="single" w:sz="8" w:color="D2DCE5"/>
            </w:tcBorders>
            <w:shd w:val="clear" w:color="auto" w:fill="D2DCE5"/>
          </w:tcPr>
          <w:p>
            <w:pPr>
              <w:spacing w:after="0"/>
              <w:rPr>
                <w:sz w:val="21"/>
                <w:szCs w:val="21"/>
                <w:color w:val="auto"/>
              </w:rPr>
            </w:pPr>
          </w:p>
        </w:tc>
        <w:tc>
          <w:tcPr>
            <w:tcW w:w="420" w:type="dxa"/>
            <w:vAlign w:val="bottom"/>
            <w:tcBorders>
              <w:bottom w:val="single" w:sz="8" w:color="auto"/>
            </w:tcBorders>
            <w:shd w:val="clear" w:color="auto" w:fill="D2DCE5"/>
          </w:tcPr>
          <w:p>
            <w:pPr>
              <w:jc w:val="right"/>
              <w:ind w:right="210"/>
              <w:spacing w:after="0"/>
              <w:rPr>
                <w:sz w:val="20"/>
                <w:szCs w:val="20"/>
                <w:color w:val="auto"/>
              </w:rPr>
            </w:pPr>
            <w:r>
              <w:rPr>
                <w:rFonts w:ascii="Arial" w:cs="Arial" w:eastAsia="Arial" w:hAnsi="Arial"/>
                <w:sz w:val="18"/>
                <w:szCs w:val="18"/>
                <w:b w:val="1"/>
                <w:bCs w:val="1"/>
                <w:color w:val="131E29"/>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1,228</w:t>
            </w:r>
          </w:p>
        </w:tc>
      </w:tr>
      <w:tr>
        <w:trPr>
          <w:trHeight w:val="20"/>
        </w:trPr>
        <w:tc>
          <w:tcPr>
            <w:tcW w:w="73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of March 31, 2026 and 2025, the accruals for corporate restructuring costs are included in accounts payable, and other current liabilities on the condensed consolidated balance sheets. The following table summarizes the activity for the restructuring liabilities during the three months ended March 31,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800" w:type="dxa"/>
            <w:vAlign w:val="bottom"/>
            <w:tcBorders>
              <w:bottom w:val="single" w:sz="8" w:color="D7282F"/>
            </w:tcBorders>
            <w:gridSpan w:val="2"/>
          </w:tcPr>
          <w:p>
            <w:pPr>
              <w:jc w:val="right"/>
              <w:spacing w:after="0"/>
              <w:rPr>
                <w:sz w:val="20"/>
                <w:szCs w:val="20"/>
                <w:color w:val="auto"/>
              </w:rPr>
            </w:pPr>
            <w:r>
              <w:rPr>
                <w:rFonts w:ascii="Arial" w:cs="Arial" w:eastAsia="Arial" w:hAnsi="Arial"/>
                <w:sz w:val="18"/>
                <w:szCs w:val="18"/>
                <w:b w:val="1"/>
                <w:bCs w:val="1"/>
                <w:color w:val="131E29"/>
              </w:rPr>
              <w:t>December 31, 2025</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D7282F"/>
            </w:tcBorders>
          </w:tcPr>
          <w:p>
            <w:pPr>
              <w:spacing w:after="0"/>
              <w:rPr>
                <w:sz w:val="22"/>
                <w:szCs w:val="22"/>
                <w:color w:val="auto"/>
              </w:rPr>
            </w:pPr>
          </w:p>
        </w:tc>
        <w:tc>
          <w:tcPr>
            <w:tcW w:w="120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Charges</w:t>
            </w:r>
          </w:p>
        </w:tc>
        <w:tc>
          <w:tcPr>
            <w:tcW w:w="100" w:type="dxa"/>
            <w:vAlign w:val="bottom"/>
            <w:tcBorders>
              <w:bottom w:val="single" w:sz="8" w:color="D2DCE5"/>
            </w:tcBorders>
          </w:tcPr>
          <w:p>
            <w:pPr>
              <w:spacing w:after="0"/>
              <w:rPr>
                <w:sz w:val="22"/>
                <w:szCs w:val="22"/>
                <w:color w:val="auto"/>
              </w:rPr>
            </w:pPr>
          </w:p>
        </w:tc>
        <w:tc>
          <w:tcPr>
            <w:tcW w:w="1440" w:type="dxa"/>
            <w:vAlign w:val="bottom"/>
            <w:tcBorders>
              <w:bottom w:val="single" w:sz="8" w:color="D7282F"/>
            </w:tcBorders>
            <w:gridSpan w:val="2"/>
          </w:tcPr>
          <w:p>
            <w:pPr>
              <w:jc w:val="right"/>
              <w:spacing w:after="0"/>
              <w:rPr>
                <w:sz w:val="20"/>
                <w:szCs w:val="20"/>
                <w:color w:val="auto"/>
              </w:rPr>
            </w:pPr>
            <w:r>
              <w:rPr>
                <w:rFonts w:ascii="Arial" w:cs="Arial" w:eastAsia="Arial" w:hAnsi="Arial"/>
                <w:sz w:val="18"/>
                <w:szCs w:val="18"/>
                <w:b w:val="1"/>
                <w:bCs w:val="1"/>
                <w:color w:val="131E29"/>
              </w:rPr>
              <w:t>Cash Payments</w:t>
            </w:r>
          </w:p>
        </w:tc>
        <w:tc>
          <w:tcPr>
            <w:tcW w:w="100" w:type="dxa"/>
            <w:vAlign w:val="bottom"/>
            <w:tcBorders>
              <w:bottom w:val="single" w:sz="8" w:color="D2DCE5"/>
            </w:tcBorders>
          </w:tcPr>
          <w:p>
            <w:pPr>
              <w:spacing w:after="0"/>
              <w:rPr>
                <w:sz w:val="22"/>
                <w:szCs w:val="22"/>
                <w:color w:val="auto"/>
              </w:rPr>
            </w:pPr>
          </w:p>
        </w:tc>
        <w:tc>
          <w:tcPr>
            <w:tcW w:w="180" w:type="dxa"/>
            <w:vAlign w:val="bottom"/>
            <w:tcBorders>
              <w:bottom w:val="single" w:sz="8" w:color="D7282F"/>
            </w:tcBorders>
          </w:tcPr>
          <w:p>
            <w:pPr>
              <w:spacing w:after="0"/>
              <w:rPr>
                <w:sz w:val="22"/>
                <w:szCs w:val="22"/>
                <w:color w:val="auto"/>
              </w:rPr>
            </w:pPr>
          </w:p>
        </w:tc>
        <w:tc>
          <w:tcPr>
            <w:tcW w:w="162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March 31, 2026</w:t>
            </w:r>
          </w:p>
        </w:tc>
      </w:tr>
      <w:tr>
        <w:trPr>
          <w:trHeight w:val="270"/>
        </w:trPr>
        <w:tc>
          <w:tcPr>
            <w:tcW w:w="44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Relocation and travel costs</w:t>
            </w:r>
          </w:p>
        </w:tc>
        <w:tc>
          <w:tcPr>
            <w:tcW w:w="700" w:type="dxa"/>
            <w:vAlign w:val="bottom"/>
            <w:shd w:val="clear" w:color="auto" w:fill="D2DCE5"/>
          </w:tcPr>
          <w:p>
            <w:pPr>
              <w:jc w:val="right"/>
              <w:ind w:right="490"/>
              <w:spacing w:after="0"/>
              <w:rPr>
                <w:sz w:val="20"/>
                <w:szCs w:val="20"/>
                <w:color w:val="auto"/>
              </w:rPr>
            </w:pPr>
            <w:r>
              <w:rPr>
                <w:rFonts w:ascii="Arial" w:cs="Arial" w:eastAsia="Arial" w:hAnsi="Arial"/>
                <w:sz w:val="18"/>
                <w:szCs w:val="18"/>
                <w:color w:val="131E29"/>
                <w:w w:val="9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168</w:t>
            </w:r>
          </w:p>
        </w:tc>
        <w:tc>
          <w:tcPr>
            <w:tcW w:w="100" w:type="dxa"/>
            <w:vAlign w:val="bottom"/>
            <w:shd w:val="clear" w:color="auto" w:fill="D2DCE5"/>
          </w:tcPr>
          <w:p>
            <w:pPr>
              <w:spacing w:after="0"/>
              <w:rPr>
                <w:sz w:val="23"/>
                <w:szCs w:val="23"/>
                <w:color w:val="auto"/>
              </w:rPr>
            </w:pPr>
          </w:p>
        </w:tc>
        <w:tc>
          <w:tcPr>
            <w:tcW w:w="240" w:type="dxa"/>
            <w:vAlign w:val="bottom"/>
            <w:shd w:val="clear" w:color="auto" w:fill="D2DCE5"/>
          </w:tcPr>
          <w:p>
            <w:pPr>
              <w:jc w:val="right"/>
              <w:ind w:right="30"/>
              <w:spacing w:after="0"/>
              <w:rPr>
                <w:sz w:val="20"/>
                <w:szCs w:val="20"/>
                <w:color w:val="auto"/>
              </w:rPr>
            </w:pPr>
            <w:r>
              <w:rPr>
                <w:rFonts w:ascii="Arial" w:cs="Arial" w:eastAsia="Arial" w:hAnsi="Arial"/>
                <w:sz w:val="18"/>
                <w:szCs w:val="18"/>
                <w:color w:val="006098"/>
                <w:w w:val="9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697</w:t>
            </w: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jc w:val="right"/>
              <w:ind w:right="270"/>
              <w:spacing w:after="0"/>
              <w:rPr>
                <w:sz w:val="20"/>
                <w:szCs w:val="20"/>
                <w:color w:val="auto"/>
              </w:rPr>
            </w:pPr>
            <w:r>
              <w:rPr>
                <w:rFonts w:ascii="Arial" w:cs="Arial" w:eastAsia="Arial" w:hAnsi="Arial"/>
                <w:sz w:val="18"/>
                <w:szCs w:val="18"/>
                <w:color w:val="006098"/>
                <w:w w:val="99"/>
              </w:rPr>
              <w:t>$</w:t>
            </w:r>
          </w:p>
        </w:tc>
        <w:tc>
          <w:tcPr>
            <w:tcW w:w="9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(786)</w:t>
            </w:r>
          </w:p>
        </w:tc>
        <w:tc>
          <w:tcPr>
            <w:tcW w:w="100" w:type="dxa"/>
            <w:vAlign w:val="bottom"/>
            <w:shd w:val="clear" w:color="auto" w:fill="D2DCE5"/>
          </w:tcPr>
          <w:p>
            <w:pPr>
              <w:spacing w:after="0"/>
              <w:rPr>
                <w:sz w:val="23"/>
                <w:szCs w:val="23"/>
                <w:color w:val="auto"/>
              </w:rPr>
            </w:pPr>
          </w:p>
        </w:tc>
        <w:tc>
          <w:tcPr>
            <w:tcW w:w="18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79</w:t>
            </w:r>
          </w:p>
        </w:tc>
      </w:tr>
      <w:tr>
        <w:trPr>
          <w:trHeight w:val="270"/>
        </w:trPr>
        <w:tc>
          <w:tcPr>
            <w:tcW w:w="44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Termination benefits</w:t>
            </w:r>
          </w:p>
        </w:tc>
        <w:tc>
          <w:tcPr>
            <w:tcW w:w="7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1,947</w:t>
            </w:r>
          </w:p>
        </w:tc>
        <w:tc>
          <w:tcPr>
            <w:tcW w:w="100" w:type="dxa"/>
            <w:vAlign w:val="bottom"/>
            <w:tcBorders>
              <w:bottom w:val="single" w:sz="8" w:color="D2DCE5"/>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717</w:t>
            </w:r>
          </w:p>
        </w:tc>
        <w:tc>
          <w:tcPr>
            <w:tcW w:w="100" w:type="dxa"/>
            <w:vAlign w:val="bottom"/>
            <w:tcBorders>
              <w:bottom w:val="single" w:sz="8" w:color="D2DCE5"/>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(1,225)</w:t>
            </w:r>
          </w:p>
        </w:tc>
        <w:tc>
          <w:tcPr>
            <w:tcW w:w="100" w:type="dxa"/>
            <w:vAlign w:val="bottom"/>
            <w:tcBorders>
              <w:bottom w:val="single" w:sz="8" w:color="D2DCE5"/>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1,439</w:t>
            </w:r>
          </w:p>
        </w:tc>
      </w:tr>
      <w:tr>
        <w:trPr>
          <w:trHeight w:val="264"/>
        </w:trPr>
        <w:tc>
          <w:tcPr>
            <w:tcW w:w="4440" w:type="dxa"/>
            <w:vAlign w:val="bottom"/>
            <w:gridSpan w:val="2"/>
            <w:shd w:val="clear" w:color="auto" w:fill="D2DCE5"/>
          </w:tcPr>
          <w:p>
            <w:pPr>
              <w:ind w:left="100"/>
              <w:spacing w:after="0"/>
              <w:rPr>
                <w:sz w:val="20"/>
                <w:szCs w:val="20"/>
                <w:color w:val="auto"/>
              </w:rPr>
            </w:pPr>
            <w:r>
              <w:rPr>
                <w:rFonts w:ascii="Arial" w:cs="Arial" w:eastAsia="Arial" w:hAnsi="Arial"/>
                <w:sz w:val="18"/>
                <w:szCs w:val="18"/>
                <w:color w:val="131E29"/>
              </w:rPr>
              <w:t>Total employee-related costs</w:t>
            </w:r>
          </w:p>
        </w:tc>
        <w:tc>
          <w:tcPr>
            <w:tcW w:w="700" w:type="dxa"/>
            <w:vAlign w:val="bottom"/>
            <w:tcBorders>
              <w:bottom w:val="single" w:sz="8" w:color="auto"/>
            </w:tcBorders>
            <w:shd w:val="clear" w:color="auto" w:fill="D2DCE5"/>
          </w:tcPr>
          <w:p>
            <w:pPr>
              <w:spacing w:after="0"/>
              <w:rPr>
                <w:sz w:val="22"/>
                <w:szCs w:val="22"/>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2,115</w:t>
            </w:r>
          </w:p>
        </w:tc>
        <w:tc>
          <w:tcPr>
            <w:tcW w:w="100" w:type="dxa"/>
            <w:vAlign w:val="bottom"/>
            <w:shd w:val="clear" w:color="auto" w:fill="D2DCE5"/>
          </w:tcPr>
          <w:p>
            <w:pPr>
              <w:spacing w:after="0"/>
              <w:rPr>
                <w:sz w:val="22"/>
                <w:szCs w:val="22"/>
                <w:color w:val="auto"/>
              </w:rPr>
            </w:pPr>
          </w:p>
        </w:tc>
        <w:tc>
          <w:tcPr>
            <w:tcW w:w="240" w:type="dxa"/>
            <w:vAlign w:val="bottom"/>
            <w:tcBorders>
              <w:bottom w:val="single" w:sz="8" w:color="auto"/>
            </w:tcBorders>
            <w:shd w:val="clear" w:color="auto" w:fill="D2DCE5"/>
          </w:tcPr>
          <w:p>
            <w:pPr>
              <w:spacing w:after="0"/>
              <w:rPr>
                <w:sz w:val="22"/>
                <w:szCs w:val="22"/>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1,414</w:t>
            </w:r>
          </w:p>
        </w:tc>
        <w:tc>
          <w:tcPr>
            <w:tcW w:w="100" w:type="dxa"/>
            <w:vAlign w:val="bottom"/>
            <w:shd w:val="clear" w:color="auto" w:fill="D2DCE5"/>
          </w:tcPr>
          <w:p>
            <w:pPr>
              <w:spacing w:after="0"/>
              <w:rPr>
                <w:sz w:val="22"/>
                <w:szCs w:val="22"/>
                <w:color w:val="auto"/>
              </w:rPr>
            </w:pPr>
          </w:p>
        </w:tc>
        <w:tc>
          <w:tcPr>
            <w:tcW w:w="480" w:type="dxa"/>
            <w:vAlign w:val="bottom"/>
            <w:tcBorders>
              <w:bottom w:val="single" w:sz="8" w:color="auto"/>
            </w:tcBorders>
            <w:shd w:val="clear" w:color="auto" w:fill="D2DCE5"/>
          </w:tcPr>
          <w:p>
            <w:pPr>
              <w:spacing w:after="0"/>
              <w:rPr>
                <w:sz w:val="22"/>
                <w:szCs w:val="22"/>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(2,011)</w:t>
            </w:r>
          </w:p>
        </w:tc>
        <w:tc>
          <w:tcPr>
            <w:tcW w:w="100" w:type="dxa"/>
            <w:vAlign w:val="bottom"/>
            <w:shd w:val="clear" w:color="auto" w:fill="D2DCE5"/>
          </w:tcPr>
          <w:p>
            <w:pPr>
              <w:spacing w:after="0"/>
              <w:rPr>
                <w:sz w:val="22"/>
                <w:szCs w:val="22"/>
                <w:color w:val="auto"/>
              </w:rPr>
            </w:pPr>
          </w:p>
        </w:tc>
        <w:tc>
          <w:tcPr>
            <w:tcW w:w="180" w:type="dxa"/>
            <w:vAlign w:val="bottom"/>
            <w:tcBorders>
              <w:bottom w:val="single" w:sz="8" w:color="auto"/>
            </w:tcBorders>
            <w:shd w:val="clear" w:color="auto" w:fill="D2DCE5"/>
          </w:tcPr>
          <w:p>
            <w:pPr>
              <w:spacing w:after="0"/>
              <w:rPr>
                <w:sz w:val="22"/>
                <w:szCs w:val="22"/>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1,518</w:t>
            </w:r>
          </w:p>
        </w:tc>
      </w:tr>
      <w:tr>
        <w:trPr>
          <w:trHeight w:val="263"/>
        </w:trPr>
        <w:tc>
          <w:tcPr>
            <w:tcW w:w="44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Consulting</w:t>
            </w: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9</w:t>
            </w:r>
          </w:p>
        </w:tc>
        <w:tc>
          <w:tcPr>
            <w:tcW w:w="100" w:type="dxa"/>
            <w:vAlign w:val="bottom"/>
            <w:tcBorders>
              <w:bottom w:val="single" w:sz="8" w:color="D2DCE5"/>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201</w:t>
            </w:r>
          </w:p>
        </w:tc>
        <w:tc>
          <w:tcPr>
            <w:tcW w:w="100" w:type="dxa"/>
            <w:vAlign w:val="bottom"/>
            <w:tcBorders>
              <w:bottom w:val="single" w:sz="8" w:color="D2DCE5"/>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(158)</w:t>
            </w:r>
          </w:p>
        </w:tc>
        <w:tc>
          <w:tcPr>
            <w:tcW w:w="100" w:type="dxa"/>
            <w:vAlign w:val="bottom"/>
            <w:tcBorders>
              <w:bottom w:val="single" w:sz="8" w:color="D2DCE5"/>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52</w:t>
            </w:r>
          </w:p>
        </w:tc>
      </w:tr>
      <w:tr>
        <w:trPr>
          <w:trHeight w:val="288"/>
        </w:trPr>
        <w:tc>
          <w:tcPr>
            <w:tcW w:w="4440" w:type="dxa"/>
            <w:vAlign w:val="bottom"/>
            <w:tcBorders>
              <w:bottom w:val="single" w:sz="8" w:color="D2DCE5"/>
            </w:tcBorders>
            <w:gridSpan w:val="2"/>
            <w:shd w:val="clear" w:color="auto" w:fill="D2DCE5"/>
          </w:tcPr>
          <w:p>
            <w:pPr>
              <w:ind w:left="220"/>
              <w:spacing w:after="0"/>
              <w:rPr>
                <w:sz w:val="20"/>
                <w:szCs w:val="20"/>
                <w:color w:val="auto"/>
              </w:rPr>
            </w:pPr>
            <w:r>
              <w:rPr>
                <w:rFonts w:ascii="Arial" w:cs="Arial" w:eastAsia="Arial" w:hAnsi="Arial"/>
                <w:sz w:val="18"/>
                <w:szCs w:val="18"/>
                <w:b w:val="1"/>
                <w:bCs w:val="1"/>
                <w:color w:val="131E29"/>
              </w:rPr>
              <w:t>Totals</w:t>
            </w:r>
          </w:p>
        </w:tc>
        <w:tc>
          <w:tcPr>
            <w:tcW w:w="700" w:type="dxa"/>
            <w:vAlign w:val="bottom"/>
            <w:tcBorders>
              <w:bottom w:val="single" w:sz="8" w:color="auto"/>
            </w:tcBorders>
            <w:shd w:val="clear" w:color="auto" w:fill="D2DCE5"/>
          </w:tcPr>
          <w:p>
            <w:pPr>
              <w:jc w:val="right"/>
              <w:ind w:right="490"/>
              <w:spacing w:after="0"/>
              <w:rPr>
                <w:sz w:val="20"/>
                <w:szCs w:val="20"/>
                <w:color w:val="auto"/>
              </w:rPr>
            </w:pPr>
            <w:r>
              <w:rPr>
                <w:rFonts w:ascii="Arial" w:cs="Arial" w:eastAsia="Arial" w:hAnsi="Arial"/>
                <w:sz w:val="18"/>
                <w:szCs w:val="18"/>
                <w:b w:val="1"/>
                <w:bCs w:val="1"/>
                <w:color w:val="131E29"/>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2,124</w:t>
            </w:r>
          </w:p>
        </w:tc>
        <w:tc>
          <w:tcPr>
            <w:tcW w:w="100" w:type="dxa"/>
            <w:vAlign w:val="bottom"/>
            <w:tcBorders>
              <w:bottom w:val="single" w:sz="8" w:color="D2DCE5"/>
            </w:tcBorders>
            <w:shd w:val="clear" w:color="auto" w:fill="D2DCE5"/>
          </w:tcPr>
          <w:p>
            <w:pPr>
              <w:spacing w:after="0"/>
              <w:rPr>
                <w:sz w:val="24"/>
                <w:szCs w:val="24"/>
                <w:color w:val="auto"/>
              </w:rPr>
            </w:pPr>
          </w:p>
        </w:tc>
        <w:tc>
          <w:tcPr>
            <w:tcW w:w="240" w:type="dxa"/>
            <w:vAlign w:val="bottom"/>
            <w:tcBorders>
              <w:bottom w:val="single" w:sz="8" w:color="auto"/>
            </w:tcBorders>
            <w:shd w:val="clear" w:color="auto" w:fill="D2DCE5"/>
          </w:tcPr>
          <w:p>
            <w:pPr>
              <w:jc w:val="right"/>
              <w:ind w:right="30"/>
              <w:spacing w:after="0"/>
              <w:rPr>
                <w:sz w:val="20"/>
                <w:szCs w:val="20"/>
                <w:color w:val="auto"/>
              </w:rPr>
            </w:pPr>
            <w:r>
              <w:rPr>
                <w:rFonts w:ascii="Arial" w:cs="Arial" w:eastAsia="Arial" w:hAnsi="Arial"/>
                <w:sz w:val="18"/>
                <w:szCs w:val="18"/>
                <w:b w:val="1"/>
                <w:bCs w:val="1"/>
                <w:color w:val="006098"/>
                <w:w w:val="99"/>
              </w:rPr>
              <w:t>$</w:t>
            </w: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1,615</w:t>
            </w:r>
          </w:p>
        </w:tc>
        <w:tc>
          <w:tcPr>
            <w:tcW w:w="100" w:type="dxa"/>
            <w:vAlign w:val="bottom"/>
            <w:tcBorders>
              <w:bottom w:val="single" w:sz="8" w:color="D2DCE5"/>
            </w:tcBorders>
            <w:shd w:val="clear" w:color="auto" w:fill="D2DCE5"/>
          </w:tcPr>
          <w:p>
            <w:pPr>
              <w:spacing w:after="0"/>
              <w:rPr>
                <w:sz w:val="24"/>
                <w:szCs w:val="24"/>
                <w:color w:val="auto"/>
              </w:rPr>
            </w:pPr>
          </w:p>
        </w:tc>
        <w:tc>
          <w:tcPr>
            <w:tcW w:w="480" w:type="dxa"/>
            <w:vAlign w:val="bottom"/>
            <w:tcBorders>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(2,169)</w:t>
            </w:r>
          </w:p>
        </w:tc>
        <w:tc>
          <w:tcPr>
            <w:tcW w:w="100" w:type="dxa"/>
            <w:vAlign w:val="bottom"/>
            <w:tcBorders>
              <w:bottom w:val="single" w:sz="8" w:color="D2DCE5"/>
            </w:tcBorders>
            <w:shd w:val="clear" w:color="auto" w:fill="D2DCE5"/>
          </w:tcPr>
          <w:p>
            <w:pPr>
              <w:spacing w:after="0"/>
              <w:rPr>
                <w:sz w:val="24"/>
                <w:szCs w:val="24"/>
                <w:color w:val="auto"/>
              </w:rPr>
            </w:pPr>
          </w:p>
        </w:tc>
        <w:tc>
          <w:tcPr>
            <w:tcW w:w="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1,570</w:t>
            </w:r>
          </w:p>
        </w:tc>
      </w:tr>
      <w:tr>
        <w:trPr>
          <w:trHeight w:val="20"/>
        </w:trPr>
        <w:tc>
          <w:tcPr>
            <w:tcW w:w="43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0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12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9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5 — Acquisitions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Asset Acquisition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On January 23, 2026, we purchased certain assets of Clutch Coffee, primarily consisting of leasehold interests for $19.8 million in cash. Clutch Coffee was a regional drive-thru chain with 22 locations operating or under construction in North Carolina and South Carolina. This acquisition was accounted for as an asset acquisition in accordance with ASC 805, Business Combinations, with the purchase price and transaction costs allocated to the assets acquired based on their relative fair value as of the acquisition date. We are in the process of converting 20 of these acquired locations to Dutch Bros-branded company-operated shops.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6 — Supplemental Financial Information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gridSpan w:val="2"/>
          </w:tcPr>
          <w:p>
            <w:pPr>
              <w:spacing w:after="0"/>
              <w:rPr>
                <w:sz w:val="20"/>
                <w:szCs w:val="20"/>
                <w:color w:val="auto"/>
              </w:rPr>
            </w:pPr>
            <w:r>
              <w:rPr>
                <w:rFonts w:ascii="Arial" w:cs="Arial" w:eastAsia="Arial" w:hAnsi="Arial"/>
                <w:sz w:val="18"/>
                <w:szCs w:val="18"/>
                <w:b w:val="1"/>
                <w:bCs w:val="1"/>
                <w:i w:val="1"/>
                <w:iCs w:val="1"/>
                <w:color w:val="006098"/>
              </w:rPr>
              <w:t>Inventories</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16"/>
        </w:trPr>
        <w:tc>
          <w:tcPr>
            <w:tcW w:w="7520" w:type="dxa"/>
            <w:vAlign w:val="bottom"/>
            <w:gridSpan w:val="2"/>
          </w:tcPr>
          <w:p>
            <w:pPr>
              <w:spacing w:after="0"/>
              <w:rPr>
                <w:sz w:val="20"/>
                <w:szCs w:val="20"/>
                <w:color w:val="auto"/>
              </w:rPr>
            </w:pPr>
            <w:r>
              <w:rPr>
                <w:rFonts w:ascii="Arial" w:cs="Arial" w:eastAsia="Arial" w:hAnsi="Arial"/>
                <w:sz w:val="18"/>
                <w:szCs w:val="18"/>
                <w:color w:val="131E29"/>
              </w:rPr>
              <w:t>Inventories, net consisted of the following:</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6"/>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162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March 31, 2026</w:t>
            </w:r>
          </w:p>
        </w:tc>
        <w:tc>
          <w:tcPr>
            <w:tcW w:w="100" w:type="dxa"/>
            <w:vAlign w:val="bottom"/>
            <w:tcBorders>
              <w:bottom w:val="single" w:sz="8" w:color="D2DCE5"/>
            </w:tcBorders>
          </w:tcPr>
          <w:p>
            <w:pPr>
              <w:spacing w:after="0"/>
              <w:rPr>
                <w:sz w:val="24"/>
                <w:szCs w:val="24"/>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2025</w:t>
            </w:r>
          </w:p>
        </w:tc>
      </w:tr>
      <w:tr>
        <w:trPr>
          <w:trHeight w:val="270"/>
        </w:trPr>
        <w:tc>
          <w:tcPr>
            <w:tcW w:w="75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Raw materials</w:t>
            </w:r>
          </w:p>
        </w:tc>
        <w:tc>
          <w:tcPr>
            <w:tcW w:w="18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15,830</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25,516</w:t>
            </w:r>
          </w:p>
        </w:tc>
      </w:tr>
      <w:tr>
        <w:trPr>
          <w:trHeight w:val="270"/>
        </w:trPr>
        <w:tc>
          <w:tcPr>
            <w:tcW w:w="752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Finished goods</w:t>
            </w: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21,562</w:t>
            </w:r>
          </w:p>
        </w:tc>
        <w:tc>
          <w:tcPr>
            <w:tcW w:w="100" w:type="dxa"/>
            <w:vAlign w:val="bottom"/>
            <w:tcBorders>
              <w:bottom w:val="single" w:sz="8" w:color="D2DCE5"/>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23,401</w:t>
            </w:r>
          </w:p>
        </w:tc>
      </w:tr>
      <w:tr>
        <w:trPr>
          <w:trHeight w:val="289"/>
        </w:trPr>
        <w:tc>
          <w:tcPr>
            <w:tcW w:w="75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inventories</w:t>
            </w:r>
          </w:p>
        </w:tc>
        <w:tc>
          <w:tcPr>
            <w:tcW w:w="1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37,392</w:t>
            </w:r>
          </w:p>
        </w:tc>
        <w:tc>
          <w:tcPr>
            <w:tcW w:w="100" w:type="dxa"/>
            <w:vAlign w:val="bottom"/>
            <w:tcBorders>
              <w:bottom w:val="single" w:sz="8" w:color="D2DCE5"/>
            </w:tcBorders>
            <w:shd w:val="clear" w:color="auto" w:fill="D2DCE5"/>
          </w:tcPr>
          <w:p>
            <w:pPr>
              <w:spacing w:after="0"/>
              <w:rPr>
                <w:sz w:val="24"/>
                <w:szCs w:val="24"/>
                <w:color w:val="auto"/>
              </w:rPr>
            </w:pPr>
          </w:p>
        </w:tc>
        <w:tc>
          <w:tcPr>
            <w:tcW w:w="660" w:type="dxa"/>
            <w:vAlign w:val="bottom"/>
            <w:tcBorders>
              <w:bottom w:val="single" w:sz="8" w:color="auto"/>
            </w:tcBorders>
            <w:shd w:val="clear" w:color="auto" w:fill="D2DCE5"/>
          </w:tcPr>
          <w:p>
            <w:pPr>
              <w:jc w:val="right"/>
              <w:ind w:right="4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48,917</w:t>
            </w:r>
          </w:p>
        </w:tc>
      </w:tr>
      <w:tr>
        <w:trPr>
          <w:trHeight w:val="20"/>
        </w:trPr>
        <w:tc>
          <w:tcPr>
            <w:tcW w:w="7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16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Other current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Other current liabilities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D7282F"/>
            </w:tcBorders>
          </w:tcPr>
          <w:p>
            <w:pPr>
              <w:spacing w:after="0"/>
              <w:rPr>
                <w:sz w:val="22"/>
                <w:szCs w:val="22"/>
                <w:color w:val="auto"/>
              </w:rPr>
            </w:pPr>
          </w:p>
        </w:tc>
        <w:tc>
          <w:tcPr>
            <w:tcW w:w="162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March 31, 2026</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2025</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Accrued compensation and benefits</w:t>
            </w:r>
          </w:p>
        </w:tc>
        <w:tc>
          <w:tcPr>
            <w:tcW w:w="20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42,435</w:t>
            </w:r>
          </w:p>
        </w:tc>
        <w:tc>
          <w:tcPr>
            <w:tcW w:w="100" w:type="dxa"/>
            <w:vAlign w:val="bottom"/>
            <w:shd w:val="clear" w:color="auto" w:fill="D2DCE5"/>
          </w:tcPr>
          <w:p>
            <w:pPr>
              <w:spacing w:after="0"/>
              <w:rPr>
                <w:sz w:val="23"/>
                <w:szCs w:val="23"/>
                <w:color w:val="auto"/>
              </w:rPr>
            </w:pPr>
          </w:p>
        </w:tc>
        <w:tc>
          <w:tcPr>
            <w:tcW w:w="660" w:type="dxa"/>
            <w:vAlign w:val="bottom"/>
            <w:shd w:val="clear" w:color="auto" w:fill="D2DCE5"/>
          </w:tcPr>
          <w:p>
            <w:pPr>
              <w:jc w:val="right"/>
              <w:ind w:right="450"/>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50,314</w:t>
            </w:r>
          </w:p>
        </w:tc>
      </w:tr>
      <w:tr>
        <w:trPr>
          <w:trHeight w:val="270"/>
        </w:trPr>
        <w:tc>
          <w:tcPr>
            <w:tcW w:w="7500" w:type="dxa"/>
            <w:vAlign w:val="bottom"/>
            <w:gridSpan w:val="2"/>
          </w:tcPr>
          <w:p>
            <w:pPr>
              <w:ind w:left="20"/>
              <w:spacing w:after="0"/>
              <w:rPr>
                <w:sz w:val="20"/>
                <w:szCs w:val="20"/>
                <w:color w:val="auto"/>
              </w:rPr>
            </w:pPr>
            <w:r>
              <w:rPr>
                <w:rFonts w:ascii="Arial" w:cs="Arial" w:eastAsia="Arial" w:hAnsi="Arial"/>
                <w:sz w:val="18"/>
                <w:szCs w:val="18"/>
                <w:color w:val="131E29"/>
              </w:rPr>
              <w:t>Sales, use and property taxes payable</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13,413</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131E29"/>
              </w:rPr>
              <w:t>15,354</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Other accrued liabilities</w:t>
            </w:r>
          </w:p>
        </w:tc>
        <w:tc>
          <w:tcPr>
            <w:tcW w:w="200" w:type="dxa"/>
            <w:vAlign w:val="bottom"/>
            <w:tcBorders>
              <w:bottom w:val="single" w:sz="8" w:color="auto"/>
            </w:tcBorders>
            <w:shd w:val="clear" w:color="auto" w:fill="D2DCE5"/>
          </w:tcPr>
          <w:p>
            <w:pPr>
              <w:spacing w:after="0"/>
              <w:rPr>
                <w:sz w:val="23"/>
                <w:szCs w:val="23"/>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44,371</w:t>
            </w:r>
          </w:p>
        </w:tc>
        <w:tc>
          <w:tcPr>
            <w:tcW w:w="100" w:type="dxa"/>
            <w:vAlign w:val="bottom"/>
            <w:shd w:val="clear" w:color="auto" w:fill="D2DCE5"/>
          </w:tcPr>
          <w:p>
            <w:pPr>
              <w:spacing w:after="0"/>
              <w:rPr>
                <w:sz w:val="23"/>
                <w:szCs w:val="23"/>
                <w:color w:val="auto"/>
              </w:rPr>
            </w:pPr>
          </w:p>
        </w:tc>
        <w:tc>
          <w:tcPr>
            <w:tcW w:w="660" w:type="dxa"/>
            <w:vAlign w:val="bottom"/>
            <w:tcBorders>
              <w:bottom w:val="single" w:sz="8" w:color="auto"/>
            </w:tcBorders>
            <w:shd w:val="clear" w:color="auto" w:fill="D2DCE5"/>
          </w:tcPr>
          <w:p>
            <w:pPr>
              <w:spacing w:after="0"/>
              <w:rPr>
                <w:sz w:val="23"/>
                <w:szCs w:val="23"/>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33,505</w:t>
            </w:r>
          </w:p>
        </w:tc>
      </w:tr>
      <w:tr>
        <w:trPr>
          <w:trHeight w:val="223"/>
        </w:trPr>
        <w:tc>
          <w:tcPr>
            <w:tcW w:w="75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Other current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100,219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99,173</w:t>
            </w:r>
          </w:p>
        </w:tc>
      </w:tr>
      <w:tr>
        <w:trPr>
          <w:trHeight w:val="21"/>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7 — Property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Property and equipment, net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w:t>
            </w:r>
          </w:p>
        </w:tc>
        <w:tc>
          <w:tcPr>
            <w:tcW w:w="100" w:type="dxa"/>
            <w:vAlign w:val="bottom"/>
            <w:tcBorders>
              <w:bottom w:val="single" w:sz="8" w:color="D2DCE5"/>
            </w:tcBorders>
          </w:tcPr>
          <w:p>
            <w:pPr>
              <w:spacing w:after="0"/>
              <w:rPr>
                <w:sz w:val="22"/>
                <w:szCs w:val="22"/>
                <w:color w:val="auto"/>
              </w:rPr>
            </w:pPr>
          </w:p>
        </w:tc>
        <w:tc>
          <w:tcPr>
            <w:tcW w:w="200" w:type="dxa"/>
            <w:vAlign w:val="bottom"/>
            <w:tcBorders>
              <w:bottom w:val="single" w:sz="8" w:color="D7282F"/>
            </w:tcBorders>
          </w:tcPr>
          <w:p>
            <w:pPr>
              <w:spacing w:after="0"/>
              <w:rPr>
                <w:sz w:val="22"/>
                <w:szCs w:val="22"/>
                <w:color w:val="auto"/>
              </w:rPr>
            </w:pPr>
          </w:p>
        </w:tc>
        <w:tc>
          <w:tcPr>
            <w:tcW w:w="162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March 31, 2026</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2025</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Software</w:t>
            </w:r>
          </w:p>
        </w:tc>
        <w:tc>
          <w:tcPr>
            <w:tcW w:w="20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15,537</w:t>
            </w: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jc w:val="right"/>
              <w:ind w:right="310"/>
              <w:spacing w:after="0"/>
              <w:rPr>
                <w:sz w:val="20"/>
                <w:szCs w:val="20"/>
                <w:color w:val="auto"/>
              </w:rPr>
            </w:pPr>
            <w:r>
              <w:rPr>
                <w:rFonts w:ascii="Arial" w:cs="Arial" w:eastAsia="Arial" w:hAnsi="Arial"/>
                <w:sz w:val="18"/>
                <w:szCs w:val="18"/>
                <w:color w:val="131E29"/>
                <w:w w:val="9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14,630</w:t>
            </w:r>
          </w:p>
        </w:tc>
      </w:tr>
      <w:tr>
        <w:trPr>
          <w:trHeight w:val="270"/>
        </w:trPr>
        <w:tc>
          <w:tcPr>
            <w:tcW w:w="7500" w:type="dxa"/>
            <w:vAlign w:val="bottom"/>
            <w:gridSpan w:val="2"/>
          </w:tcPr>
          <w:p>
            <w:pPr>
              <w:ind w:left="20"/>
              <w:spacing w:after="0"/>
              <w:rPr>
                <w:sz w:val="20"/>
                <w:szCs w:val="20"/>
                <w:color w:val="auto"/>
              </w:rPr>
            </w:pPr>
            <w:r>
              <w:rPr>
                <w:rFonts w:ascii="Arial" w:cs="Arial" w:eastAsia="Arial" w:hAnsi="Arial"/>
                <w:sz w:val="18"/>
                <w:szCs w:val="18"/>
                <w:color w:val="131E29"/>
              </w:rPr>
              <w:t>Equipment and fixtures</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330,710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131E29"/>
              </w:rPr>
              <w:t>305,116</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Buildings and leasehold improvements</w:t>
            </w:r>
          </w:p>
        </w:tc>
        <w:tc>
          <w:tcPr>
            <w:tcW w:w="200" w:type="dxa"/>
            <w:vAlign w:val="bottom"/>
            <w:shd w:val="clear" w:color="auto" w:fill="D2DCE5"/>
          </w:tcPr>
          <w:p>
            <w:pPr>
              <w:spacing w:after="0"/>
              <w:rPr>
                <w:sz w:val="23"/>
                <w:szCs w:val="23"/>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708,935</w:t>
            </w:r>
          </w:p>
        </w:tc>
        <w:tc>
          <w:tcPr>
            <w:tcW w:w="100" w:type="dxa"/>
            <w:vAlign w:val="bottom"/>
            <w:shd w:val="clear" w:color="auto" w:fill="D2DCE5"/>
          </w:tcPr>
          <w:p>
            <w:pPr>
              <w:spacing w:after="0"/>
              <w:rPr>
                <w:sz w:val="23"/>
                <w:szCs w:val="23"/>
                <w:color w:val="auto"/>
              </w:rPr>
            </w:pPr>
          </w:p>
        </w:tc>
        <w:tc>
          <w:tcPr>
            <w:tcW w:w="520" w:type="dxa"/>
            <w:vAlign w:val="bottom"/>
            <w:shd w:val="clear" w:color="auto" w:fill="D2DCE5"/>
          </w:tcPr>
          <w:p>
            <w:pPr>
              <w:spacing w:after="0"/>
              <w:rPr>
                <w:sz w:val="23"/>
                <w:szCs w:val="23"/>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684,322</w:t>
            </w:r>
          </w:p>
        </w:tc>
      </w:tr>
      <w:tr>
        <w:trPr>
          <w:trHeight w:val="270"/>
        </w:trPr>
        <w:tc>
          <w:tcPr>
            <w:tcW w:w="7500" w:type="dxa"/>
            <w:vAlign w:val="bottom"/>
            <w:gridSpan w:val="2"/>
          </w:tcPr>
          <w:p>
            <w:pPr>
              <w:ind w:left="20"/>
              <w:spacing w:after="0"/>
              <w:rPr>
                <w:sz w:val="20"/>
                <w:szCs w:val="20"/>
                <w:color w:val="auto"/>
              </w:rPr>
            </w:pPr>
            <w:r>
              <w:rPr>
                <w:rFonts w:ascii="Arial" w:cs="Arial" w:eastAsia="Arial" w:hAnsi="Arial"/>
                <w:sz w:val="18"/>
                <w:szCs w:val="18"/>
                <w:color w:val="131E29"/>
              </w:rPr>
              <w:t>Land</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7,022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131E29"/>
              </w:rPr>
              <w:t>7,022</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 xml:space="preserve">Construction-in-progress </w:t>
            </w:r>
            <w:r>
              <w:rPr>
                <w:rFonts w:ascii="Arial" w:cs="Arial" w:eastAsia="Arial" w:hAnsi="Arial"/>
                <w:sz w:val="23"/>
                <w:szCs w:val="23"/>
                <w:color w:val="131E29"/>
                <w:vertAlign w:val="superscript"/>
              </w:rPr>
              <w:t>1</w:t>
            </w:r>
          </w:p>
        </w:tc>
        <w:tc>
          <w:tcPr>
            <w:tcW w:w="200" w:type="dxa"/>
            <w:vAlign w:val="bottom"/>
            <w:tcBorders>
              <w:bottom w:val="single" w:sz="8" w:color="auto"/>
            </w:tcBorders>
            <w:shd w:val="clear" w:color="auto" w:fill="D2DCE5"/>
          </w:tcPr>
          <w:p>
            <w:pPr>
              <w:spacing w:after="0"/>
              <w:rPr>
                <w:sz w:val="23"/>
                <w:szCs w:val="23"/>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91,127</w:t>
            </w:r>
          </w:p>
        </w:tc>
        <w:tc>
          <w:tcPr>
            <w:tcW w:w="100" w:type="dxa"/>
            <w:vAlign w:val="bottom"/>
            <w:shd w:val="clear" w:color="auto" w:fill="D2DCE5"/>
          </w:tcPr>
          <w:p>
            <w:pPr>
              <w:spacing w:after="0"/>
              <w:rPr>
                <w:sz w:val="23"/>
                <w:szCs w:val="23"/>
                <w:color w:val="auto"/>
              </w:rPr>
            </w:pPr>
          </w:p>
        </w:tc>
        <w:tc>
          <w:tcPr>
            <w:tcW w:w="520" w:type="dxa"/>
            <w:vAlign w:val="bottom"/>
            <w:tcBorders>
              <w:bottom w:val="single" w:sz="8" w:color="auto"/>
            </w:tcBorders>
            <w:shd w:val="clear" w:color="auto" w:fill="D2DCE5"/>
          </w:tcPr>
          <w:p>
            <w:pPr>
              <w:spacing w:after="0"/>
              <w:rPr>
                <w:sz w:val="23"/>
                <w:szCs w:val="23"/>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75,225</w:t>
            </w:r>
          </w:p>
        </w:tc>
      </w:tr>
      <w:tr>
        <w:trPr>
          <w:trHeight w:val="250"/>
        </w:trPr>
        <w:tc>
          <w:tcPr>
            <w:tcW w:w="7500" w:type="dxa"/>
            <w:vAlign w:val="bottom"/>
            <w:gridSpan w:val="2"/>
          </w:tcPr>
          <w:p>
            <w:pPr>
              <w:ind w:left="20"/>
              <w:spacing w:after="0"/>
              <w:rPr>
                <w:sz w:val="20"/>
                <w:szCs w:val="20"/>
                <w:color w:val="auto"/>
              </w:rPr>
            </w:pPr>
            <w:r>
              <w:rPr>
                <w:rFonts w:ascii="Arial" w:cs="Arial" w:eastAsia="Arial" w:hAnsi="Arial"/>
                <w:sz w:val="18"/>
                <w:szCs w:val="18"/>
                <w:color w:val="131E29"/>
              </w:rPr>
              <w:t>Property and equipment, gross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1,153,331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131E29"/>
              </w:rPr>
              <w:t>1,086,315</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Less: accumulated depreciation</w:t>
            </w:r>
          </w:p>
        </w:tc>
        <w:tc>
          <w:tcPr>
            <w:tcW w:w="200" w:type="dxa"/>
            <w:vAlign w:val="bottom"/>
            <w:tcBorders>
              <w:bottom w:val="single" w:sz="8" w:color="auto"/>
            </w:tcBorders>
            <w:shd w:val="clear" w:color="auto" w:fill="D2DCE5"/>
          </w:tcPr>
          <w:p>
            <w:pPr>
              <w:spacing w:after="0"/>
              <w:rPr>
                <w:sz w:val="23"/>
                <w:szCs w:val="23"/>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(291,242)</w:t>
            </w:r>
          </w:p>
        </w:tc>
        <w:tc>
          <w:tcPr>
            <w:tcW w:w="100" w:type="dxa"/>
            <w:vAlign w:val="bottom"/>
            <w:shd w:val="clear" w:color="auto" w:fill="D2DCE5"/>
          </w:tcPr>
          <w:p>
            <w:pPr>
              <w:spacing w:after="0"/>
              <w:rPr>
                <w:sz w:val="23"/>
                <w:szCs w:val="23"/>
                <w:color w:val="auto"/>
              </w:rPr>
            </w:pPr>
          </w:p>
        </w:tc>
        <w:tc>
          <w:tcPr>
            <w:tcW w:w="520" w:type="dxa"/>
            <w:vAlign w:val="bottom"/>
            <w:tcBorders>
              <w:bottom w:val="single" w:sz="8" w:color="auto"/>
            </w:tcBorders>
            <w:shd w:val="clear" w:color="auto" w:fill="D2DCE5"/>
          </w:tcPr>
          <w:p>
            <w:pPr>
              <w:spacing w:after="0"/>
              <w:rPr>
                <w:sz w:val="23"/>
                <w:szCs w:val="23"/>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(261,813)</w:t>
            </w:r>
          </w:p>
        </w:tc>
      </w:tr>
      <w:tr>
        <w:trPr>
          <w:trHeight w:val="223"/>
        </w:trPr>
        <w:tc>
          <w:tcPr>
            <w:tcW w:w="75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862,089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131E29"/>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824,502</w:t>
            </w:r>
          </w:p>
        </w:tc>
      </w:tr>
      <w:tr>
        <w:trPr>
          <w:trHeight w:val="20"/>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ind w:left="160" w:hanging="152"/>
        <w:spacing w:after="0" w:line="229" w:lineRule="auto"/>
        <w:tabs>
          <w:tab w:leader="none" w:pos="160" w:val="left"/>
        </w:tabs>
        <w:numPr>
          <w:ilvl w:val="0"/>
          <w:numId w:val="9"/>
        </w:numPr>
        <w:rPr>
          <w:rFonts w:ascii="Arial" w:cs="Arial" w:eastAsia="Arial" w:hAnsi="Arial"/>
          <w:sz w:val="19"/>
          <w:szCs w:val="19"/>
          <w:color w:val="131E29"/>
          <w:vertAlign w:val="superscript"/>
        </w:rPr>
      </w:pPr>
      <w:r>
        <w:rPr>
          <w:rFonts w:ascii="Arial" w:cs="Arial" w:eastAsia="Arial" w:hAnsi="Arial"/>
          <w:sz w:val="14"/>
          <w:szCs w:val="14"/>
          <w:color w:val="131E29"/>
        </w:rPr>
        <w:t>Construction-in-progress primarily consisted of construction and equipment costs for new and existing shops.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31E29"/>
        </w:rPr>
        <w:t>Depreciation expense included in our condensed consolidated statements of operations was as follows:</w:t>
      </w:r>
    </w:p>
    <w:p>
      <w:pPr>
        <w:spacing w:after="0" w:line="17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34925</wp:posOffset>
            </wp:positionV>
            <wp:extent cx="24345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42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440" w:type="dxa"/>
            <w:vAlign w:val="bottom"/>
            <w:tcBorders>
              <w:bottom w:val="single" w:sz="8" w:color="D7282F"/>
            </w:tcBorders>
          </w:tcPr>
          <w:p>
            <w:pPr>
              <w:jc w:val="right"/>
              <w:ind w:right="65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4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006098"/>
                <w:w w:val="99"/>
              </w:rPr>
              <w:t>$</w:t>
            </w:r>
          </w:p>
        </w:tc>
        <w:tc>
          <w:tcPr>
            <w:tcW w:w="14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29,157</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131E29"/>
                <w:w w:val="99"/>
              </w:rPr>
              <w:t>$</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18,965</w:t>
            </w:r>
          </w:p>
        </w:tc>
      </w:tr>
      <w:tr>
        <w:trPr>
          <w:trHeight w:val="270"/>
        </w:trPr>
        <w:tc>
          <w:tcPr>
            <w:tcW w:w="740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Selling, general, and administrative</w:t>
            </w:r>
          </w:p>
        </w:tc>
        <w:tc>
          <w:tcPr>
            <w:tcW w:w="4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1,430</w:t>
            </w:r>
          </w:p>
        </w:tc>
        <w:tc>
          <w:tcPr>
            <w:tcW w:w="100" w:type="dxa"/>
            <w:vAlign w:val="bottom"/>
            <w:tcBorders>
              <w:bottom w:val="single" w:sz="8" w:color="D2DCE5"/>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387</w:t>
            </w:r>
          </w:p>
        </w:tc>
      </w:tr>
      <w:tr>
        <w:trPr>
          <w:trHeight w:val="248"/>
        </w:trPr>
        <w:tc>
          <w:tcPr>
            <w:tcW w:w="740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depreciation expense</w:t>
            </w:r>
          </w:p>
        </w:tc>
        <w:tc>
          <w:tcPr>
            <w:tcW w:w="440" w:type="dxa"/>
            <w:vAlign w:val="bottom"/>
            <w:tcBorders>
              <w:bottom w:val="single" w:sz="8" w:color="auto"/>
            </w:tcBorders>
            <w:shd w:val="clear" w:color="auto" w:fill="D2DCE5"/>
          </w:tcPr>
          <w:p>
            <w:pPr>
              <w:jc w:val="right"/>
              <w:ind w:right="230"/>
              <w:spacing w:after="0"/>
              <w:rPr>
                <w:sz w:val="20"/>
                <w:szCs w:val="20"/>
                <w:color w:val="auto"/>
              </w:rPr>
            </w:pPr>
            <w:r>
              <w:rPr>
                <w:rFonts w:ascii="Arial" w:cs="Arial" w:eastAsia="Arial" w:hAnsi="Arial"/>
                <w:sz w:val="18"/>
                <w:szCs w:val="18"/>
                <w:b w:val="1"/>
                <w:bCs w:val="1"/>
                <w:color w:val="006098"/>
                <w:w w:val="99"/>
              </w:rPr>
              <w:t>$</w:t>
            </w:r>
          </w:p>
        </w:tc>
        <w:tc>
          <w:tcPr>
            <w:tcW w:w="14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30,587</w:t>
            </w:r>
          </w:p>
        </w:tc>
        <w:tc>
          <w:tcPr>
            <w:tcW w:w="100" w:type="dxa"/>
            <w:vAlign w:val="bottom"/>
            <w:tcBorders>
              <w:bottom w:val="single" w:sz="8" w:color="D2DCE5"/>
            </w:tcBorders>
            <w:shd w:val="clear" w:color="auto" w:fill="D2DCE5"/>
          </w:tcPr>
          <w:p>
            <w:pPr>
              <w:spacing w:after="0"/>
              <w:rPr>
                <w:sz w:val="21"/>
                <w:szCs w:val="21"/>
                <w:color w:val="auto"/>
              </w:rPr>
            </w:pPr>
          </w:p>
        </w:tc>
        <w:tc>
          <w:tcPr>
            <w:tcW w:w="440" w:type="dxa"/>
            <w:vAlign w:val="bottom"/>
            <w:tcBorders>
              <w:bottom w:val="single" w:sz="8" w:color="auto"/>
            </w:tcBorders>
            <w:shd w:val="clear" w:color="auto" w:fill="D2DCE5"/>
          </w:tcPr>
          <w:p>
            <w:pPr>
              <w:jc w:val="right"/>
              <w:ind w:right="230"/>
              <w:spacing w:after="0"/>
              <w:rPr>
                <w:sz w:val="20"/>
                <w:szCs w:val="20"/>
                <w:color w:val="auto"/>
              </w:rPr>
            </w:pPr>
            <w:r>
              <w:rPr>
                <w:rFonts w:ascii="Arial" w:cs="Arial" w:eastAsia="Arial" w:hAnsi="Arial"/>
                <w:sz w:val="18"/>
                <w:szCs w:val="18"/>
                <w:b w:val="1"/>
                <w:bCs w:val="1"/>
                <w:color w:val="131E29"/>
                <w:w w:val="99"/>
              </w:rPr>
              <w:t>$</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19,352</w:t>
            </w:r>
          </w:p>
        </w:tc>
      </w:tr>
      <w:tr>
        <w:trPr>
          <w:trHeight w:val="20"/>
        </w:trPr>
        <w:tc>
          <w:tcPr>
            <w:tcW w:w="7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D2DCE5"/>
              <w:bottom w:val="single" w:sz="8" w:color="auto"/>
            </w:tcBorders>
          </w:tcPr>
          <w:p>
            <w:pPr>
              <w:spacing w:after="0" w:line="20" w:lineRule="exact"/>
              <w:rPr>
                <w:sz w:val="1"/>
                <w:szCs w:val="1"/>
                <w:color w:val="auto"/>
              </w:rPr>
            </w:pPr>
          </w:p>
        </w:tc>
        <w:tc>
          <w:tcPr>
            <w:tcW w:w="14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40" w:type="dxa"/>
            <w:vAlign w:val="bottom"/>
            <w:tcBorders>
              <w:top w:val="single" w:sz="8" w:color="D2DCE5"/>
              <w:bottom w:val="single" w:sz="8" w:color="auto"/>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8 — Other Long-Term Assets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00" w:type="dxa"/>
            <w:vAlign w:val="bottom"/>
            <w:gridSpan w:val="2"/>
          </w:tcPr>
          <w:p>
            <w:pPr>
              <w:spacing w:after="0"/>
              <w:rPr>
                <w:sz w:val="20"/>
                <w:szCs w:val="20"/>
                <w:color w:val="auto"/>
              </w:rPr>
            </w:pPr>
            <w:r>
              <w:rPr>
                <w:rFonts w:ascii="Arial" w:cs="Arial" w:eastAsia="Arial" w:hAnsi="Arial"/>
                <w:sz w:val="18"/>
                <w:szCs w:val="18"/>
                <w:color w:val="131E29"/>
              </w:rPr>
              <w:t>The details of other long-term assets were as follows:</w:t>
            </w: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41"/>
        </w:trPr>
        <w:tc>
          <w:tcPr>
            <w:tcW w:w="7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w:t>
            </w:r>
          </w:p>
        </w:tc>
        <w:tc>
          <w:tcPr>
            <w:tcW w:w="100" w:type="dxa"/>
            <w:vAlign w:val="bottom"/>
            <w:tcBorders>
              <w:bottom w:val="single" w:sz="8" w:color="D2DCE5"/>
            </w:tcBorders>
          </w:tcPr>
          <w:p>
            <w:pPr>
              <w:spacing w:after="0"/>
              <w:rPr>
                <w:sz w:val="24"/>
                <w:szCs w:val="24"/>
                <w:color w:val="auto"/>
              </w:rPr>
            </w:pPr>
          </w:p>
        </w:tc>
        <w:tc>
          <w:tcPr>
            <w:tcW w:w="200" w:type="dxa"/>
            <w:vAlign w:val="bottom"/>
            <w:tcBorders>
              <w:bottom w:val="single" w:sz="8" w:color="D7282F"/>
            </w:tcBorders>
          </w:tcPr>
          <w:p>
            <w:pPr>
              <w:spacing w:after="0"/>
              <w:rPr>
                <w:sz w:val="24"/>
                <w:szCs w:val="24"/>
                <w:color w:val="auto"/>
              </w:rPr>
            </w:pPr>
          </w:p>
        </w:tc>
        <w:tc>
          <w:tcPr>
            <w:tcW w:w="160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March 31, 2026</w:t>
            </w:r>
          </w:p>
        </w:tc>
        <w:tc>
          <w:tcPr>
            <w:tcW w:w="100" w:type="dxa"/>
            <w:vAlign w:val="bottom"/>
            <w:tcBorders>
              <w:bottom w:val="single" w:sz="8" w:color="D2DCE5"/>
            </w:tcBorders>
          </w:tcPr>
          <w:p>
            <w:pPr>
              <w:spacing w:after="0"/>
              <w:rPr>
                <w:sz w:val="24"/>
                <w:szCs w:val="24"/>
                <w:color w:val="auto"/>
              </w:rPr>
            </w:pPr>
          </w:p>
        </w:tc>
        <w:tc>
          <w:tcPr>
            <w:tcW w:w="184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2025</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Reacquired franchise rights</w:t>
            </w:r>
            <w:r>
              <w:rPr>
                <w:rFonts w:ascii="Arial" w:cs="Arial" w:eastAsia="Arial" w:hAnsi="Arial"/>
                <w:sz w:val="23"/>
                <w:szCs w:val="23"/>
                <w:color w:val="131E29"/>
                <w:vertAlign w:val="superscript"/>
              </w:rPr>
              <w:t>1</w:t>
            </w:r>
          </w:p>
        </w:tc>
        <w:tc>
          <w:tcPr>
            <w:tcW w:w="20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6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27,049</w:t>
            </w:r>
          </w:p>
        </w:tc>
        <w:tc>
          <w:tcPr>
            <w:tcW w:w="100" w:type="dxa"/>
            <w:vAlign w:val="bottom"/>
            <w:shd w:val="clear" w:color="auto" w:fill="D2DCE5"/>
          </w:tcPr>
          <w:p>
            <w:pPr>
              <w:spacing w:after="0"/>
              <w:rPr>
                <w:sz w:val="23"/>
                <w:szCs w:val="23"/>
                <w:color w:val="auto"/>
              </w:rPr>
            </w:pPr>
          </w:p>
        </w:tc>
        <w:tc>
          <w:tcPr>
            <w:tcW w:w="640" w:type="dxa"/>
            <w:vAlign w:val="bottom"/>
            <w:shd w:val="clear" w:color="auto" w:fill="D2DCE5"/>
          </w:tcPr>
          <w:p>
            <w:pPr>
              <w:jc w:val="right"/>
              <w:ind w:right="430"/>
              <w:spacing w:after="0"/>
              <w:rPr>
                <w:sz w:val="20"/>
                <w:szCs w:val="20"/>
                <w:color w:val="auto"/>
              </w:rPr>
            </w:pPr>
            <w:r>
              <w:rPr>
                <w:rFonts w:ascii="Arial" w:cs="Arial" w:eastAsia="Arial" w:hAnsi="Arial"/>
                <w:sz w:val="18"/>
                <w:szCs w:val="18"/>
                <w:color w:val="131E29"/>
                <w:w w:val="9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27,049</w:t>
            </w:r>
          </w:p>
        </w:tc>
      </w:tr>
      <w:tr>
        <w:trPr>
          <w:trHeight w:val="270"/>
        </w:trPr>
        <w:tc>
          <w:tcPr>
            <w:tcW w:w="750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Less: accumulated amortization</w:t>
            </w:r>
          </w:p>
        </w:tc>
        <w:tc>
          <w:tcPr>
            <w:tcW w:w="2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(25,753)</w:t>
            </w:r>
          </w:p>
        </w:tc>
        <w:tc>
          <w:tcPr>
            <w:tcW w:w="100" w:type="dxa"/>
            <w:vAlign w:val="bottom"/>
            <w:tcBorders>
              <w:bottom w:val="single" w:sz="8" w:color="D2DCE5"/>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(25,539)</w:t>
            </w:r>
          </w:p>
        </w:tc>
      </w:tr>
      <w:tr>
        <w:trPr>
          <w:trHeight w:val="250"/>
        </w:trPr>
        <w:tc>
          <w:tcPr>
            <w:tcW w:w="750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Reacquired franchise rights, net</w:t>
            </w:r>
          </w:p>
        </w:tc>
        <w:tc>
          <w:tcPr>
            <w:tcW w:w="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1,296</w:t>
            </w:r>
          </w:p>
        </w:tc>
        <w:tc>
          <w:tcPr>
            <w:tcW w:w="100" w:type="dxa"/>
            <w:vAlign w:val="bottom"/>
            <w:shd w:val="clear" w:color="auto" w:fill="D2DCE5"/>
          </w:tcPr>
          <w:p>
            <w:pPr>
              <w:spacing w:after="0"/>
              <w:rPr>
                <w:sz w:val="21"/>
                <w:szCs w:val="21"/>
                <w:color w:val="auto"/>
              </w:rPr>
            </w:pPr>
          </w:p>
        </w:tc>
        <w:tc>
          <w:tcPr>
            <w:tcW w:w="640" w:type="dxa"/>
            <w:vAlign w:val="bottom"/>
            <w:tcBorders>
              <w:bottom w:val="single" w:sz="8" w:color="auto"/>
            </w:tcBorders>
            <w:shd w:val="clear" w:color="auto" w:fill="D2DCE5"/>
          </w:tcPr>
          <w:p>
            <w:pPr>
              <w:jc w:val="right"/>
              <w:ind w:right="430"/>
              <w:spacing w:after="0"/>
              <w:rPr>
                <w:sz w:val="20"/>
                <w:szCs w:val="20"/>
                <w:color w:val="auto"/>
              </w:rPr>
            </w:pPr>
            <w:r>
              <w:rPr>
                <w:rFonts w:ascii="Arial" w:cs="Arial" w:eastAsia="Arial" w:hAnsi="Arial"/>
                <w:sz w:val="18"/>
                <w:szCs w:val="18"/>
                <w:b w:val="1"/>
                <w:bCs w:val="1"/>
                <w:color w:val="131E29"/>
                <w:w w:val="99"/>
              </w:rPr>
              <w:t>$</w:t>
            </w: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1,510</w:t>
            </w:r>
          </w:p>
        </w:tc>
      </w:tr>
      <w:tr>
        <w:trPr>
          <w:trHeight w:val="250"/>
        </w:trPr>
        <w:tc>
          <w:tcPr>
            <w:tcW w:w="7500" w:type="dxa"/>
            <w:vAlign w:val="bottom"/>
            <w:gridSpan w:val="2"/>
          </w:tcPr>
          <w:p>
            <w:pPr>
              <w:ind w:left="20"/>
              <w:spacing w:after="0"/>
              <w:rPr>
                <w:sz w:val="20"/>
                <w:szCs w:val="20"/>
                <w:color w:val="auto"/>
              </w:rPr>
            </w:pPr>
            <w:r>
              <w:rPr>
                <w:rFonts w:ascii="Arial" w:cs="Arial" w:eastAsia="Arial" w:hAnsi="Arial"/>
                <w:sz w:val="18"/>
                <w:szCs w:val="18"/>
                <w:color w:val="131E29"/>
              </w:rPr>
              <w:t>Goodwill</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06098"/>
              </w:rPr>
              <w:t>21,629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131E29"/>
              </w:rPr>
              <w:t>21,629</w:t>
            </w:r>
          </w:p>
        </w:tc>
      </w:tr>
      <w:tr>
        <w:trPr>
          <w:trHeight w:val="270"/>
        </w:trPr>
        <w:tc>
          <w:tcPr>
            <w:tcW w:w="75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Other</w:t>
            </w:r>
          </w:p>
        </w:tc>
        <w:tc>
          <w:tcPr>
            <w:tcW w:w="200" w:type="dxa"/>
            <w:vAlign w:val="bottom"/>
            <w:tcBorders>
              <w:bottom w:val="single" w:sz="8" w:color="auto"/>
            </w:tcBorders>
            <w:shd w:val="clear" w:color="auto" w:fill="D2DCE5"/>
          </w:tcPr>
          <w:p>
            <w:pPr>
              <w:spacing w:after="0"/>
              <w:rPr>
                <w:sz w:val="23"/>
                <w:szCs w:val="23"/>
                <w:color w:val="auto"/>
              </w:rPr>
            </w:pPr>
          </w:p>
        </w:tc>
        <w:tc>
          <w:tcPr>
            <w:tcW w:w="1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1,003</w:t>
            </w:r>
          </w:p>
        </w:tc>
        <w:tc>
          <w:tcPr>
            <w:tcW w:w="100" w:type="dxa"/>
            <w:vAlign w:val="bottom"/>
            <w:shd w:val="clear" w:color="auto" w:fill="D2DCE5"/>
          </w:tcPr>
          <w:p>
            <w:pPr>
              <w:spacing w:after="0"/>
              <w:rPr>
                <w:sz w:val="23"/>
                <w:szCs w:val="23"/>
                <w:color w:val="auto"/>
              </w:rPr>
            </w:pPr>
          </w:p>
        </w:tc>
        <w:tc>
          <w:tcPr>
            <w:tcW w:w="640" w:type="dxa"/>
            <w:vAlign w:val="bottom"/>
            <w:tcBorders>
              <w:bottom w:val="single" w:sz="8" w:color="auto"/>
            </w:tcBorders>
            <w:shd w:val="clear" w:color="auto" w:fill="D2DCE5"/>
          </w:tcPr>
          <w:p>
            <w:pPr>
              <w:spacing w:after="0"/>
              <w:rPr>
                <w:sz w:val="23"/>
                <w:szCs w:val="23"/>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2,385</w:t>
            </w:r>
          </w:p>
        </w:tc>
      </w:tr>
      <w:tr>
        <w:trPr>
          <w:trHeight w:val="223"/>
        </w:trPr>
        <w:tc>
          <w:tcPr>
            <w:tcW w:w="7500" w:type="dxa"/>
            <w:vAlign w:val="bottom"/>
            <w:gridSpan w:val="2"/>
          </w:tcPr>
          <w:p>
            <w:pPr>
              <w:ind w:left="140"/>
              <w:spacing w:after="0"/>
              <w:rPr>
                <w:sz w:val="20"/>
                <w:szCs w:val="20"/>
                <w:color w:val="auto"/>
              </w:rPr>
            </w:pPr>
            <w:r>
              <w:rPr>
                <w:rFonts w:ascii="Arial" w:cs="Arial" w:eastAsia="Arial" w:hAnsi="Arial"/>
                <w:sz w:val="18"/>
                <w:szCs w:val="18"/>
                <w:b w:val="1"/>
                <w:bCs w:val="1"/>
                <w:color w:val="131E29"/>
              </w:rPr>
              <w:t>Total other long-term assets,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23,928</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131E29"/>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25,524</w:t>
            </w:r>
          </w:p>
        </w:tc>
      </w:tr>
      <w:tr>
        <w:trPr>
          <w:trHeight w:val="21"/>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ind w:left="100" w:hanging="92"/>
        <w:spacing w:after="0" w:line="229" w:lineRule="auto"/>
        <w:tabs>
          <w:tab w:leader="none" w:pos="10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Weighted-average amortization periods (in years) were approximately 2.9 and 3.0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Amortization expense of reacquired franchise rights included in our condensed consolidated statements of operations was as follows:</w:t>
      </w:r>
    </w:p>
    <w:p>
      <w:pPr>
        <w:spacing w:after="0" w:line="171"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34925</wp:posOffset>
            </wp:positionV>
            <wp:extent cx="23660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1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2025</w:t>
            </w:r>
          </w:p>
        </w:tc>
      </w:tr>
      <w:tr>
        <w:trPr>
          <w:trHeight w:val="295"/>
        </w:trPr>
        <w:tc>
          <w:tcPr>
            <w:tcW w:w="75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400" w:type="dxa"/>
            <w:vAlign w:val="bottom"/>
            <w:tcBorders>
              <w:bottom w:val="single" w:sz="8" w:color="auto"/>
            </w:tcBorders>
            <w:shd w:val="clear" w:color="auto" w:fill="D2DCE5"/>
          </w:tcPr>
          <w:p>
            <w:pPr>
              <w:jc w:val="right"/>
              <w:ind w:right="190"/>
              <w:spacing w:after="0"/>
              <w:rPr>
                <w:sz w:val="20"/>
                <w:szCs w:val="20"/>
                <w:color w:val="auto"/>
              </w:rPr>
            </w:pPr>
            <w:r>
              <w:rPr>
                <w:rFonts w:ascii="Arial" w:cs="Arial" w:eastAsia="Arial" w:hAnsi="Arial"/>
                <w:sz w:val="18"/>
                <w:szCs w:val="18"/>
                <w:color w:val="006098"/>
                <w:w w:val="99"/>
              </w:rPr>
              <w:t>$</w:t>
            </w: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214</w:t>
            </w:r>
          </w:p>
        </w:tc>
        <w:tc>
          <w:tcPr>
            <w:tcW w:w="100" w:type="dxa"/>
            <w:vAlign w:val="bottom"/>
            <w:tcBorders>
              <w:bottom w:val="single" w:sz="8" w:color="D2DCE5"/>
            </w:tcBorders>
            <w:shd w:val="clear" w:color="auto" w:fill="D2DCE5"/>
          </w:tcPr>
          <w:p>
            <w:pPr>
              <w:spacing w:after="0"/>
              <w:rPr>
                <w:sz w:val="24"/>
                <w:szCs w:val="24"/>
                <w:color w:val="auto"/>
              </w:rPr>
            </w:pPr>
          </w:p>
        </w:tc>
        <w:tc>
          <w:tcPr>
            <w:tcW w:w="420" w:type="dxa"/>
            <w:vAlign w:val="bottom"/>
            <w:tcBorders>
              <w:bottom w:val="single" w:sz="8" w:color="auto"/>
            </w:tcBorders>
            <w:shd w:val="clear" w:color="auto" w:fill="D2DCE5"/>
          </w:tcPr>
          <w:p>
            <w:pPr>
              <w:jc w:val="right"/>
              <w:ind w:right="210"/>
              <w:spacing w:after="0"/>
              <w:rPr>
                <w:sz w:val="20"/>
                <w:szCs w:val="20"/>
                <w:color w:val="auto"/>
              </w:rPr>
            </w:pPr>
            <w:r>
              <w:rPr>
                <w:rFonts w:ascii="Arial" w:cs="Arial" w:eastAsia="Arial" w:hAnsi="Arial"/>
                <w:sz w:val="18"/>
                <w:szCs w:val="18"/>
                <w:color w:val="131E29"/>
                <w:w w:val="99"/>
              </w:rPr>
              <w:t>$</w:t>
            </w: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503</w:t>
            </w:r>
          </w:p>
        </w:tc>
      </w:tr>
      <w:tr>
        <w:trPr>
          <w:trHeight w:val="20"/>
        </w:trPr>
        <w:tc>
          <w:tcPr>
            <w:tcW w:w="7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14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1400" w:type="dxa"/>
            <w:vAlign w:val="bottom"/>
            <w:tcBorders>
              <w:top w:val="single" w:sz="8" w:color="D2DCE5"/>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9 — Leases</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 summary of finance and operating lease right-of-use assets and lease liabilities as of March 31, 2026 and December 31, 2025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4480" w:type="dxa"/>
            <w:vAlign w:val="bottom"/>
            <w:tcBorders>
              <w:bottom w:val="single" w:sz="8" w:color="D7282F"/>
            </w:tcBorders>
          </w:tcPr>
          <w:p>
            <w:pPr>
              <w:ind w:left="1020"/>
              <w:spacing w:after="0"/>
              <w:rPr>
                <w:sz w:val="20"/>
                <w:szCs w:val="20"/>
                <w:color w:val="auto"/>
              </w:rPr>
            </w:pPr>
            <w:r>
              <w:rPr>
                <w:rFonts w:ascii="Arial" w:cs="Arial" w:eastAsia="Arial" w:hAnsi="Arial"/>
                <w:sz w:val="18"/>
                <w:szCs w:val="18"/>
                <w:b w:val="1"/>
                <w:bCs w:val="1"/>
                <w:color w:val="131E29"/>
              </w:rPr>
              <w:t>Balance Sheet Classification</w:t>
            </w:r>
          </w:p>
        </w:tc>
        <w:tc>
          <w:tcPr>
            <w:tcW w:w="100" w:type="dxa"/>
            <w:vAlign w:val="bottom"/>
            <w:tcBorders>
              <w:bottom w:val="single" w:sz="8" w:color="D2DCE5"/>
            </w:tcBorders>
          </w:tcPr>
          <w:p>
            <w:pPr>
              <w:spacing w:after="0"/>
              <w:rPr>
                <w:sz w:val="22"/>
                <w:szCs w:val="22"/>
                <w:color w:val="auto"/>
              </w:rPr>
            </w:pPr>
          </w:p>
        </w:tc>
        <w:tc>
          <w:tcPr>
            <w:tcW w:w="140" w:type="dxa"/>
            <w:vAlign w:val="bottom"/>
            <w:tcBorders>
              <w:bottom w:val="single" w:sz="8" w:color="D7282F"/>
            </w:tcBorders>
          </w:tcPr>
          <w:p>
            <w:pPr>
              <w:spacing w:after="0"/>
              <w:rPr>
                <w:sz w:val="22"/>
                <w:szCs w:val="22"/>
                <w:color w:val="auto"/>
              </w:rPr>
            </w:pPr>
          </w:p>
        </w:tc>
        <w:tc>
          <w:tcPr>
            <w:tcW w:w="1500" w:type="dxa"/>
            <w:vAlign w:val="bottom"/>
            <w:tcBorders>
              <w:bottom w:val="single" w:sz="8" w:color="D7282F"/>
            </w:tcBorders>
          </w:tcPr>
          <w:p>
            <w:pPr>
              <w:jc w:val="right"/>
              <w:ind w:right="90"/>
              <w:spacing w:after="0"/>
              <w:rPr>
                <w:sz w:val="20"/>
                <w:szCs w:val="20"/>
                <w:color w:val="auto"/>
              </w:rPr>
            </w:pPr>
            <w:r>
              <w:rPr>
                <w:rFonts w:ascii="Arial" w:cs="Arial" w:eastAsia="Arial" w:hAnsi="Arial"/>
                <w:sz w:val="18"/>
                <w:szCs w:val="18"/>
                <w:b w:val="1"/>
                <w:bCs w:val="1"/>
                <w:color w:val="131E29"/>
              </w:rPr>
              <w:t>March 31, 2026</w:t>
            </w:r>
          </w:p>
        </w:tc>
        <w:tc>
          <w:tcPr>
            <w:tcW w:w="100" w:type="dxa"/>
            <w:vAlign w:val="bottom"/>
            <w:tcBorders>
              <w:bottom w:val="single" w:sz="8" w:color="D2DCE5"/>
            </w:tcBorders>
          </w:tcPr>
          <w:p>
            <w:pPr>
              <w:spacing w:after="0"/>
              <w:rPr>
                <w:sz w:val="22"/>
                <w:szCs w:val="22"/>
                <w:color w:val="auto"/>
              </w:rPr>
            </w:pPr>
          </w:p>
        </w:tc>
        <w:tc>
          <w:tcPr>
            <w:tcW w:w="1720" w:type="dxa"/>
            <w:vAlign w:val="bottom"/>
            <w:tcBorders>
              <w:bottom w:val="single" w:sz="8" w:color="D7282F"/>
            </w:tcBorders>
            <w:gridSpan w:val="2"/>
          </w:tcPr>
          <w:p>
            <w:pPr>
              <w:jc w:val="right"/>
              <w:spacing w:after="0"/>
              <w:rPr>
                <w:sz w:val="20"/>
                <w:szCs w:val="20"/>
                <w:color w:val="auto"/>
              </w:rPr>
            </w:pPr>
            <w:r>
              <w:rPr>
                <w:rFonts w:ascii="Arial" w:cs="Arial" w:eastAsia="Arial" w:hAnsi="Arial"/>
                <w:sz w:val="18"/>
                <w:szCs w:val="18"/>
                <w:b w:val="1"/>
                <w:bCs w:val="1"/>
                <w:color w:val="131E29"/>
              </w:rPr>
              <w:t>December 31, 2025</w:t>
            </w:r>
          </w:p>
        </w:tc>
      </w:tr>
      <w:tr>
        <w:trPr>
          <w:trHeight w:val="270"/>
        </w:trPr>
        <w:tc>
          <w:tcPr>
            <w:tcW w:w="320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 xml:space="preserve">Right-of-use assets </w:t>
            </w:r>
            <w:r>
              <w:rPr>
                <w:rFonts w:ascii="Arial" w:cs="Arial" w:eastAsia="Arial" w:hAnsi="Arial"/>
                <w:sz w:val="23"/>
                <w:szCs w:val="23"/>
                <w:b w:val="1"/>
                <w:bCs w:val="1"/>
                <w:color w:val="131E29"/>
                <w:vertAlign w:val="superscript"/>
              </w:rPr>
              <w:t>1</w:t>
            </w:r>
          </w:p>
        </w:tc>
        <w:tc>
          <w:tcPr>
            <w:tcW w:w="44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560" w:type="dxa"/>
            <w:vAlign w:val="bottom"/>
            <w:shd w:val="clear" w:color="auto" w:fill="D2DCE5"/>
          </w:tcPr>
          <w:p>
            <w:pPr>
              <w:spacing w:after="0"/>
              <w:rPr>
                <w:sz w:val="23"/>
                <w:szCs w:val="23"/>
                <w:color w:val="auto"/>
              </w:rPr>
            </w:pPr>
          </w:p>
        </w:tc>
        <w:tc>
          <w:tcPr>
            <w:tcW w:w="1160" w:type="dxa"/>
            <w:vAlign w:val="bottom"/>
            <w:shd w:val="clear" w:color="auto" w:fill="D2DCE5"/>
          </w:tcPr>
          <w:p>
            <w:pPr>
              <w:spacing w:after="0"/>
              <w:rPr>
                <w:sz w:val="23"/>
                <w:szCs w:val="23"/>
                <w:color w:val="auto"/>
              </w:rPr>
            </w:pPr>
          </w:p>
        </w:tc>
      </w:tr>
      <w:tr>
        <w:trPr>
          <w:trHeight w:val="270"/>
        </w:trPr>
        <w:tc>
          <w:tcPr>
            <w:tcW w:w="3200" w:type="dxa"/>
            <w:vAlign w:val="bottom"/>
            <w:gridSpan w:val="2"/>
          </w:tcPr>
          <w:p>
            <w:pPr>
              <w:ind w:left="140"/>
              <w:spacing w:after="0"/>
              <w:rPr>
                <w:sz w:val="20"/>
                <w:szCs w:val="20"/>
                <w:color w:val="auto"/>
              </w:rPr>
            </w:pPr>
            <w:r>
              <w:rPr>
                <w:rFonts w:ascii="Arial" w:cs="Arial" w:eastAsia="Arial" w:hAnsi="Arial"/>
                <w:sz w:val="18"/>
                <w:szCs w:val="18"/>
                <w:color w:val="131E29"/>
              </w:rPr>
              <w:t>Finance leases</w:t>
            </w:r>
          </w:p>
        </w:tc>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006098"/>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006098"/>
              </w:rPr>
              <w:t>399,729</w:t>
            </w:r>
          </w:p>
        </w:tc>
        <w:tc>
          <w:tcPr>
            <w:tcW w:w="10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131E29"/>
              </w:rPr>
              <w:t>406,381</w:t>
            </w:r>
          </w:p>
        </w:tc>
      </w:tr>
      <w:tr>
        <w:trPr>
          <w:trHeight w:val="270"/>
        </w:trPr>
        <w:tc>
          <w:tcPr>
            <w:tcW w:w="320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Operating leases</w:t>
            </w:r>
          </w:p>
        </w:tc>
        <w:tc>
          <w:tcPr>
            <w:tcW w:w="44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535,657</w:t>
            </w:r>
          </w:p>
        </w:tc>
        <w:tc>
          <w:tcPr>
            <w:tcW w:w="100" w:type="dxa"/>
            <w:vAlign w:val="bottom"/>
            <w:shd w:val="clear" w:color="auto" w:fill="D2DCE5"/>
          </w:tcPr>
          <w:p>
            <w:pPr>
              <w:spacing w:after="0"/>
              <w:rPr>
                <w:sz w:val="23"/>
                <w:szCs w:val="23"/>
                <w:color w:val="auto"/>
              </w:rPr>
            </w:pPr>
          </w:p>
        </w:tc>
        <w:tc>
          <w:tcPr>
            <w:tcW w:w="560" w:type="dxa"/>
            <w:vAlign w:val="bottom"/>
            <w:tcBorders>
              <w:bottom w:val="single" w:sz="8" w:color="auto"/>
            </w:tcBorders>
            <w:shd w:val="clear" w:color="auto" w:fill="D2DCE5"/>
          </w:tcPr>
          <w:p>
            <w:pPr>
              <w:spacing w:after="0"/>
              <w:rPr>
                <w:sz w:val="23"/>
                <w:szCs w:val="23"/>
                <w:color w:val="auto"/>
              </w:rPr>
            </w:pP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448,958</w:t>
            </w:r>
          </w:p>
        </w:tc>
      </w:tr>
      <w:tr>
        <w:trPr>
          <w:trHeight w:val="223"/>
        </w:trPr>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131E29"/>
              </w:rPr>
              <w:t>Lease right-of-use assets,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935,386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855,339</w:t>
            </w:r>
          </w:p>
        </w:tc>
      </w:tr>
      <w:tr>
        <w:trPr>
          <w:trHeight w:val="20"/>
        </w:trPr>
        <w:tc>
          <w:tcPr>
            <w:tcW w:w="31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44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3200" w:type="dxa"/>
            <w:vAlign w:val="bottom"/>
            <w:gridSpan w:val="2"/>
            <w:shd w:val="clear" w:color="auto" w:fill="D2DCE5"/>
          </w:tcPr>
          <w:p>
            <w:pPr>
              <w:ind w:left="20"/>
              <w:spacing w:after="0" w:line="237" w:lineRule="exact"/>
              <w:rPr>
                <w:sz w:val="20"/>
                <w:szCs w:val="20"/>
                <w:color w:val="auto"/>
              </w:rPr>
            </w:pPr>
            <w:r>
              <w:rPr>
                <w:rFonts w:ascii="Arial" w:cs="Arial" w:eastAsia="Arial" w:hAnsi="Arial"/>
                <w:sz w:val="18"/>
                <w:szCs w:val="18"/>
                <w:b w:val="1"/>
                <w:bCs w:val="1"/>
                <w:color w:val="131E29"/>
              </w:rPr>
              <w:t xml:space="preserve">Lease liabilities </w:t>
            </w:r>
            <w:r>
              <w:rPr>
                <w:rFonts w:ascii="Arial" w:cs="Arial" w:eastAsia="Arial" w:hAnsi="Arial"/>
                <w:sz w:val="23"/>
                <w:szCs w:val="23"/>
                <w:b w:val="1"/>
                <w:bCs w:val="1"/>
                <w:color w:val="131E29"/>
                <w:vertAlign w:val="superscript"/>
              </w:rPr>
              <w:t>1</w:t>
            </w:r>
          </w:p>
        </w:tc>
        <w:tc>
          <w:tcPr>
            <w:tcW w:w="448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140" w:type="dxa"/>
            <w:vAlign w:val="bottom"/>
            <w:shd w:val="clear" w:color="auto" w:fill="D2DCE5"/>
          </w:tcPr>
          <w:p>
            <w:pPr>
              <w:spacing w:after="0"/>
              <w:rPr>
                <w:sz w:val="20"/>
                <w:szCs w:val="20"/>
                <w:color w:val="auto"/>
              </w:rPr>
            </w:pPr>
          </w:p>
        </w:tc>
        <w:tc>
          <w:tcPr>
            <w:tcW w:w="15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560" w:type="dxa"/>
            <w:vAlign w:val="bottom"/>
            <w:shd w:val="clear" w:color="auto" w:fill="D2DCE5"/>
          </w:tcPr>
          <w:p>
            <w:pPr>
              <w:spacing w:after="0"/>
              <w:rPr>
                <w:sz w:val="20"/>
                <w:szCs w:val="20"/>
                <w:color w:val="auto"/>
              </w:rPr>
            </w:pPr>
          </w:p>
        </w:tc>
        <w:tc>
          <w:tcPr>
            <w:tcW w:w="1160" w:type="dxa"/>
            <w:vAlign w:val="bottom"/>
            <w:shd w:val="clear" w:color="auto" w:fill="D2DCE5"/>
          </w:tcPr>
          <w:p>
            <w:pPr>
              <w:spacing w:after="0"/>
              <w:rPr>
                <w:sz w:val="20"/>
                <w:szCs w:val="20"/>
                <w:color w:val="auto"/>
              </w:rPr>
            </w:pPr>
          </w:p>
        </w:tc>
      </w:tr>
      <w:tr>
        <w:trPr>
          <w:trHeight w:val="247"/>
        </w:trPr>
        <w:tc>
          <w:tcPr>
            <w:tcW w:w="3200" w:type="dxa"/>
            <w:vAlign w:val="bottom"/>
            <w:gridSpan w:val="2"/>
          </w:tcPr>
          <w:p>
            <w:pPr>
              <w:ind w:left="20"/>
              <w:spacing w:after="0"/>
              <w:rPr>
                <w:sz w:val="20"/>
                <w:szCs w:val="20"/>
                <w:color w:val="auto"/>
              </w:rPr>
            </w:pPr>
            <w:r>
              <w:rPr>
                <w:rFonts w:ascii="Arial" w:cs="Arial" w:eastAsia="Arial" w:hAnsi="Arial"/>
                <w:sz w:val="18"/>
                <w:szCs w:val="18"/>
                <w:color w:val="131E29"/>
              </w:rPr>
              <w:t>Current lease liabilities</w:t>
            </w: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20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Finance leases</w:t>
            </w:r>
          </w:p>
        </w:tc>
        <w:tc>
          <w:tcPr>
            <w:tcW w:w="44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79"/>
              </w:rPr>
              <w:t>$</w:t>
            </w: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15,989</w:t>
            </w:r>
          </w:p>
        </w:tc>
        <w:tc>
          <w:tcPr>
            <w:tcW w:w="100" w:type="dxa"/>
            <w:vAlign w:val="bottom"/>
            <w:shd w:val="clear" w:color="auto" w:fill="D2DCE5"/>
          </w:tcPr>
          <w:p>
            <w:pPr>
              <w:spacing w:after="0"/>
              <w:rPr>
                <w:sz w:val="23"/>
                <w:szCs w:val="23"/>
                <w:color w:val="auto"/>
              </w:rPr>
            </w:pPr>
          </w:p>
        </w:tc>
        <w:tc>
          <w:tcPr>
            <w:tcW w:w="560" w:type="dxa"/>
            <w:vAlign w:val="bottom"/>
            <w:shd w:val="clear" w:color="auto" w:fill="D2DCE5"/>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17,298</w:t>
            </w:r>
          </w:p>
        </w:tc>
      </w:tr>
      <w:tr>
        <w:trPr>
          <w:trHeight w:val="270"/>
        </w:trPr>
        <w:tc>
          <w:tcPr>
            <w:tcW w:w="3200" w:type="dxa"/>
            <w:vAlign w:val="bottom"/>
            <w:tcBorders>
              <w:bottom w:val="single" w:sz="8" w:color="D2DCE5"/>
            </w:tcBorders>
            <w:gridSpan w:val="2"/>
          </w:tcPr>
          <w:p>
            <w:pPr>
              <w:ind w:left="140"/>
              <w:spacing w:after="0"/>
              <w:rPr>
                <w:sz w:val="20"/>
                <w:szCs w:val="20"/>
                <w:color w:val="auto"/>
              </w:rPr>
            </w:pPr>
            <w:r>
              <w:rPr>
                <w:rFonts w:ascii="Arial" w:cs="Arial" w:eastAsia="Arial" w:hAnsi="Arial"/>
                <w:sz w:val="18"/>
                <w:szCs w:val="18"/>
                <w:color w:val="131E29"/>
              </w:rPr>
              <w:t>Operating leases</w:t>
            </w:r>
          </w:p>
        </w:tc>
        <w:tc>
          <w:tcPr>
            <w:tcW w:w="448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23,171</w:t>
            </w:r>
          </w:p>
        </w:tc>
        <w:tc>
          <w:tcPr>
            <w:tcW w:w="100" w:type="dxa"/>
            <w:vAlign w:val="bottom"/>
            <w:tcBorders>
              <w:bottom w:val="single" w:sz="8" w:color="D2DCE5"/>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19,168</w:t>
            </w:r>
          </w:p>
        </w:tc>
      </w:tr>
      <w:tr>
        <w:trPr>
          <w:trHeight w:val="250"/>
        </w:trPr>
        <w:tc>
          <w:tcPr>
            <w:tcW w:w="31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45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Current portion of lease liabilities</w:t>
            </w: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w w:val="79"/>
              </w:rPr>
              <w:t>$</w:t>
            </w: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39,160</w:t>
            </w:r>
          </w:p>
        </w:tc>
        <w:tc>
          <w:tcPr>
            <w:tcW w:w="100" w:type="dxa"/>
            <w:vAlign w:val="bottom"/>
            <w:shd w:val="clear" w:color="auto" w:fill="D2DCE5"/>
          </w:tcPr>
          <w:p>
            <w:pPr>
              <w:spacing w:after="0"/>
              <w:rPr>
                <w:sz w:val="21"/>
                <w:szCs w:val="21"/>
                <w:color w:val="auto"/>
              </w:rPr>
            </w:pPr>
          </w:p>
        </w:tc>
        <w:tc>
          <w:tcPr>
            <w:tcW w:w="560" w:type="dxa"/>
            <w:vAlign w:val="bottom"/>
            <w:shd w:val="clear" w:color="auto" w:fill="D2DCE5"/>
          </w:tcPr>
          <w:p>
            <w:pPr>
              <w:jc w:val="right"/>
              <w:ind w:right="3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36,466</w:t>
            </w:r>
          </w:p>
        </w:tc>
      </w:tr>
      <w:tr>
        <w:trPr>
          <w:trHeight w:val="247"/>
        </w:trPr>
        <w:tc>
          <w:tcPr>
            <w:tcW w:w="3200" w:type="dxa"/>
            <w:vAlign w:val="bottom"/>
            <w:gridSpan w:val="2"/>
          </w:tcPr>
          <w:p>
            <w:pPr>
              <w:ind w:left="20"/>
              <w:spacing w:after="0"/>
              <w:rPr>
                <w:sz w:val="20"/>
                <w:szCs w:val="20"/>
                <w:color w:val="auto"/>
              </w:rPr>
            </w:pPr>
            <w:r>
              <w:rPr>
                <w:rFonts w:ascii="Arial" w:cs="Arial" w:eastAsia="Arial" w:hAnsi="Arial"/>
                <w:sz w:val="18"/>
                <w:szCs w:val="18"/>
                <w:color w:val="131E29"/>
              </w:rPr>
              <w:t>Non-current lease liabilities</w:t>
            </w:r>
          </w:p>
        </w:tc>
        <w:tc>
          <w:tcPr>
            <w:tcW w:w="4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20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Finance leases</w:t>
            </w:r>
          </w:p>
        </w:tc>
        <w:tc>
          <w:tcPr>
            <w:tcW w:w="448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79"/>
              </w:rPr>
              <w:t>$</w:t>
            </w: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398,898</w:t>
            </w:r>
          </w:p>
        </w:tc>
        <w:tc>
          <w:tcPr>
            <w:tcW w:w="100" w:type="dxa"/>
            <w:vAlign w:val="bottom"/>
            <w:shd w:val="clear" w:color="auto" w:fill="D2DCE5"/>
          </w:tcPr>
          <w:p>
            <w:pPr>
              <w:spacing w:after="0"/>
              <w:rPr>
                <w:sz w:val="23"/>
                <w:szCs w:val="23"/>
                <w:color w:val="auto"/>
              </w:rPr>
            </w:pPr>
          </w:p>
        </w:tc>
        <w:tc>
          <w:tcPr>
            <w:tcW w:w="560" w:type="dxa"/>
            <w:vAlign w:val="bottom"/>
            <w:shd w:val="clear" w:color="auto" w:fill="D2DCE5"/>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402,697</w:t>
            </w:r>
          </w:p>
        </w:tc>
      </w:tr>
      <w:tr>
        <w:trPr>
          <w:trHeight w:val="270"/>
        </w:trPr>
        <w:tc>
          <w:tcPr>
            <w:tcW w:w="3200" w:type="dxa"/>
            <w:vAlign w:val="bottom"/>
            <w:tcBorders>
              <w:bottom w:val="single" w:sz="8" w:color="D2DCE5"/>
            </w:tcBorders>
            <w:gridSpan w:val="2"/>
          </w:tcPr>
          <w:p>
            <w:pPr>
              <w:ind w:left="140"/>
              <w:spacing w:after="0"/>
              <w:rPr>
                <w:sz w:val="20"/>
                <w:szCs w:val="20"/>
                <w:color w:val="auto"/>
              </w:rPr>
            </w:pPr>
            <w:r>
              <w:rPr>
                <w:rFonts w:ascii="Arial" w:cs="Arial" w:eastAsia="Arial" w:hAnsi="Arial"/>
                <w:sz w:val="18"/>
                <w:szCs w:val="18"/>
                <w:color w:val="131E29"/>
              </w:rPr>
              <w:t>Operating leases</w:t>
            </w:r>
          </w:p>
        </w:tc>
        <w:tc>
          <w:tcPr>
            <w:tcW w:w="448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522,978</w:t>
            </w:r>
          </w:p>
        </w:tc>
        <w:tc>
          <w:tcPr>
            <w:tcW w:w="100" w:type="dxa"/>
            <w:vAlign w:val="bottom"/>
            <w:tcBorders>
              <w:bottom w:val="single" w:sz="8" w:color="D2DCE5"/>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449,683</w:t>
            </w:r>
          </w:p>
        </w:tc>
      </w:tr>
      <w:tr>
        <w:trPr>
          <w:trHeight w:val="250"/>
        </w:trPr>
        <w:tc>
          <w:tcPr>
            <w:tcW w:w="312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45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Lease liabilities, net of current portion</w:t>
            </w:r>
          </w:p>
        </w:tc>
        <w:tc>
          <w:tcPr>
            <w:tcW w:w="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79"/>
              </w:rPr>
              <w:t>$</w:t>
            </w: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921,876</w:t>
            </w:r>
          </w:p>
        </w:tc>
        <w:tc>
          <w:tcPr>
            <w:tcW w:w="100" w:type="dxa"/>
            <w:vAlign w:val="bottom"/>
            <w:shd w:val="clear" w:color="auto" w:fill="D2DCE5"/>
          </w:tcPr>
          <w:p>
            <w:pPr>
              <w:spacing w:after="0"/>
              <w:rPr>
                <w:sz w:val="21"/>
                <w:szCs w:val="21"/>
                <w:color w:val="auto"/>
              </w:rPr>
            </w:pPr>
          </w:p>
        </w:tc>
        <w:tc>
          <w:tcPr>
            <w:tcW w:w="560" w:type="dxa"/>
            <w:vAlign w:val="bottom"/>
            <w:tcBorders>
              <w:bottom w:val="single" w:sz="8" w:color="auto"/>
            </w:tcBorders>
            <w:shd w:val="clear" w:color="auto" w:fill="D2DCE5"/>
          </w:tcPr>
          <w:p>
            <w:pPr>
              <w:jc w:val="right"/>
              <w:ind w:right="350"/>
              <w:spacing w:after="0"/>
              <w:rPr>
                <w:sz w:val="20"/>
                <w:szCs w:val="20"/>
                <w:color w:val="auto"/>
              </w:rPr>
            </w:pPr>
            <w:r>
              <w:rPr>
                <w:rFonts w:ascii="Arial" w:cs="Arial" w:eastAsia="Arial" w:hAnsi="Arial"/>
                <w:sz w:val="18"/>
                <w:szCs w:val="18"/>
                <w:b w:val="1"/>
                <w:bCs w:val="1"/>
                <w:color w:val="131E29"/>
                <w:w w:val="99"/>
              </w:rPr>
              <w:t>$</w:t>
            </w:r>
          </w:p>
        </w:tc>
        <w:tc>
          <w:tcPr>
            <w:tcW w:w="1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852,380</w:t>
            </w:r>
          </w:p>
        </w:tc>
      </w:tr>
      <w:tr>
        <w:trPr>
          <w:trHeight w:val="223"/>
        </w:trPr>
        <w:tc>
          <w:tcPr>
            <w:tcW w:w="3200" w:type="dxa"/>
            <w:vAlign w:val="bottom"/>
            <w:gridSpan w:val="2"/>
          </w:tcPr>
          <w:p>
            <w:pPr>
              <w:ind w:left="20"/>
              <w:spacing w:after="0"/>
              <w:rPr>
                <w:sz w:val="20"/>
                <w:szCs w:val="20"/>
                <w:color w:val="auto"/>
              </w:rPr>
            </w:pPr>
            <w:r>
              <w:rPr>
                <w:rFonts w:ascii="Arial" w:cs="Arial" w:eastAsia="Arial" w:hAnsi="Arial"/>
                <w:sz w:val="18"/>
                <w:szCs w:val="18"/>
                <w:color w:val="131E29"/>
              </w:rPr>
              <w:t>Total lease liabilities</w:t>
            </w:r>
          </w:p>
        </w:tc>
        <w:tc>
          <w:tcPr>
            <w:tcW w:w="4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961,036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131E29"/>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888,846</w:t>
            </w:r>
          </w:p>
        </w:tc>
      </w:tr>
      <w:tr>
        <w:trPr>
          <w:trHeight w:val="21"/>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ind w:left="100" w:hanging="92"/>
        <w:spacing w:after="0" w:line="229" w:lineRule="auto"/>
        <w:tabs>
          <w:tab w:leader="none" w:pos="10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Lease right-of-use assets, net and lease liabilities increased $32.5 million and $21.2 million, respectively, due to the Clutch Coffee asset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components of lease costs, excluding short-term lease costs and sublease income (both immaterial for the periods presented),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2860" w:type="dxa"/>
            <w:vAlign w:val="bottom"/>
            <w:tcBorders>
              <w:bottom w:val="single" w:sz="8" w:color="D7282F"/>
            </w:tcBorders>
            <w:gridSpan w:val="4"/>
          </w:tcPr>
          <w:p>
            <w:pPr>
              <w:jc w:val="right"/>
              <w:ind w:right="90"/>
              <w:spacing w:after="0"/>
              <w:rPr>
                <w:sz w:val="20"/>
                <w:szCs w:val="20"/>
                <w:color w:val="auto"/>
              </w:rPr>
            </w:pPr>
            <w:r>
              <w:rPr>
                <w:rFonts w:ascii="Arial" w:cs="Arial" w:eastAsia="Arial" w:hAnsi="Arial"/>
                <w:sz w:val="18"/>
                <w:szCs w:val="18"/>
                <w:b w:val="1"/>
                <w:bCs w:val="1"/>
                <w:color w:val="131E29"/>
                <w:w w:val="99"/>
              </w:rPr>
              <w:t>Three Months Ended March 31,</w:t>
            </w:r>
          </w:p>
        </w:tc>
      </w:tr>
      <w:tr>
        <w:trPr>
          <w:trHeight w:val="263"/>
        </w:trPr>
        <w:tc>
          <w:tcPr>
            <w:tcW w:w="396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Pr>
          <w:p>
            <w:pPr>
              <w:spacing w:after="0"/>
              <w:rPr>
                <w:sz w:val="22"/>
                <w:szCs w:val="22"/>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b w:val="1"/>
                <w:bCs w:val="1"/>
                <w:color w:val="131E29"/>
              </w:rPr>
              <w:t>Statements of Operations Classification</w:t>
            </w:r>
          </w:p>
        </w:tc>
        <w:tc>
          <w:tcPr>
            <w:tcW w:w="160" w:type="dxa"/>
            <w:vAlign w:val="bottom"/>
          </w:tcPr>
          <w:p>
            <w:pPr>
              <w:spacing w:after="0"/>
              <w:rPr>
                <w:sz w:val="22"/>
                <w:szCs w:val="22"/>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131E29"/>
              </w:rPr>
              <w:t>2025</w:t>
            </w:r>
          </w:p>
        </w:tc>
      </w:tr>
      <w:tr>
        <w:trPr>
          <w:trHeight w:val="270"/>
        </w:trPr>
        <w:tc>
          <w:tcPr>
            <w:tcW w:w="3960" w:type="dxa"/>
            <w:vAlign w:val="bottom"/>
            <w:tcBorders>
              <w:top w:val="single" w:sz="8" w:color="D7282F"/>
            </w:tcBorders>
            <w:shd w:val="clear" w:color="auto" w:fill="D2DCE5"/>
          </w:tcPr>
          <w:p>
            <w:pPr>
              <w:ind w:left="20"/>
              <w:spacing w:after="0"/>
              <w:rPr>
                <w:sz w:val="20"/>
                <w:szCs w:val="20"/>
                <w:color w:val="auto"/>
              </w:rPr>
            </w:pPr>
            <w:r>
              <w:rPr>
                <w:rFonts w:ascii="Arial" w:cs="Arial" w:eastAsia="Arial" w:hAnsi="Arial"/>
                <w:sz w:val="18"/>
                <w:szCs w:val="18"/>
                <w:b w:val="1"/>
                <w:bCs w:val="1"/>
                <w:color w:val="131E29"/>
              </w:rPr>
              <w:t>Finance lease costs</w:t>
            </w:r>
          </w:p>
        </w:tc>
        <w:tc>
          <w:tcPr>
            <w:tcW w:w="100" w:type="dxa"/>
            <w:vAlign w:val="bottom"/>
            <w:tcBorders>
              <w:top w:val="single" w:sz="8" w:color="D2DCE5"/>
            </w:tcBorders>
            <w:shd w:val="clear" w:color="auto" w:fill="D2DCE5"/>
          </w:tcPr>
          <w:p>
            <w:pPr>
              <w:spacing w:after="0"/>
              <w:rPr>
                <w:sz w:val="23"/>
                <w:szCs w:val="23"/>
                <w:color w:val="auto"/>
              </w:rPr>
            </w:pPr>
          </w:p>
        </w:tc>
        <w:tc>
          <w:tcPr>
            <w:tcW w:w="4080" w:type="dxa"/>
            <w:vAlign w:val="bottom"/>
            <w:tcBorders>
              <w:top w:val="single" w:sz="8" w:color="D7282F"/>
            </w:tcBorders>
            <w:shd w:val="clear" w:color="auto" w:fill="D2DCE5"/>
          </w:tcPr>
          <w:p>
            <w:pPr>
              <w:spacing w:after="0"/>
              <w:rPr>
                <w:sz w:val="23"/>
                <w:szCs w:val="23"/>
                <w:color w:val="auto"/>
              </w:rPr>
            </w:pPr>
          </w:p>
        </w:tc>
        <w:tc>
          <w:tcPr>
            <w:tcW w:w="80" w:type="dxa"/>
            <w:vAlign w:val="bottom"/>
            <w:tcBorders>
              <w:top w:val="single" w:sz="8" w:color="D2DCE5"/>
            </w:tcBorders>
            <w:shd w:val="clear" w:color="auto" w:fill="D2DCE5"/>
          </w:tcPr>
          <w:p>
            <w:pPr>
              <w:spacing w:after="0"/>
              <w:rPr>
                <w:sz w:val="23"/>
                <w:szCs w:val="23"/>
                <w:color w:val="auto"/>
              </w:rPr>
            </w:pPr>
          </w:p>
        </w:tc>
        <w:tc>
          <w:tcPr>
            <w:tcW w:w="160" w:type="dxa"/>
            <w:vAlign w:val="bottom"/>
            <w:tcBorders>
              <w:top w:val="single" w:sz="8" w:color="D7282F"/>
            </w:tcBorders>
            <w:shd w:val="clear" w:color="auto" w:fill="D2DCE5"/>
          </w:tcPr>
          <w:p>
            <w:pPr>
              <w:spacing w:after="0"/>
              <w:rPr>
                <w:sz w:val="23"/>
                <w:szCs w:val="23"/>
                <w:color w:val="auto"/>
              </w:rPr>
            </w:pPr>
          </w:p>
        </w:tc>
        <w:tc>
          <w:tcPr>
            <w:tcW w:w="1300" w:type="dxa"/>
            <w:vAlign w:val="bottom"/>
            <w:tcBorders>
              <w:top w:val="single" w:sz="8" w:color="D7282F"/>
            </w:tcBorders>
            <w:shd w:val="clear" w:color="auto" w:fill="D2DCE5"/>
          </w:tcPr>
          <w:p>
            <w:pPr>
              <w:spacing w:after="0"/>
              <w:rPr>
                <w:sz w:val="23"/>
                <w:szCs w:val="23"/>
                <w:color w:val="auto"/>
              </w:rPr>
            </w:pPr>
          </w:p>
        </w:tc>
        <w:tc>
          <w:tcPr>
            <w:tcW w:w="100" w:type="dxa"/>
            <w:vAlign w:val="bottom"/>
            <w:tcBorders>
              <w:top w:val="single" w:sz="8" w:color="D2DCE5"/>
            </w:tcBorders>
            <w:shd w:val="clear" w:color="auto" w:fill="D2DCE5"/>
          </w:tcPr>
          <w:p>
            <w:pPr>
              <w:spacing w:after="0"/>
              <w:rPr>
                <w:sz w:val="23"/>
                <w:szCs w:val="23"/>
                <w:color w:val="auto"/>
              </w:rPr>
            </w:pPr>
          </w:p>
        </w:tc>
        <w:tc>
          <w:tcPr>
            <w:tcW w:w="320" w:type="dxa"/>
            <w:vAlign w:val="bottom"/>
            <w:tcBorders>
              <w:top w:val="single" w:sz="8" w:color="D7282F"/>
            </w:tcBorders>
            <w:shd w:val="clear" w:color="auto" w:fill="D2DCE5"/>
          </w:tcPr>
          <w:p>
            <w:pPr>
              <w:spacing w:after="0"/>
              <w:rPr>
                <w:sz w:val="23"/>
                <w:szCs w:val="23"/>
                <w:color w:val="auto"/>
              </w:rPr>
            </w:pPr>
          </w:p>
        </w:tc>
        <w:tc>
          <w:tcPr>
            <w:tcW w:w="1140" w:type="dxa"/>
            <w:vAlign w:val="bottom"/>
            <w:tcBorders>
              <w:top w:val="single" w:sz="8" w:color="D7282F"/>
            </w:tcBorders>
            <w:shd w:val="clear" w:color="auto" w:fill="D2DCE5"/>
          </w:tcPr>
          <w:p>
            <w:pPr>
              <w:spacing w:after="0"/>
              <w:rPr>
                <w:sz w:val="23"/>
                <w:szCs w:val="23"/>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131E29"/>
              </w:rPr>
              <w:t>Amortization of right-of-use assets</w:t>
            </w:r>
          </w:p>
        </w:tc>
        <w:tc>
          <w:tcPr>
            <w:tcW w:w="100" w:type="dxa"/>
            <w:vAlign w:val="bottom"/>
          </w:tcPr>
          <w:p>
            <w:pPr>
              <w:spacing w:after="0"/>
              <w:rPr>
                <w:sz w:val="23"/>
                <w:szCs w:val="23"/>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6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006098"/>
              </w:rPr>
              <w:t>7,454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6,560</w:t>
            </w:r>
          </w:p>
        </w:tc>
      </w:tr>
      <w:tr>
        <w:trPr>
          <w:trHeight w:val="270"/>
        </w:trPr>
        <w:tc>
          <w:tcPr>
            <w:tcW w:w="396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Amortization of right-of-use assets</w:t>
            </w:r>
          </w:p>
        </w:tc>
        <w:tc>
          <w:tcPr>
            <w:tcW w:w="100" w:type="dxa"/>
            <w:vAlign w:val="bottom"/>
            <w:shd w:val="clear" w:color="auto" w:fill="D2DCE5"/>
          </w:tcPr>
          <w:p>
            <w:pPr>
              <w:spacing w:after="0"/>
              <w:rPr>
                <w:sz w:val="23"/>
                <w:szCs w:val="23"/>
                <w:color w:val="auto"/>
              </w:rPr>
            </w:pPr>
          </w:p>
        </w:tc>
        <w:tc>
          <w:tcPr>
            <w:tcW w:w="41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160" w:type="dxa"/>
            <w:vAlign w:val="bottom"/>
            <w:shd w:val="clear" w:color="auto" w:fill="D2DCE5"/>
          </w:tcPr>
          <w:p>
            <w:pPr>
              <w:spacing w:after="0"/>
              <w:rPr>
                <w:sz w:val="23"/>
                <w:szCs w:val="23"/>
                <w:color w:val="auto"/>
              </w:rPr>
            </w:pPr>
          </w:p>
        </w:tc>
        <w:tc>
          <w:tcPr>
            <w:tcW w:w="140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006098"/>
              </w:rPr>
              <w:t>—</w:t>
            </w:r>
          </w:p>
        </w:tc>
        <w:tc>
          <w:tcPr>
            <w:tcW w:w="320" w:type="dxa"/>
            <w:vAlign w:val="bottom"/>
            <w:shd w:val="clear" w:color="auto" w:fill="D2DCE5"/>
          </w:tcPr>
          <w:p>
            <w:pPr>
              <w:spacing w:after="0"/>
              <w:rPr>
                <w:sz w:val="23"/>
                <w:szCs w:val="23"/>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w:t>
            </w:r>
          </w:p>
        </w:tc>
      </w:tr>
      <w:tr>
        <w:trPr>
          <w:trHeight w:val="270"/>
        </w:trPr>
        <w:tc>
          <w:tcPr>
            <w:tcW w:w="3960" w:type="dxa"/>
            <w:vAlign w:val="bottom"/>
            <w:tcBorders>
              <w:bottom w:val="single" w:sz="8" w:color="D2DCE5"/>
            </w:tcBorders>
          </w:tcPr>
          <w:p>
            <w:pPr>
              <w:ind w:left="140"/>
              <w:spacing w:after="0"/>
              <w:rPr>
                <w:sz w:val="20"/>
                <w:szCs w:val="20"/>
                <w:color w:val="auto"/>
              </w:rPr>
            </w:pPr>
            <w:r>
              <w:rPr>
                <w:rFonts w:ascii="Arial" w:cs="Arial" w:eastAsia="Arial" w:hAnsi="Arial"/>
                <w:sz w:val="18"/>
                <w:szCs w:val="18"/>
                <w:color w:val="131E29"/>
              </w:rPr>
              <w:t>Interest on lease liabilities</w:t>
            </w:r>
          </w:p>
        </w:tc>
        <w:tc>
          <w:tcPr>
            <w:tcW w:w="100" w:type="dxa"/>
            <w:vAlign w:val="bottom"/>
            <w:tcBorders>
              <w:bottom w:val="single" w:sz="8" w:color="D2DCE5"/>
            </w:tcBorders>
          </w:tcPr>
          <w:p>
            <w:pPr>
              <w:spacing w:after="0"/>
              <w:rPr>
                <w:sz w:val="23"/>
                <w:szCs w:val="23"/>
                <w:color w:val="auto"/>
              </w:rPr>
            </w:pPr>
          </w:p>
        </w:tc>
        <w:tc>
          <w:tcPr>
            <w:tcW w:w="416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Interest expense</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6,177</w:t>
            </w:r>
          </w:p>
        </w:tc>
        <w:tc>
          <w:tcPr>
            <w:tcW w:w="100" w:type="dxa"/>
            <w:vAlign w:val="bottom"/>
            <w:tcBorders>
              <w:bottom w:val="single" w:sz="8" w:color="D2DCE5"/>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5,609</w:t>
            </w:r>
          </w:p>
        </w:tc>
      </w:tr>
      <w:tr>
        <w:trPr>
          <w:trHeight w:val="250"/>
        </w:trPr>
        <w:tc>
          <w:tcPr>
            <w:tcW w:w="3960" w:type="dxa"/>
            <w:vAlign w:val="bottom"/>
            <w:shd w:val="clear" w:color="auto" w:fill="D2DCE5"/>
          </w:tcPr>
          <w:p>
            <w:pPr>
              <w:ind w:left="240"/>
              <w:spacing w:after="0"/>
              <w:rPr>
                <w:sz w:val="20"/>
                <w:szCs w:val="20"/>
                <w:color w:val="auto"/>
              </w:rPr>
            </w:pPr>
            <w:r>
              <w:rPr>
                <w:rFonts w:ascii="Arial" w:cs="Arial" w:eastAsia="Arial" w:hAnsi="Arial"/>
                <w:sz w:val="18"/>
                <w:szCs w:val="18"/>
                <w:color w:val="131E29"/>
              </w:rPr>
              <w:t>Total finance lease costs</w:t>
            </w:r>
          </w:p>
        </w:tc>
        <w:tc>
          <w:tcPr>
            <w:tcW w:w="100" w:type="dxa"/>
            <w:vAlign w:val="bottom"/>
            <w:shd w:val="clear" w:color="auto" w:fill="D2DCE5"/>
          </w:tcPr>
          <w:p>
            <w:pPr>
              <w:spacing w:after="0"/>
              <w:rPr>
                <w:sz w:val="21"/>
                <w:szCs w:val="21"/>
                <w:color w:val="auto"/>
              </w:rPr>
            </w:pPr>
          </w:p>
        </w:tc>
        <w:tc>
          <w:tcPr>
            <w:tcW w:w="4080" w:type="dxa"/>
            <w:vAlign w:val="bottom"/>
            <w:shd w:val="clear" w:color="auto" w:fill="D2DCE5"/>
          </w:tcPr>
          <w:p>
            <w:pPr>
              <w:spacing w:after="0"/>
              <w:rPr>
                <w:sz w:val="21"/>
                <w:szCs w:val="21"/>
                <w:color w:val="auto"/>
              </w:rPr>
            </w:pPr>
          </w:p>
        </w:tc>
        <w:tc>
          <w:tcPr>
            <w:tcW w:w="80" w:type="dxa"/>
            <w:vAlign w:val="bottom"/>
            <w:shd w:val="clear" w:color="auto" w:fill="D2DCE5"/>
          </w:tcPr>
          <w:p>
            <w:pPr>
              <w:spacing w:after="0"/>
              <w:rPr>
                <w:sz w:val="21"/>
                <w:szCs w:val="21"/>
                <w:color w:val="auto"/>
              </w:rPr>
            </w:pPr>
          </w:p>
        </w:tc>
        <w:tc>
          <w:tcPr>
            <w:tcW w:w="160" w:type="dxa"/>
            <w:vAlign w:val="bottom"/>
            <w:shd w:val="clear" w:color="auto" w:fill="D2DCE5"/>
          </w:tcPr>
          <w:p>
            <w:pPr>
              <w:spacing w:after="0"/>
              <w:rPr>
                <w:sz w:val="21"/>
                <w:szCs w:val="21"/>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13,631</w:t>
            </w:r>
          </w:p>
        </w:tc>
        <w:tc>
          <w:tcPr>
            <w:tcW w:w="100" w:type="dxa"/>
            <w:vAlign w:val="bottom"/>
            <w:shd w:val="clear" w:color="auto" w:fill="D2DCE5"/>
          </w:tcPr>
          <w:p>
            <w:pPr>
              <w:spacing w:after="0"/>
              <w:rPr>
                <w:sz w:val="21"/>
                <w:szCs w:val="21"/>
                <w:color w:val="auto"/>
              </w:rPr>
            </w:pPr>
          </w:p>
        </w:tc>
        <w:tc>
          <w:tcPr>
            <w:tcW w:w="320" w:type="dxa"/>
            <w:vAlign w:val="bottom"/>
            <w:shd w:val="clear" w:color="auto" w:fill="D2DCE5"/>
          </w:tcPr>
          <w:p>
            <w:pPr>
              <w:spacing w:after="0"/>
              <w:rPr>
                <w:sz w:val="21"/>
                <w:szCs w:val="21"/>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12,184</w:t>
            </w:r>
          </w:p>
        </w:tc>
      </w:tr>
      <w:tr>
        <w:trPr>
          <w:trHeight w:val="270"/>
        </w:trPr>
        <w:tc>
          <w:tcPr>
            <w:tcW w:w="3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960" w:type="dxa"/>
            <w:vAlign w:val="bottom"/>
            <w:shd w:val="clear" w:color="auto" w:fill="D2DCE5"/>
          </w:tcPr>
          <w:p>
            <w:pPr>
              <w:ind w:left="20"/>
              <w:spacing w:after="0"/>
              <w:rPr>
                <w:sz w:val="20"/>
                <w:szCs w:val="20"/>
                <w:color w:val="auto"/>
              </w:rPr>
            </w:pPr>
            <w:r>
              <w:rPr>
                <w:rFonts w:ascii="Arial" w:cs="Arial" w:eastAsia="Arial" w:hAnsi="Arial"/>
                <w:sz w:val="18"/>
                <w:szCs w:val="18"/>
                <w:b w:val="1"/>
                <w:bCs w:val="1"/>
                <w:color w:val="131E29"/>
              </w:rPr>
              <w:t>Operating lease costs</w:t>
            </w:r>
          </w:p>
        </w:tc>
        <w:tc>
          <w:tcPr>
            <w:tcW w:w="100" w:type="dxa"/>
            <w:vAlign w:val="bottom"/>
            <w:shd w:val="clear" w:color="auto" w:fill="D2DCE5"/>
          </w:tcPr>
          <w:p>
            <w:pPr>
              <w:spacing w:after="0"/>
              <w:rPr>
                <w:sz w:val="23"/>
                <w:szCs w:val="23"/>
                <w:color w:val="auto"/>
              </w:rPr>
            </w:pPr>
          </w:p>
        </w:tc>
        <w:tc>
          <w:tcPr>
            <w:tcW w:w="40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3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40" w:type="dxa"/>
            <w:vAlign w:val="bottom"/>
            <w:shd w:val="clear" w:color="auto" w:fill="D2DCE5"/>
          </w:tcPr>
          <w:p>
            <w:pPr>
              <w:spacing w:after="0"/>
              <w:rPr>
                <w:sz w:val="23"/>
                <w:szCs w:val="23"/>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131E29"/>
              </w:rPr>
              <w:t>Lease expenses</w:t>
            </w:r>
          </w:p>
        </w:tc>
        <w:tc>
          <w:tcPr>
            <w:tcW w:w="100" w:type="dxa"/>
            <w:vAlign w:val="bottom"/>
          </w:tcPr>
          <w:p>
            <w:pPr>
              <w:spacing w:after="0"/>
              <w:rPr>
                <w:sz w:val="23"/>
                <w:szCs w:val="23"/>
                <w:color w:val="auto"/>
              </w:rPr>
            </w:pPr>
          </w:p>
        </w:tc>
        <w:tc>
          <w:tcPr>
            <w:tcW w:w="4160" w:type="dxa"/>
            <w:vAlign w:val="bottom"/>
            <w:gridSpan w:val="2"/>
          </w:tcPr>
          <w:p>
            <w:pPr>
              <w:ind w:left="20"/>
              <w:spacing w:after="0"/>
              <w:rPr>
                <w:sz w:val="20"/>
                <w:szCs w:val="20"/>
                <w:color w:val="auto"/>
              </w:rPr>
            </w:pPr>
            <w:r>
              <w:rPr>
                <w:rFonts w:ascii="Arial" w:cs="Arial" w:eastAsia="Arial" w:hAnsi="Arial"/>
                <w:sz w:val="18"/>
                <w:szCs w:val="18"/>
                <w:color w:val="131E29"/>
              </w:rPr>
              <w:t>Cost of sales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13,553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8,663</w:t>
            </w:r>
          </w:p>
        </w:tc>
      </w:tr>
      <w:tr>
        <w:trPr>
          <w:trHeight w:val="270"/>
        </w:trPr>
        <w:tc>
          <w:tcPr>
            <w:tcW w:w="396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Lease expenses</w:t>
            </w:r>
          </w:p>
        </w:tc>
        <w:tc>
          <w:tcPr>
            <w:tcW w:w="100" w:type="dxa"/>
            <w:vAlign w:val="bottom"/>
            <w:shd w:val="clear" w:color="auto" w:fill="D2DCE5"/>
          </w:tcPr>
          <w:p>
            <w:pPr>
              <w:spacing w:after="0"/>
              <w:rPr>
                <w:sz w:val="23"/>
                <w:szCs w:val="23"/>
                <w:color w:val="auto"/>
              </w:rPr>
            </w:pPr>
          </w:p>
        </w:tc>
        <w:tc>
          <w:tcPr>
            <w:tcW w:w="41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Selling, general, and administrative</w:t>
            </w:r>
          </w:p>
        </w:tc>
        <w:tc>
          <w:tcPr>
            <w:tcW w:w="160" w:type="dxa"/>
            <w:vAlign w:val="bottom"/>
            <w:tcBorders>
              <w:bottom w:val="single" w:sz="8" w:color="auto"/>
            </w:tcBorders>
            <w:shd w:val="clear" w:color="auto" w:fill="D2DCE5"/>
          </w:tcPr>
          <w:p>
            <w:pPr>
              <w:spacing w:after="0"/>
              <w:rPr>
                <w:sz w:val="23"/>
                <w:szCs w:val="23"/>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693</w:t>
            </w:r>
          </w:p>
        </w:tc>
        <w:tc>
          <w:tcPr>
            <w:tcW w:w="100" w:type="dxa"/>
            <w:vAlign w:val="bottom"/>
            <w:shd w:val="clear" w:color="auto" w:fill="D2DCE5"/>
          </w:tcPr>
          <w:p>
            <w:pPr>
              <w:spacing w:after="0"/>
              <w:rPr>
                <w:sz w:val="23"/>
                <w:szCs w:val="23"/>
                <w:color w:val="auto"/>
              </w:rPr>
            </w:pPr>
          </w:p>
        </w:tc>
        <w:tc>
          <w:tcPr>
            <w:tcW w:w="320" w:type="dxa"/>
            <w:vAlign w:val="bottom"/>
            <w:tcBorders>
              <w:bottom w:val="single" w:sz="8" w:color="auto"/>
            </w:tcBorders>
            <w:shd w:val="clear" w:color="auto" w:fill="D2DCE5"/>
          </w:tcPr>
          <w:p>
            <w:pPr>
              <w:spacing w:after="0"/>
              <w:rPr>
                <w:sz w:val="23"/>
                <w:szCs w:val="23"/>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700</w:t>
            </w:r>
          </w:p>
        </w:tc>
      </w:tr>
      <w:tr>
        <w:trPr>
          <w:trHeight w:val="250"/>
        </w:trPr>
        <w:tc>
          <w:tcPr>
            <w:tcW w:w="3960" w:type="dxa"/>
            <w:vAlign w:val="bottom"/>
          </w:tcPr>
          <w:p>
            <w:pPr>
              <w:ind w:left="240"/>
              <w:spacing w:after="0"/>
              <w:rPr>
                <w:sz w:val="20"/>
                <w:szCs w:val="20"/>
                <w:color w:val="auto"/>
              </w:rPr>
            </w:pPr>
            <w:r>
              <w:rPr>
                <w:rFonts w:ascii="Arial" w:cs="Arial" w:eastAsia="Arial" w:hAnsi="Arial"/>
                <w:sz w:val="18"/>
                <w:szCs w:val="18"/>
                <w:color w:val="131E29"/>
              </w:rPr>
              <w:t>Total operating lease costs</w:t>
            </w:r>
          </w:p>
        </w:tc>
        <w:tc>
          <w:tcPr>
            <w:tcW w:w="1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6098"/>
              </w:rPr>
              <w:t>14,246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131E29"/>
              </w:rPr>
              <w:t>9,363</w:t>
            </w:r>
          </w:p>
        </w:tc>
      </w:tr>
      <w:tr>
        <w:trPr>
          <w:trHeight w:val="270"/>
        </w:trPr>
        <w:tc>
          <w:tcPr>
            <w:tcW w:w="396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080" w:type="dxa"/>
            <w:vAlign w:val="bottom"/>
            <w:shd w:val="clear" w:color="auto" w:fill="D2DCE5"/>
          </w:tcPr>
          <w:p>
            <w:pPr>
              <w:spacing w:after="0"/>
              <w:rPr>
                <w:sz w:val="23"/>
                <w:szCs w:val="23"/>
                <w:color w:val="auto"/>
              </w:rPr>
            </w:pPr>
          </w:p>
        </w:tc>
        <w:tc>
          <w:tcPr>
            <w:tcW w:w="80" w:type="dxa"/>
            <w:vAlign w:val="bottom"/>
            <w:shd w:val="clear" w:color="auto" w:fill="D2DCE5"/>
          </w:tcPr>
          <w:p>
            <w:pPr>
              <w:spacing w:after="0"/>
              <w:rPr>
                <w:sz w:val="23"/>
                <w:szCs w:val="23"/>
                <w:color w:val="auto"/>
              </w:rPr>
            </w:pPr>
          </w:p>
        </w:tc>
        <w:tc>
          <w:tcPr>
            <w:tcW w:w="160" w:type="dxa"/>
            <w:vAlign w:val="bottom"/>
            <w:shd w:val="clear" w:color="auto" w:fill="D2DCE5"/>
          </w:tcPr>
          <w:p>
            <w:pPr>
              <w:spacing w:after="0"/>
              <w:rPr>
                <w:sz w:val="23"/>
                <w:szCs w:val="23"/>
                <w:color w:val="auto"/>
              </w:rPr>
            </w:pPr>
          </w:p>
        </w:tc>
        <w:tc>
          <w:tcPr>
            <w:tcW w:w="13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40" w:type="dxa"/>
            <w:vAlign w:val="bottom"/>
            <w:shd w:val="clear" w:color="auto" w:fill="D2DCE5"/>
          </w:tcPr>
          <w:p>
            <w:pPr>
              <w:spacing w:after="0"/>
              <w:rPr>
                <w:sz w:val="23"/>
                <w:szCs w:val="23"/>
                <w:color w:val="auto"/>
              </w:rPr>
            </w:pPr>
          </w:p>
        </w:tc>
      </w:tr>
      <w:tr>
        <w:trPr>
          <w:trHeight w:val="270"/>
        </w:trPr>
        <w:tc>
          <w:tcPr>
            <w:tcW w:w="396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Variable lease costs</w:t>
            </w:r>
          </w:p>
        </w:tc>
        <w:tc>
          <w:tcPr>
            <w:tcW w:w="100" w:type="dxa"/>
            <w:vAlign w:val="bottom"/>
            <w:tcBorders>
              <w:bottom w:val="single" w:sz="8" w:color="D2DCE5"/>
            </w:tcBorders>
          </w:tcPr>
          <w:p>
            <w:pPr>
              <w:spacing w:after="0"/>
              <w:rPr>
                <w:sz w:val="23"/>
                <w:szCs w:val="23"/>
                <w:color w:val="auto"/>
              </w:rPr>
            </w:pPr>
          </w:p>
        </w:tc>
        <w:tc>
          <w:tcPr>
            <w:tcW w:w="416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Cost of sales</w:t>
            </w: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2,761</w:t>
            </w:r>
          </w:p>
        </w:tc>
        <w:tc>
          <w:tcPr>
            <w:tcW w:w="100" w:type="dxa"/>
            <w:vAlign w:val="bottom"/>
            <w:tcBorders>
              <w:bottom w:val="single" w:sz="8" w:color="D2DCE5"/>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2,115</w:t>
            </w:r>
          </w:p>
        </w:tc>
      </w:tr>
      <w:tr>
        <w:trPr>
          <w:trHeight w:val="248"/>
        </w:trPr>
        <w:tc>
          <w:tcPr>
            <w:tcW w:w="3960" w:type="dxa"/>
            <w:vAlign w:val="bottom"/>
            <w:tcBorders>
              <w:bottom w:val="single" w:sz="8" w:color="D2DCE5"/>
            </w:tcBorders>
            <w:shd w:val="clear" w:color="auto" w:fill="D2DCE5"/>
          </w:tcPr>
          <w:p>
            <w:pPr>
              <w:ind w:left="20"/>
              <w:spacing w:after="0"/>
              <w:rPr>
                <w:sz w:val="20"/>
                <w:szCs w:val="20"/>
                <w:color w:val="auto"/>
              </w:rPr>
            </w:pPr>
            <w:r>
              <w:rPr>
                <w:rFonts w:ascii="Arial" w:cs="Arial" w:eastAsia="Arial" w:hAnsi="Arial"/>
                <w:sz w:val="18"/>
                <w:szCs w:val="18"/>
                <w:b w:val="1"/>
                <w:bCs w:val="1"/>
                <w:color w:val="131E29"/>
              </w:rPr>
              <w:t>Total lease costs</w:t>
            </w:r>
          </w:p>
        </w:tc>
        <w:tc>
          <w:tcPr>
            <w:tcW w:w="100" w:type="dxa"/>
            <w:vAlign w:val="bottom"/>
            <w:tcBorders>
              <w:bottom w:val="single" w:sz="8" w:color="D2DCE5"/>
            </w:tcBorders>
            <w:shd w:val="clear" w:color="auto" w:fill="D2DCE5"/>
          </w:tcPr>
          <w:p>
            <w:pPr>
              <w:spacing w:after="0"/>
              <w:rPr>
                <w:sz w:val="21"/>
                <w:szCs w:val="21"/>
                <w:color w:val="auto"/>
              </w:rPr>
            </w:pPr>
          </w:p>
        </w:tc>
        <w:tc>
          <w:tcPr>
            <w:tcW w:w="4080" w:type="dxa"/>
            <w:vAlign w:val="bottom"/>
            <w:tcBorders>
              <w:bottom w:val="single" w:sz="8" w:color="D2DCE5"/>
            </w:tcBorders>
            <w:shd w:val="clear" w:color="auto" w:fill="D2DCE5"/>
          </w:tcPr>
          <w:p>
            <w:pPr>
              <w:spacing w:after="0"/>
              <w:rPr>
                <w:sz w:val="21"/>
                <w:szCs w:val="21"/>
                <w:color w:val="auto"/>
              </w:rPr>
            </w:pPr>
          </w:p>
        </w:tc>
        <w:tc>
          <w:tcPr>
            <w:tcW w:w="80" w:type="dxa"/>
            <w:vAlign w:val="bottom"/>
            <w:tcBorders>
              <w:bottom w:val="single" w:sz="8" w:color="D2DCE5"/>
            </w:tcBorders>
            <w:shd w:val="clear" w:color="auto" w:fill="D2DCE5"/>
          </w:tcPr>
          <w:p>
            <w:pPr>
              <w:spacing w:after="0"/>
              <w:rPr>
                <w:sz w:val="21"/>
                <w:szCs w:val="21"/>
                <w:color w:val="auto"/>
              </w:rPr>
            </w:pP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30,638</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b w:val="1"/>
                <w:bCs w:val="1"/>
                <w:color w:val="131E29"/>
                <w:w w:val="99"/>
              </w:rPr>
              <w:t>$</w:t>
            </w: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23,662</w:t>
            </w:r>
          </w:p>
        </w:tc>
      </w:tr>
      <w:tr>
        <w:trPr>
          <w:trHeight w:val="20"/>
        </w:trPr>
        <w:tc>
          <w:tcPr>
            <w:tcW w:w="39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40" w:type="dxa"/>
            <w:vAlign w:val="bottom"/>
            <w:tcBorders>
              <w:top w:val="single" w:sz="8" w:color="D2DCE5"/>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131E29"/>
        </w:rPr>
        <w:t>Supplemental cash flow information related to leases is as follows for the periods presented:</w:t>
      </w:r>
    </w:p>
    <w:p>
      <w:pPr>
        <w:spacing w:after="0" w:line="225"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34925</wp:posOffset>
            </wp:positionV>
            <wp:extent cx="20320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32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9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20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22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2025</w:t>
            </w:r>
          </w:p>
        </w:tc>
      </w:tr>
      <w:tr>
        <w:trPr>
          <w:trHeight w:val="270"/>
        </w:trPr>
        <w:tc>
          <w:tcPr>
            <w:tcW w:w="80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Cash paid for amounts included in the measurement of lease liabilities</w:t>
            </w:r>
          </w:p>
        </w:tc>
        <w:tc>
          <w:tcPr>
            <w:tcW w:w="340" w:type="dxa"/>
            <w:vAlign w:val="bottom"/>
            <w:shd w:val="clear" w:color="auto" w:fill="D2DCE5"/>
          </w:tcPr>
          <w:p>
            <w:pPr>
              <w:spacing w:after="0"/>
              <w:rPr>
                <w:sz w:val="23"/>
                <w:szCs w:val="23"/>
                <w:color w:val="auto"/>
              </w:rPr>
            </w:pPr>
          </w:p>
        </w:tc>
        <w:tc>
          <w:tcPr>
            <w:tcW w:w="12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70"/>
        </w:trPr>
        <w:tc>
          <w:tcPr>
            <w:tcW w:w="8020" w:type="dxa"/>
            <w:vAlign w:val="bottom"/>
            <w:gridSpan w:val="2"/>
          </w:tcPr>
          <w:p>
            <w:pPr>
              <w:ind w:left="140"/>
              <w:spacing w:after="0"/>
              <w:rPr>
                <w:sz w:val="20"/>
                <w:szCs w:val="20"/>
                <w:color w:val="auto"/>
              </w:rPr>
            </w:pPr>
            <w:r>
              <w:rPr>
                <w:rFonts w:ascii="Arial" w:cs="Arial" w:eastAsia="Arial" w:hAnsi="Arial"/>
                <w:sz w:val="18"/>
                <w:szCs w:val="18"/>
                <w:color w:val="131E29"/>
              </w:rPr>
              <w:t>Operating cash flows from finance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006098"/>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006098"/>
              </w:rPr>
              <w:t>6,177</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131E29"/>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131E29"/>
              </w:rPr>
              <w:t>5,609</w:t>
            </w:r>
          </w:p>
        </w:tc>
      </w:tr>
      <w:tr>
        <w:trPr>
          <w:trHeight w:val="270"/>
        </w:trPr>
        <w:tc>
          <w:tcPr>
            <w:tcW w:w="80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Operating cash flows from operating leases</w:t>
            </w:r>
          </w:p>
        </w:tc>
        <w:tc>
          <w:tcPr>
            <w:tcW w:w="340" w:type="dxa"/>
            <w:vAlign w:val="bottom"/>
            <w:shd w:val="clear" w:color="auto" w:fill="D2DCE5"/>
          </w:tcPr>
          <w:p>
            <w:pPr>
              <w:spacing w:after="0"/>
              <w:rPr>
                <w:sz w:val="23"/>
                <w:szCs w:val="23"/>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8,807</w:t>
            </w: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7,330</w:t>
            </w:r>
          </w:p>
        </w:tc>
      </w:tr>
      <w:tr>
        <w:trPr>
          <w:trHeight w:val="270"/>
        </w:trPr>
        <w:tc>
          <w:tcPr>
            <w:tcW w:w="8020" w:type="dxa"/>
            <w:vAlign w:val="bottom"/>
            <w:gridSpan w:val="2"/>
          </w:tcPr>
          <w:p>
            <w:pPr>
              <w:ind w:left="140"/>
              <w:spacing w:after="0"/>
              <w:rPr>
                <w:sz w:val="20"/>
                <w:szCs w:val="20"/>
                <w:color w:val="auto"/>
              </w:rPr>
            </w:pPr>
            <w:r>
              <w:rPr>
                <w:rFonts w:ascii="Arial" w:cs="Arial" w:eastAsia="Arial" w:hAnsi="Arial"/>
                <w:sz w:val="18"/>
                <w:szCs w:val="18"/>
                <w:color w:val="131E29"/>
              </w:rPr>
              <w:t>Financing cash flows from finance leases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6098"/>
              </w:rPr>
              <w:t>5,739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3,400</w:t>
            </w:r>
          </w:p>
        </w:tc>
      </w:tr>
      <w:tr>
        <w:trPr>
          <w:trHeight w:val="270"/>
        </w:trPr>
        <w:tc>
          <w:tcPr>
            <w:tcW w:w="80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Right-of-use assets obtained in exchange for lease obligations</w:t>
            </w:r>
          </w:p>
        </w:tc>
        <w:tc>
          <w:tcPr>
            <w:tcW w:w="340" w:type="dxa"/>
            <w:vAlign w:val="bottom"/>
            <w:shd w:val="clear" w:color="auto" w:fill="D2DCE5"/>
          </w:tcPr>
          <w:p>
            <w:pPr>
              <w:spacing w:after="0"/>
              <w:rPr>
                <w:sz w:val="23"/>
                <w:szCs w:val="23"/>
                <w:color w:val="auto"/>
              </w:rPr>
            </w:pPr>
          </w:p>
        </w:tc>
        <w:tc>
          <w:tcPr>
            <w:tcW w:w="12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70"/>
        </w:trPr>
        <w:tc>
          <w:tcPr>
            <w:tcW w:w="8020" w:type="dxa"/>
            <w:vAlign w:val="bottom"/>
            <w:gridSpan w:val="2"/>
          </w:tcPr>
          <w:p>
            <w:pPr>
              <w:ind w:left="140"/>
              <w:spacing w:after="0"/>
              <w:rPr>
                <w:sz w:val="20"/>
                <w:szCs w:val="20"/>
                <w:color w:val="auto"/>
              </w:rPr>
            </w:pPr>
            <w:r>
              <w:rPr>
                <w:rFonts w:ascii="Arial" w:cs="Arial" w:eastAsia="Arial" w:hAnsi="Arial"/>
                <w:sz w:val="18"/>
                <w:szCs w:val="18"/>
                <w:color w:val="131E29"/>
              </w:rPr>
              <w:t>Finance leases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6098"/>
              </w:rPr>
              <w:t>630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9,145</w:t>
            </w:r>
          </w:p>
        </w:tc>
      </w:tr>
      <w:tr>
        <w:trPr>
          <w:trHeight w:val="270"/>
        </w:trPr>
        <w:tc>
          <w:tcPr>
            <w:tcW w:w="802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Operating leases</w:t>
            </w:r>
          </w:p>
        </w:tc>
        <w:tc>
          <w:tcPr>
            <w:tcW w:w="340" w:type="dxa"/>
            <w:vAlign w:val="bottom"/>
            <w:shd w:val="clear" w:color="auto" w:fill="D2DCE5"/>
          </w:tcPr>
          <w:p>
            <w:pPr>
              <w:spacing w:after="0"/>
              <w:rPr>
                <w:sz w:val="23"/>
                <w:szCs w:val="23"/>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78,467</w:t>
            </w:r>
          </w:p>
        </w:tc>
        <w:tc>
          <w:tcPr>
            <w:tcW w:w="100" w:type="dxa"/>
            <w:vAlign w:val="bottom"/>
            <w:shd w:val="clear" w:color="auto" w:fill="D2DCE5"/>
          </w:tcPr>
          <w:p>
            <w:pPr>
              <w:spacing w:after="0"/>
              <w:rPr>
                <w:sz w:val="23"/>
                <w:szCs w:val="23"/>
                <w:color w:val="auto"/>
              </w:rPr>
            </w:pPr>
          </w:p>
        </w:tc>
        <w:tc>
          <w:tcPr>
            <w:tcW w:w="34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28,855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10 —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On May 29, 2025 (the Effective Date), we amended and restated our existing $650 million senior secured credit facility with JPMorgan Chase Bank, N.A. The 2025 Credit Facility consists of a $ 500 million revolving credit facility and a term loan facility of up to $150 million. The 2025 Credit Facility also includes sublimits for letters of credit and swingline loans of up to $100 million and $20 million, respectively. The 2025 Credit Facility expires on May 29, 2030. Interest on borrowings under the 2025 Credit Facility is based on (i) the Alternate Base Rate plus an applicable margin, or (ii) the Term SOFR Rate plus an applicable margin (each as defined in the 2025 Credit Facility).</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are required to pay a commitment fee on a quarterly basis, at a per annum rate of between 0.20% and 0.45%, depending on the Net Lease-Adjusted Total Leverage Ratio (as defined in the 2025 Credit Facility), based on the average daily unused portion of the revolving credit facility. These fees are recorded as interest expense on our condensed consolidated statements of operations.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The 2025 Credit Facility contains financial covenants that require us to not exceed a maximum Net Lease-Adjusted Total Leverage Ratio and maintain a minimum Coverage Ratio (as defined in the 2025 Credit Facility). The 2025 Credit Facility also contains certain negative covenants that, among other things, restrict our ability to incur additional debt, grant liens on assets, merge with or acquire other companies, make other investments, dispose of assets, and make restricted payments. Obligations under the 2025 Credit Facility are guaranteed by Dutch Bros OpCo and its subsidiaries, and secured by a first priority perfected security interest in substantially all of the assets of the guarantors.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2026, $50.0 million was outstanding on our revolving credit facility, and $434.0 million was available for borrowing, net of $16.0 million in letters of credit, and $147.2 million of principal was outstanding on the term loan facility. The revolving loan and term loan both bear interest at approximately 4.92% as of March 31, 2026, excluding any impacts from our interest rate swap. We were in compliance with our financial covenants as of that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Long-Term Debt</w:t>
      </w:r>
    </w:p>
    <w:p>
      <w:pPr>
        <w:sectPr>
          <w:pgSz w:w="11900" w:h="16838" w:orient="portrait"/>
          <w:cols w:equalWidth="0" w:num="1">
            <w:col w:w="11240"/>
          </w:cols>
          <w:pgMar w:left="320" w:top="130" w:right="339" w:bottom="1440" w:gutter="0" w:footer="0" w:header="0"/>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Our long-term debt consisted of the following for the periods presented:</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Term loan under credit facility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Revolving loan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Finance obligations</w:t>
      </w:r>
      <w:r>
        <w:rPr>
          <w:rFonts w:ascii="Arial" w:cs="Arial" w:eastAsia="Arial" w:hAnsi="Arial"/>
          <w:sz w:val="23"/>
          <w:szCs w:val="23"/>
          <w:color w:val="131E29"/>
          <w:vertAlign w:val="superscript"/>
        </w:rPr>
        <w:t>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Unsecured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Total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loan origination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Less: current portion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20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131E29"/>
              </w:rPr>
              <w:t>March 31, 2026</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131E29"/>
              </w:rPr>
              <w:t>December 31, 2025</w:t>
            </w:r>
          </w:p>
        </w:tc>
      </w:tr>
      <w:tr>
        <w:trPr>
          <w:trHeight w:val="274"/>
        </w:trPr>
        <w:tc>
          <w:tcPr>
            <w:tcW w:w="20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w w:val="99"/>
              </w:rPr>
              <w:t>$</w:t>
            </w:r>
          </w:p>
        </w:tc>
        <w:tc>
          <w:tcPr>
            <w:tcW w:w="162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006098"/>
              </w:rPr>
              <w:t>147,188</w:t>
            </w:r>
          </w:p>
        </w:tc>
        <w:tc>
          <w:tcPr>
            <w:tcW w:w="100" w:type="dxa"/>
            <w:vAlign w:val="bottom"/>
          </w:tcPr>
          <w:p>
            <w:pPr>
              <w:spacing w:after="0"/>
              <w:rPr>
                <w:sz w:val="23"/>
                <w:szCs w:val="23"/>
                <w:color w:val="auto"/>
              </w:rPr>
            </w:pPr>
          </w:p>
        </w:tc>
        <w:tc>
          <w:tcPr>
            <w:tcW w:w="600" w:type="dxa"/>
            <w:vAlign w:val="bottom"/>
            <w:tcBorders>
              <w:top w:val="single" w:sz="8" w:color="D7282F"/>
            </w:tcBorders>
          </w:tcPr>
          <w:p>
            <w:pPr>
              <w:jc w:val="right"/>
              <w:ind w:right="390"/>
              <w:spacing w:after="0"/>
              <w:rPr>
                <w:sz w:val="20"/>
                <w:szCs w:val="20"/>
                <w:color w:val="auto"/>
              </w:rPr>
            </w:pPr>
            <w:r>
              <w:rPr>
                <w:rFonts w:ascii="Arial" w:cs="Arial" w:eastAsia="Arial" w:hAnsi="Arial"/>
                <w:sz w:val="18"/>
                <w:szCs w:val="18"/>
                <w:color w:val="131E29"/>
                <w:w w:val="99"/>
              </w:rPr>
              <w:t>$</w:t>
            </w:r>
          </w:p>
        </w:tc>
        <w:tc>
          <w:tcPr>
            <w:tcW w:w="1220" w:type="dxa"/>
            <w:vAlign w:val="bottom"/>
            <w:tcBorders>
              <w:top w:val="single" w:sz="8" w:color="D7282F"/>
            </w:tcBorders>
          </w:tcPr>
          <w:p>
            <w:pPr>
              <w:jc w:val="right"/>
              <w:spacing w:after="0"/>
              <w:rPr>
                <w:sz w:val="20"/>
                <w:szCs w:val="20"/>
                <w:color w:val="auto"/>
              </w:rPr>
            </w:pPr>
            <w:r>
              <w:rPr>
                <w:rFonts w:ascii="Arial" w:cs="Arial" w:eastAsia="Arial" w:hAnsi="Arial"/>
                <w:sz w:val="18"/>
                <w:szCs w:val="18"/>
                <w:color w:val="131E29"/>
              </w:rPr>
              <w:t>148,125</w:t>
            </w:r>
          </w:p>
        </w:tc>
      </w:tr>
      <w:tr>
        <w:trPr>
          <w:trHeight w:val="270"/>
        </w:trPr>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50,000</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50,000</w:t>
            </w:r>
          </w:p>
        </w:tc>
      </w:tr>
      <w:tr>
        <w:trPr>
          <w:trHeight w:val="270"/>
        </w:trPr>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4,155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4,162</w:t>
            </w:r>
          </w:p>
        </w:tc>
      </w:tr>
      <w:tr>
        <w:trPr>
          <w:trHeight w:val="266"/>
        </w:trPr>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144</w:t>
            </w:r>
          </w:p>
        </w:tc>
        <w:tc>
          <w:tcPr>
            <w:tcW w:w="10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176</w:t>
            </w:r>
          </w:p>
        </w:tc>
      </w:tr>
      <w:tr>
        <w:trPr>
          <w:trHeight w:val="268"/>
        </w:trPr>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201,487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202,463</w:t>
            </w:r>
          </w:p>
        </w:tc>
      </w:tr>
      <w:tr>
        <w:trPr>
          <w:trHeight w:val="270"/>
        </w:trPr>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(2,157)</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(2,287)</w:t>
            </w:r>
          </w:p>
        </w:tc>
      </w:tr>
      <w:tr>
        <w:trPr>
          <w:trHeight w:val="270"/>
        </w:trPr>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(3,883)</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(3,881)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23742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6780" w:space="720"/>
            <w:col w:w="37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500" w:type="dxa"/>
            <w:vAlign w:val="bottom"/>
          </w:tcPr>
          <w:p>
            <w:pPr>
              <w:ind w:left="180"/>
              <w:spacing w:after="0"/>
              <w:rPr>
                <w:sz w:val="20"/>
                <w:szCs w:val="20"/>
                <w:color w:val="auto"/>
              </w:rPr>
            </w:pPr>
            <w:r>
              <w:rPr>
                <w:rFonts w:ascii="Arial" w:cs="Arial" w:eastAsia="Arial" w:hAnsi="Arial"/>
                <w:sz w:val="18"/>
                <w:szCs w:val="18"/>
                <w:b w:val="1"/>
                <w:bCs w:val="1"/>
                <w:color w:val="131E29"/>
              </w:rPr>
              <w:t>Total long-term debt, net of current portion</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006098"/>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195,447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w w:val="99"/>
              </w:rPr>
              <w:t>$</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196,295</w:t>
            </w:r>
          </w:p>
        </w:tc>
        <w:tc>
          <w:tcPr>
            <w:tcW w:w="0" w:type="dxa"/>
            <w:vAlign w:val="bottom"/>
          </w:tcPr>
          <w:p>
            <w:pPr>
              <w:spacing w:after="0"/>
              <w:rPr>
                <w:sz w:val="1"/>
                <w:szCs w:val="1"/>
                <w:color w:val="auto"/>
              </w:rPr>
            </w:pPr>
          </w:p>
        </w:tc>
      </w:tr>
      <w:tr>
        <w:trPr>
          <w:trHeight w:val="21"/>
        </w:trPr>
        <w:tc>
          <w:tcPr>
            <w:tcW w:w="7500" w:type="dxa"/>
            <w:vAlign w:val="bottom"/>
            <w:vMerge w:val="restart"/>
          </w:tcPr>
          <w:p>
            <w:pPr>
              <w:spacing w:after="0"/>
              <w:rPr>
                <w:sz w:val="20"/>
                <w:szCs w:val="20"/>
                <w:color w:val="auto"/>
              </w:rPr>
            </w:pPr>
            <w:r>
              <w:rPr>
                <w:rFonts w:ascii="Arial" w:cs="Arial" w:eastAsia="Arial" w:hAnsi="Arial"/>
                <w:sz w:val="18"/>
                <w:szCs w:val="18"/>
                <w:color w:val="131E29"/>
              </w:rPr>
              <w:t>_______________</w:t>
            </w: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75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Represents failed sale-leaseback arrangements, and also in 2025, a consideration payable associated with acquired leases.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7500" w:type="dxa"/>
            <w:vAlign w:val="bottom"/>
          </w:tcPr>
          <w:p>
            <w:pPr>
              <w:spacing w:after="0"/>
              <w:rPr>
                <w:sz w:val="20"/>
                <w:szCs w:val="20"/>
                <w:color w:val="auto"/>
              </w:rPr>
            </w:pPr>
            <w:r>
              <w:rPr>
                <w:rFonts w:ascii="Arial" w:cs="Arial" w:eastAsia="Arial" w:hAnsi="Arial"/>
                <w:sz w:val="18"/>
                <w:szCs w:val="18"/>
                <w:color w:val="131E29"/>
              </w:rPr>
              <w:t>Future annual maturities of long-term debt as of March 31, 2026 are as follows:</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500" w:type="dxa"/>
            <w:vAlign w:val="bottom"/>
          </w:tcPr>
          <w:p>
            <w:pPr>
              <w:ind w:left="20"/>
              <w:spacing w:after="0"/>
              <w:rPr>
                <w:sz w:val="20"/>
                <w:szCs w:val="20"/>
                <w:color w:val="auto"/>
              </w:rPr>
            </w:pPr>
            <w:r>
              <w:rPr>
                <w:rFonts w:ascii="Arial" w:cs="Arial" w:eastAsia="Arial" w:hAnsi="Arial"/>
                <w:sz w:val="14"/>
                <w:szCs w:val="14"/>
                <w:color w:val="131E29"/>
              </w:rPr>
              <w:t>(in thousands)</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50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c>
          <w:tcPr>
            <w:tcW w:w="100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7282F"/>
            </w:tcBorders>
          </w:tcPr>
          <w:p>
            <w:pPr>
              <w:spacing w:after="0" w:line="20" w:lineRule="exact"/>
              <w:rPr>
                <w:sz w:val="1"/>
                <w:szCs w:val="1"/>
                <w:color w:val="auto"/>
              </w:rPr>
            </w:pPr>
          </w:p>
        </w:tc>
        <w:tc>
          <w:tcPr>
            <w:tcW w:w="14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80" w:type="dxa"/>
            <w:vAlign w:val="bottom"/>
            <w:tcBorders>
              <w:bottom w:val="single" w:sz="8" w:color="D7282F"/>
            </w:tcBorders>
          </w:tcPr>
          <w:p>
            <w:pPr>
              <w:spacing w:after="0" w:line="20" w:lineRule="exact"/>
              <w:rPr>
                <w:sz w:val="1"/>
                <w:szCs w:val="1"/>
                <w:color w:val="auto"/>
              </w:rPr>
            </w:pPr>
          </w:p>
        </w:tc>
        <w:tc>
          <w:tcPr>
            <w:tcW w:w="110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50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Remainder of 2026</w:t>
            </w:r>
          </w:p>
        </w:tc>
        <w:tc>
          <w:tcPr>
            <w:tcW w:w="820" w:type="dxa"/>
            <w:vAlign w:val="bottom"/>
            <w:shd w:val="clear" w:color="auto" w:fill="D2DCE5"/>
          </w:tcPr>
          <w:p>
            <w:pPr>
              <w:spacing w:after="0"/>
              <w:rPr>
                <w:sz w:val="22"/>
                <w:szCs w:val="22"/>
                <w:color w:val="auto"/>
              </w:rPr>
            </w:pPr>
          </w:p>
        </w:tc>
        <w:tc>
          <w:tcPr>
            <w:tcW w:w="100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720" w:type="dxa"/>
            <w:vAlign w:val="bottom"/>
            <w:gridSpan w:val="3"/>
            <w:shd w:val="clear" w:color="auto" w:fill="D2DCE5"/>
          </w:tcPr>
          <w:p>
            <w:pPr>
              <w:jc w:val="right"/>
              <w:ind w:right="270"/>
              <w:spacing w:after="0"/>
              <w:rPr>
                <w:sz w:val="20"/>
                <w:szCs w:val="20"/>
                <w:color w:val="auto"/>
              </w:rPr>
            </w:pPr>
            <w:r>
              <w:rPr>
                <w:rFonts w:ascii="Arial" w:cs="Arial" w:eastAsia="Arial" w:hAnsi="Arial"/>
                <w:sz w:val="18"/>
                <w:szCs w:val="18"/>
                <w:color w:val="006098"/>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2,911</w:t>
            </w:r>
          </w:p>
        </w:tc>
        <w:tc>
          <w:tcPr>
            <w:tcW w:w="0" w:type="dxa"/>
            <w:vAlign w:val="bottom"/>
          </w:tcPr>
          <w:p>
            <w:pPr>
              <w:spacing w:after="0"/>
              <w:rPr>
                <w:sz w:val="1"/>
                <w:szCs w:val="1"/>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131E29"/>
              </w:rPr>
              <w:t>2027</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5,670</w:t>
            </w:r>
          </w:p>
        </w:tc>
        <w:tc>
          <w:tcPr>
            <w:tcW w:w="0" w:type="dxa"/>
            <w:vAlign w:val="bottom"/>
          </w:tcPr>
          <w:p>
            <w:pPr>
              <w:spacing w:after="0"/>
              <w:rPr>
                <w:sz w:val="1"/>
                <w:szCs w:val="1"/>
                <w:color w:val="auto"/>
              </w:rPr>
            </w:pPr>
          </w:p>
        </w:tc>
      </w:tr>
      <w:tr>
        <w:trPr>
          <w:trHeight w:val="270"/>
        </w:trPr>
        <w:tc>
          <w:tcPr>
            <w:tcW w:w="750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2028</w:t>
            </w:r>
          </w:p>
        </w:tc>
        <w:tc>
          <w:tcPr>
            <w:tcW w:w="820" w:type="dxa"/>
            <w:vAlign w:val="bottom"/>
            <w:shd w:val="clear" w:color="auto" w:fill="D2DCE5"/>
          </w:tcPr>
          <w:p>
            <w:pPr>
              <w:spacing w:after="0"/>
              <w:rPr>
                <w:sz w:val="23"/>
                <w:szCs w:val="23"/>
                <w:color w:val="auto"/>
              </w:rPr>
            </w:pPr>
          </w:p>
        </w:tc>
        <w:tc>
          <w:tcPr>
            <w:tcW w:w="10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7,500</w:t>
            </w:r>
          </w:p>
        </w:tc>
        <w:tc>
          <w:tcPr>
            <w:tcW w:w="0" w:type="dxa"/>
            <w:vAlign w:val="bottom"/>
          </w:tcPr>
          <w:p>
            <w:pPr>
              <w:spacing w:after="0"/>
              <w:rPr>
                <w:sz w:val="1"/>
                <w:szCs w:val="1"/>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131E29"/>
              </w:rPr>
              <w:t>2029</w:t>
            </w:r>
          </w:p>
        </w:tc>
        <w:tc>
          <w:tcPr>
            <w:tcW w:w="8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6098"/>
              </w:rPr>
              <w:t>11,250</w:t>
            </w:r>
          </w:p>
        </w:tc>
        <w:tc>
          <w:tcPr>
            <w:tcW w:w="0" w:type="dxa"/>
            <w:vAlign w:val="bottom"/>
          </w:tcPr>
          <w:p>
            <w:pPr>
              <w:spacing w:after="0"/>
              <w:rPr>
                <w:sz w:val="1"/>
                <w:szCs w:val="1"/>
                <w:color w:val="auto"/>
              </w:rPr>
            </w:pPr>
          </w:p>
        </w:tc>
      </w:tr>
      <w:tr>
        <w:trPr>
          <w:trHeight w:val="270"/>
        </w:trPr>
        <w:tc>
          <w:tcPr>
            <w:tcW w:w="750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2030</w:t>
            </w:r>
          </w:p>
        </w:tc>
        <w:tc>
          <w:tcPr>
            <w:tcW w:w="820" w:type="dxa"/>
            <w:vAlign w:val="bottom"/>
            <w:shd w:val="clear" w:color="auto" w:fill="D2DCE5"/>
          </w:tcPr>
          <w:p>
            <w:pPr>
              <w:spacing w:after="0"/>
              <w:rPr>
                <w:sz w:val="23"/>
                <w:szCs w:val="23"/>
                <w:color w:val="auto"/>
              </w:rPr>
            </w:pPr>
          </w:p>
        </w:tc>
        <w:tc>
          <w:tcPr>
            <w:tcW w:w="10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4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80" w:type="dxa"/>
            <w:vAlign w:val="bottom"/>
            <w:shd w:val="clear" w:color="auto" w:fill="D2DCE5"/>
          </w:tcPr>
          <w:p>
            <w:pPr>
              <w:spacing w:after="0"/>
              <w:rPr>
                <w:sz w:val="23"/>
                <w:szCs w:val="23"/>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170,000</w:t>
            </w:r>
          </w:p>
        </w:tc>
        <w:tc>
          <w:tcPr>
            <w:tcW w:w="0" w:type="dxa"/>
            <w:vAlign w:val="bottom"/>
          </w:tcPr>
          <w:p>
            <w:pPr>
              <w:spacing w:after="0"/>
              <w:rPr>
                <w:sz w:val="1"/>
                <w:szCs w:val="1"/>
                <w:color w:val="auto"/>
              </w:rPr>
            </w:pPr>
          </w:p>
        </w:tc>
      </w:tr>
      <w:tr>
        <w:trPr>
          <w:trHeight w:val="270"/>
        </w:trPr>
        <w:tc>
          <w:tcPr>
            <w:tcW w:w="750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Thereafter</w:t>
            </w:r>
          </w:p>
        </w:tc>
        <w:tc>
          <w:tcPr>
            <w:tcW w:w="820" w:type="dxa"/>
            <w:vAlign w:val="bottom"/>
            <w:tcBorders>
              <w:bottom w:val="single" w:sz="8" w:color="D2DCE5"/>
            </w:tcBorders>
          </w:tcPr>
          <w:p>
            <w:pPr>
              <w:spacing w:after="0"/>
              <w:rPr>
                <w:sz w:val="23"/>
                <w:szCs w:val="23"/>
                <w:color w:val="auto"/>
              </w:rPr>
            </w:pPr>
          </w:p>
        </w:tc>
        <w:tc>
          <w:tcPr>
            <w:tcW w:w="100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140" w:type="dxa"/>
            <w:vAlign w:val="bottom"/>
            <w:tcBorders>
              <w:bottom w:val="single" w:sz="8" w:color="D2DCE5"/>
            </w:tcBorders>
          </w:tcPr>
          <w:p>
            <w:pPr>
              <w:spacing w:after="0"/>
              <w:rPr>
                <w:sz w:val="23"/>
                <w:szCs w:val="23"/>
                <w:color w:val="auto"/>
              </w:rPr>
            </w:pPr>
          </w:p>
        </w:tc>
        <w:tc>
          <w:tcPr>
            <w:tcW w:w="100" w:type="dxa"/>
            <w:vAlign w:val="bottom"/>
            <w:tcBorders>
              <w:bottom w:val="single" w:sz="8" w:color="D2DCE5"/>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4,156</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D2DCE5"/>
            </w:tcBorders>
            <w:shd w:val="clear" w:color="auto" w:fill="D2DCE5"/>
          </w:tcPr>
          <w:p>
            <w:pPr>
              <w:ind w:left="180"/>
              <w:spacing w:after="0"/>
              <w:rPr>
                <w:sz w:val="20"/>
                <w:szCs w:val="20"/>
                <w:color w:val="auto"/>
              </w:rPr>
            </w:pPr>
            <w:r>
              <w:rPr>
                <w:rFonts w:ascii="Arial" w:cs="Arial" w:eastAsia="Arial" w:hAnsi="Arial"/>
                <w:sz w:val="18"/>
                <w:szCs w:val="18"/>
                <w:b w:val="1"/>
                <w:bCs w:val="1"/>
                <w:color w:val="131E29"/>
              </w:rPr>
              <w:t>Total</w:t>
            </w:r>
          </w:p>
        </w:tc>
        <w:tc>
          <w:tcPr>
            <w:tcW w:w="820" w:type="dxa"/>
            <w:vAlign w:val="bottom"/>
            <w:tcBorders>
              <w:bottom w:val="single" w:sz="8" w:color="D2DCE5"/>
            </w:tcBorders>
            <w:shd w:val="clear" w:color="auto" w:fill="D2DCE5"/>
          </w:tcPr>
          <w:p>
            <w:pPr>
              <w:spacing w:after="0"/>
              <w:rPr>
                <w:sz w:val="21"/>
                <w:szCs w:val="21"/>
                <w:color w:val="auto"/>
              </w:rPr>
            </w:pPr>
          </w:p>
        </w:tc>
        <w:tc>
          <w:tcPr>
            <w:tcW w:w="100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140" w:type="dxa"/>
            <w:vAlign w:val="bottom"/>
            <w:tcBorders>
              <w:bottom w:val="single" w:sz="8" w:color="D2DCE5"/>
            </w:tcBorders>
            <w:shd w:val="clear" w:color="auto" w:fill="D2DCE5"/>
          </w:tcPr>
          <w:p>
            <w:pPr>
              <w:spacing w:after="0"/>
              <w:rPr>
                <w:sz w:val="21"/>
                <w:szCs w:val="21"/>
                <w:color w:val="auto"/>
              </w:rPr>
            </w:pPr>
          </w:p>
        </w:tc>
        <w:tc>
          <w:tcPr>
            <w:tcW w:w="100" w:type="dxa"/>
            <w:vAlign w:val="bottom"/>
            <w:tcBorders>
              <w:bottom w:val="single" w:sz="8" w:color="D2DCE5"/>
            </w:tcBorders>
            <w:shd w:val="clear" w:color="auto" w:fill="D2DCE5"/>
          </w:tcPr>
          <w:p>
            <w:pPr>
              <w:spacing w:after="0"/>
              <w:rPr>
                <w:sz w:val="21"/>
                <w:szCs w:val="21"/>
                <w:color w:val="auto"/>
              </w:rPr>
            </w:pPr>
          </w:p>
        </w:tc>
        <w:tc>
          <w:tcPr>
            <w:tcW w:w="480" w:type="dxa"/>
            <w:vAlign w:val="bottom"/>
            <w:tcBorders>
              <w:bottom w:val="single" w:sz="8" w:color="auto"/>
            </w:tcBorders>
            <w:shd w:val="clear" w:color="auto" w:fill="D2DCE5"/>
          </w:tcPr>
          <w:p>
            <w:pPr>
              <w:jc w:val="right"/>
              <w:ind w:right="270"/>
              <w:spacing w:after="0"/>
              <w:rPr>
                <w:sz w:val="20"/>
                <w:szCs w:val="20"/>
                <w:color w:val="auto"/>
              </w:rPr>
            </w:pPr>
            <w:r>
              <w:rPr>
                <w:rFonts w:ascii="Arial" w:cs="Arial" w:eastAsia="Arial" w:hAnsi="Arial"/>
                <w:sz w:val="18"/>
                <w:szCs w:val="18"/>
                <w:b w:val="1"/>
                <w:bCs w:val="1"/>
                <w:color w:val="006098"/>
                <w:w w:val="99"/>
              </w:rPr>
              <w:t>$</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201,487</w:t>
            </w:r>
          </w:p>
        </w:tc>
        <w:tc>
          <w:tcPr>
            <w:tcW w:w="0" w:type="dxa"/>
            <w:vAlign w:val="bottom"/>
          </w:tcPr>
          <w:p>
            <w:pPr>
              <w:spacing w:after="0"/>
              <w:rPr>
                <w:sz w:val="1"/>
                <w:szCs w:val="1"/>
                <w:color w:val="auto"/>
              </w:rPr>
            </w:pPr>
          </w:p>
        </w:tc>
      </w:tr>
      <w:tr>
        <w:trPr>
          <w:trHeight w:val="20"/>
        </w:trPr>
        <w:tc>
          <w:tcPr>
            <w:tcW w:w="7500" w:type="dxa"/>
            <w:vAlign w:val="bottom"/>
            <w:tcBorders>
              <w:top w:val="single" w:sz="8" w:color="D2DCE5"/>
            </w:tcBorders>
          </w:tcPr>
          <w:p>
            <w:pPr>
              <w:spacing w:after="0" w:line="20" w:lineRule="exact"/>
              <w:rPr>
                <w:sz w:val="1"/>
                <w:szCs w:val="1"/>
                <w:color w:val="auto"/>
              </w:rPr>
            </w:pPr>
          </w:p>
        </w:tc>
        <w:tc>
          <w:tcPr>
            <w:tcW w:w="820" w:type="dxa"/>
            <w:vAlign w:val="bottom"/>
            <w:tcBorders>
              <w:top w:val="single" w:sz="8" w:color="D2DCE5"/>
            </w:tcBorders>
          </w:tcPr>
          <w:p>
            <w:pPr>
              <w:spacing w:after="0" w:line="20" w:lineRule="exact"/>
              <w:rPr>
                <w:sz w:val="1"/>
                <w:szCs w:val="1"/>
                <w:color w:val="auto"/>
              </w:rPr>
            </w:pPr>
          </w:p>
        </w:tc>
        <w:tc>
          <w:tcPr>
            <w:tcW w:w="10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80" w:type="dxa"/>
            <w:vAlign w:val="bottom"/>
            <w:tcBorders>
              <w:top w:val="single" w:sz="8" w:color="D2DCE5"/>
              <w:bottom w:val="single" w:sz="8" w:color="auto"/>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11 — Derivative Financial Instrument</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We have a receive-variable (Receive Leg), pay-fixed (Pay Leg) interest rate swap with JPMorgan Chase Bank, N.A. As of March 31, 2026, the interest rate swap had a notional amount of approximately $57.8 million and hedges interest rate risk on the term loan under the 2025 Credit Facility. The interest rate swap matures on February 28, 2027, and has a fixed rate of 2.67% per annum for the Pay Leg. The variable rate on the Receive Leg of the interest rate swap is the one-month adjusted term SOFR plus an applicable margin. As of March 31, 2026, the one-month adjusted term SOFR was 3.67%.</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interest rate swap has been designated as a cash flow hedge, and as such, we record the change in fair value for the effective portion of the interest rate swap in AOCI rather than in current period earnings until the underlying hedged transaction affects earnings. As of March 31, 2026, we expect to reclassify a gain of approximately $0.5 million from AOCI to earnings within the next twelve months.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Designated as a Level 2 instrument within the fair value hierarchy, the fair value and effect of the derivative instrument included in our condensed consolidated financial statements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8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Pr>
          <w:p>
            <w:pPr>
              <w:spacing w:after="0"/>
              <w:rPr>
                <w:sz w:val="22"/>
                <w:szCs w:val="22"/>
                <w:color w:val="auto"/>
              </w:rPr>
            </w:pPr>
          </w:p>
        </w:tc>
        <w:tc>
          <w:tcPr>
            <w:tcW w:w="3660" w:type="dxa"/>
            <w:vAlign w:val="bottom"/>
            <w:gridSpan w:val="4"/>
          </w:tcPr>
          <w:p>
            <w:pPr>
              <w:ind w:left="520"/>
              <w:spacing w:after="0"/>
              <w:rPr>
                <w:sz w:val="20"/>
                <w:szCs w:val="20"/>
                <w:color w:val="auto"/>
              </w:rPr>
            </w:pPr>
            <w:r>
              <w:rPr>
                <w:rFonts w:ascii="Arial" w:cs="Arial" w:eastAsia="Arial" w:hAnsi="Arial"/>
                <w:sz w:val="18"/>
                <w:szCs w:val="18"/>
                <w:b w:val="1"/>
                <w:bCs w:val="1"/>
                <w:color w:val="131E29"/>
              </w:rPr>
              <w:t>Balance Sheets Classification</w:t>
            </w:r>
          </w:p>
        </w:tc>
        <w:tc>
          <w:tcPr>
            <w:tcW w:w="200" w:type="dxa"/>
            <w:vAlign w:val="bottom"/>
          </w:tcPr>
          <w:p>
            <w:pPr>
              <w:spacing w:after="0"/>
              <w:rPr>
                <w:sz w:val="22"/>
                <w:szCs w:val="22"/>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131E29"/>
              </w:rPr>
              <w:t>March 31, 2026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131E29"/>
              </w:rPr>
              <w:t>December 31, 2025</w:t>
            </w:r>
          </w:p>
        </w:tc>
        <w:tc>
          <w:tcPr>
            <w:tcW w:w="0" w:type="dxa"/>
            <w:vAlign w:val="bottom"/>
          </w:tcPr>
          <w:p>
            <w:pPr>
              <w:spacing w:after="0"/>
              <w:rPr>
                <w:sz w:val="1"/>
                <w:szCs w:val="1"/>
                <w:color w:val="auto"/>
              </w:rPr>
            </w:pPr>
          </w:p>
        </w:tc>
      </w:tr>
      <w:tr>
        <w:trPr>
          <w:trHeight w:val="224"/>
        </w:trPr>
        <w:tc>
          <w:tcPr>
            <w:tcW w:w="3780" w:type="dxa"/>
            <w:vAlign w:val="bottom"/>
            <w:tcBorders>
              <w:top w:val="single" w:sz="8" w:color="D7282F"/>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Derivative instrument designated as cash</w:t>
            </w:r>
          </w:p>
        </w:tc>
        <w:tc>
          <w:tcPr>
            <w:tcW w:w="80" w:type="dxa"/>
            <w:vAlign w:val="bottom"/>
            <w:tcBorders>
              <w:top w:val="single" w:sz="8" w:color="D2DCE5"/>
            </w:tcBorders>
            <w:shd w:val="clear" w:color="auto" w:fill="D2DCE5"/>
          </w:tcPr>
          <w:p>
            <w:pPr>
              <w:spacing w:after="0"/>
              <w:rPr>
                <w:sz w:val="19"/>
                <w:szCs w:val="19"/>
                <w:color w:val="auto"/>
              </w:rPr>
            </w:pPr>
          </w:p>
        </w:tc>
        <w:tc>
          <w:tcPr>
            <w:tcW w:w="3320" w:type="dxa"/>
            <w:vAlign w:val="bottom"/>
            <w:tcBorders>
              <w:top w:val="single" w:sz="8" w:color="D7282F"/>
            </w:tcBorders>
            <w:shd w:val="clear" w:color="auto" w:fill="D2DCE5"/>
          </w:tcPr>
          <w:p>
            <w:pPr>
              <w:spacing w:after="0"/>
              <w:rPr>
                <w:sz w:val="19"/>
                <w:szCs w:val="19"/>
                <w:color w:val="auto"/>
              </w:rPr>
            </w:pPr>
          </w:p>
        </w:tc>
        <w:tc>
          <w:tcPr>
            <w:tcW w:w="100" w:type="dxa"/>
            <w:vAlign w:val="bottom"/>
            <w:tcBorders>
              <w:top w:val="single" w:sz="8" w:color="D7282F"/>
            </w:tcBorders>
            <w:shd w:val="clear" w:color="auto" w:fill="D2DCE5"/>
          </w:tcPr>
          <w:p>
            <w:pPr>
              <w:spacing w:after="0"/>
              <w:rPr>
                <w:sz w:val="19"/>
                <w:szCs w:val="19"/>
                <w:color w:val="auto"/>
              </w:rPr>
            </w:pPr>
          </w:p>
        </w:tc>
        <w:tc>
          <w:tcPr>
            <w:tcW w:w="160" w:type="dxa"/>
            <w:vAlign w:val="bottom"/>
            <w:tcBorders>
              <w:top w:val="single" w:sz="8" w:color="D7282F"/>
            </w:tcBorders>
            <w:shd w:val="clear" w:color="auto" w:fill="D2DCE5"/>
          </w:tcPr>
          <w:p>
            <w:pPr>
              <w:spacing w:after="0"/>
              <w:rPr>
                <w:sz w:val="19"/>
                <w:szCs w:val="19"/>
                <w:color w:val="auto"/>
              </w:rPr>
            </w:pPr>
          </w:p>
        </w:tc>
        <w:tc>
          <w:tcPr>
            <w:tcW w:w="80" w:type="dxa"/>
            <w:vAlign w:val="bottom"/>
            <w:tcBorders>
              <w:top w:val="single" w:sz="8" w:color="D2DCE5"/>
            </w:tcBorders>
            <w:shd w:val="clear" w:color="auto" w:fill="D2DCE5"/>
          </w:tcPr>
          <w:p>
            <w:pPr>
              <w:spacing w:after="0"/>
              <w:rPr>
                <w:sz w:val="19"/>
                <w:szCs w:val="19"/>
                <w:color w:val="auto"/>
              </w:rPr>
            </w:pPr>
          </w:p>
        </w:tc>
        <w:tc>
          <w:tcPr>
            <w:tcW w:w="200" w:type="dxa"/>
            <w:vAlign w:val="bottom"/>
            <w:tcBorders>
              <w:top w:val="single" w:sz="8" w:color="D7282F"/>
            </w:tcBorders>
            <w:shd w:val="clear" w:color="auto" w:fill="D2DCE5"/>
          </w:tcPr>
          <w:p>
            <w:pPr>
              <w:spacing w:after="0"/>
              <w:rPr>
                <w:sz w:val="19"/>
                <w:szCs w:val="19"/>
                <w:color w:val="auto"/>
              </w:rPr>
            </w:pPr>
          </w:p>
        </w:tc>
        <w:tc>
          <w:tcPr>
            <w:tcW w:w="1480" w:type="dxa"/>
            <w:vAlign w:val="bottom"/>
            <w:tcBorders>
              <w:top w:val="single" w:sz="8" w:color="D7282F"/>
            </w:tcBorders>
            <w:shd w:val="clear" w:color="auto" w:fill="D2DCE5"/>
          </w:tcPr>
          <w:p>
            <w:pPr>
              <w:spacing w:after="0"/>
              <w:rPr>
                <w:sz w:val="19"/>
                <w:szCs w:val="19"/>
                <w:color w:val="auto"/>
              </w:rPr>
            </w:pPr>
          </w:p>
        </w:tc>
        <w:tc>
          <w:tcPr>
            <w:tcW w:w="100" w:type="dxa"/>
            <w:vAlign w:val="bottom"/>
            <w:tcBorders>
              <w:top w:val="single" w:sz="8" w:color="D7282F"/>
            </w:tcBorders>
            <w:shd w:val="clear" w:color="auto" w:fill="D2DCE5"/>
          </w:tcPr>
          <w:p>
            <w:pPr>
              <w:spacing w:after="0"/>
              <w:rPr>
                <w:sz w:val="19"/>
                <w:szCs w:val="19"/>
                <w:color w:val="auto"/>
              </w:rPr>
            </w:pPr>
          </w:p>
        </w:tc>
        <w:tc>
          <w:tcPr>
            <w:tcW w:w="20" w:type="dxa"/>
            <w:vAlign w:val="bottom"/>
            <w:tcBorders>
              <w:top w:val="single" w:sz="8" w:color="D7282F"/>
            </w:tcBorders>
            <w:shd w:val="clear" w:color="auto" w:fill="D2DCE5"/>
          </w:tcPr>
          <w:p>
            <w:pPr>
              <w:spacing w:after="0"/>
              <w:rPr>
                <w:sz w:val="19"/>
                <w:szCs w:val="19"/>
                <w:color w:val="auto"/>
              </w:rPr>
            </w:pPr>
          </w:p>
        </w:tc>
        <w:tc>
          <w:tcPr>
            <w:tcW w:w="20" w:type="dxa"/>
            <w:vAlign w:val="bottom"/>
            <w:tcBorders>
              <w:top w:val="single" w:sz="8" w:color="D7282F"/>
            </w:tcBorders>
            <w:shd w:val="clear" w:color="auto" w:fill="D2DCE5"/>
          </w:tcPr>
          <w:p>
            <w:pPr>
              <w:spacing w:after="0"/>
              <w:rPr>
                <w:sz w:val="19"/>
                <w:szCs w:val="19"/>
                <w:color w:val="auto"/>
              </w:rPr>
            </w:pPr>
          </w:p>
        </w:tc>
        <w:tc>
          <w:tcPr>
            <w:tcW w:w="100" w:type="dxa"/>
            <w:vAlign w:val="bottom"/>
            <w:tcBorders>
              <w:top w:val="single" w:sz="8" w:color="D2DCE5"/>
            </w:tcBorders>
            <w:shd w:val="clear" w:color="auto" w:fill="D2DCE5"/>
          </w:tcPr>
          <w:p>
            <w:pPr>
              <w:spacing w:after="0"/>
              <w:rPr>
                <w:sz w:val="19"/>
                <w:szCs w:val="19"/>
                <w:color w:val="auto"/>
              </w:rPr>
            </w:pPr>
          </w:p>
        </w:tc>
        <w:tc>
          <w:tcPr>
            <w:tcW w:w="1300" w:type="dxa"/>
            <w:vAlign w:val="bottom"/>
            <w:tcBorders>
              <w:top w:val="single" w:sz="8" w:color="D7282F"/>
            </w:tcBorders>
            <w:shd w:val="clear" w:color="auto" w:fill="D2DCE5"/>
          </w:tcPr>
          <w:p>
            <w:pPr>
              <w:spacing w:after="0"/>
              <w:rPr>
                <w:sz w:val="19"/>
                <w:szCs w:val="19"/>
                <w:color w:val="auto"/>
              </w:rPr>
            </w:pPr>
          </w:p>
        </w:tc>
        <w:tc>
          <w:tcPr>
            <w:tcW w:w="500" w:type="dxa"/>
            <w:vAlign w:val="bottom"/>
            <w:tcBorders>
              <w:top w:val="single" w:sz="8" w:color="D7282F"/>
            </w:tcBorders>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flow hedge</w:t>
            </w:r>
          </w:p>
        </w:tc>
        <w:tc>
          <w:tcPr>
            <w:tcW w:w="80" w:type="dxa"/>
            <w:vAlign w:val="bottom"/>
            <w:shd w:val="clear" w:color="auto" w:fill="D2DCE5"/>
          </w:tcPr>
          <w:p>
            <w:pPr>
              <w:spacing w:after="0"/>
              <w:rPr>
                <w:sz w:val="22"/>
                <w:szCs w:val="22"/>
                <w:color w:val="auto"/>
              </w:rPr>
            </w:pPr>
          </w:p>
        </w:tc>
        <w:tc>
          <w:tcPr>
            <w:tcW w:w="33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00" w:type="dxa"/>
            <w:vAlign w:val="bottom"/>
            <w:shd w:val="clear" w:color="auto" w:fill="D2DCE5"/>
          </w:tcPr>
          <w:p>
            <w:pPr>
              <w:spacing w:after="0"/>
              <w:rPr>
                <w:sz w:val="22"/>
                <w:szCs w:val="22"/>
                <w:color w:val="auto"/>
              </w:rPr>
            </w:pPr>
          </w:p>
        </w:tc>
        <w:tc>
          <w:tcPr>
            <w:tcW w:w="14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300" w:type="dxa"/>
            <w:vAlign w:val="bottom"/>
            <w:shd w:val="clear" w:color="auto" w:fill="D2DCE5"/>
          </w:tcPr>
          <w:p>
            <w:pPr>
              <w:spacing w:after="0"/>
              <w:rPr>
                <w:sz w:val="22"/>
                <w:szCs w:val="22"/>
                <w:color w:val="auto"/>
              </w:rPr>
            </w:pPr>
          </w:p>
        </w:tc>
        <w:tc>
          <w:tcPr>
            <w:tcW w:w="50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40"/>
              <w:spacing w:after="0"/>
              <w:rPr>
                <w:sz w:val="20"/>
                <w:szCs w:val="20"/>
                <w:color w:val="auto"/>
              </w:rPr>
            </w:pPr>
            <w:r>
              <w:rPr>
                <w:rFonts w:ascii="Arial" w:cs="Arial" w:eastAsia="Arial" w:hAnsi="Arial"/>
                <w:sz w:val="18"/>
                <w:szCs w:val="18"/>
                <w:color w:val="131E29"/>
              </w:rPr>
              <w:t>Interest rate swap contract</w:t>
            </w:r>
          </w:p>
        </w:tc>
        <w:tc>
          <w:tcPr>
            <w:tcW w:w="80" w:type="dxa"/>
            <w:vAlign w:val="bottom"/>
          </w:tcPr>
          <w:p>
            <w:pPr>
              <w:spacing w:after="0"/>
              <w:rPr>
                <w:sz w:val="23"/>
                <w:szCs w:val="23"/>
                <w:color w:val="auto"/>
              </w:rPr>
            </w:pPr>
          </w:p>
        </w:tc>
        <w:tc>
          <w:tcPr>
            <w:tcW w:w="3660" w:type="dxa"/>
            <w:vAlign w:val="bottom"/>
            <w:gridSpan w:val="4"/>
          </w:tcPr>
          <w:p>
            <w:pPr>
              <w:ind w:left="20"/>
              <w:spacing w:after="0"/>
              <w:rPr>
                <w:sz w:val="20"/>
                <w:szCs w:val="20"/>
                <w:color w:val="auto"/>
              </w:rPr>
            </w:pPr>
            <w:r>
              <w:rPr>
                <w:rFonts w:ascii="Arial" w:cs="Arial" w:eastAsia="Arial" w:hAnsi="Arial"/>
                <w:sz w:val="18"/>
                <w:szCs w:val="18"/>
                <w:color w:val="131E29"/>
              </w:rPr>
              <w:t>Prepaid expenses and other current assets</w:t>
            </w:r>
          </w:p>
        </w:tc>
        <w:tc>
          <w:tcPr>
            <w:tcW w:w="20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006098"/>
              </w:rPr>
              <w:t>535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131E29"/>
                <w:w w:val="79"/>
              </w:rPr>
              <w:t>$</w:t>
            </w:r>
          </w:p>
        </w:tc>
        <w:tc>
          <w:tcPr>
            <w:tcW w:w="500" w:type="dxa"/>
            <w:vAlign w:val="bottom"/>
          </w:tcPr>
          <w:p>
            <w:pPr>
              <w:jc w:val="right"/>
              <w:spacing w:after="0"/>
              <w:rPr>
                <w:sz w:val="20"/>
                <w:szCs w:val="20"/>
                <w:color w:val="auto"/>
              </w:rPr>
            </w:pPr>
            <w:r>
              <w:rPr>
                <w:rFonts w:ascii="Arial" w:cs="Arial" w:eastAsia="Arial" w:hAnsi="Arial"/>
                <w:sz w:val="18"/>
                <w:szCs w:val="18"/>
                <w:color w:val="131E29"/>
              </w:rPr>
              <w:t>466</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Interest rate swap contract</w:t>
            </w:r>
          </w:p>
        </w:tc>
        <w:tc>
          <w:tcPr>
            <w:tcW w:w="80" w:type="dxa"/>
            <w:vAlign w:val="bottom"/>
            <w:shd w:val="clear" w:color="auto" w:fill="D2DCE5"/>
          </w:tcPr>
          <w:p>
            <w:pPr>
              <w:spacing w:after="0"/>
              <w:rPr>
                <w:sz w:val="23"/>
                <w:szCs w:val="23"/>
                <w:color w:val="auto"/>
              </w:rPr>
            </w:pPr>
          </w:p>
        </w:tc>
        <w:tc>
          <w:tcPr>
            <w:tcW w:w="3660" w:type="dxa"/>
            <w:vAlign w:val="bottom"/>
            <w:gridSpan w:val="4"/>
            <w:shd w:val="clear" w:color="auto" w:fill="D2DCE5"/>
          </w:tcPr>
          <w:p>
            <w:pPr>
              <w:ind w:left="20"/>
              <w:spacing w:after="0"/>
              <w:rPr>
                <w:sz w:val="20"/>
                <w:szCs w:val="20"/>
                <w:color w:val="auto"/>
              </w:rPr>
            </w:pPr>
            <w:r>
              <w:rPr>
                <w:rFonts w:ascii="Arial" w:cs="Arial" w:eastAsia="Arial" w:hAnsi="Arial"/>
                <w:sz w:val="18"/>
                <w:szCs w:val="18"/>
                <w:color w:val="131E29"/>
              </w:rPr>
              <w:t>Other long-term assets</w:t>
            </w:r>
          </w:p>
        </w:tc>
        <w:tc>
          <w:tcPr>
            <w:tcW w:w="200" w:type="dxa"/>
            <w:vAlign w:val="bottom"/>
            <w:tcBorders>
              <w:bottom w:val="single" w:sz="8" w:color="auto"/>
            </w:tcBorders>
            <w:shd w:val="clear" w:color="auto" w:fill="D2DCE5"/>
          </w:tcPr>
          <w:p>
            <w:pPr>
              <w:spacing w:after="0"/>
              <w:rPr>
                <w:sz w:val="23"/>
                <w:szCs w:val="23"/>
                <w:color w:val="auto"/>
              </w:rPr>
            </w:pPr>
          </w:p>
        </w:tc>
        <w:tc>
          <w:tcPr>
            <w:tcW w:w="160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8"/>
                <w:szCs w:val="18"/>
                <w:color w:val="006098"/>
              </w:rPr>
              <w:t>—</w:t>
            </w:r>
          </w:p>
        </w:tc>
        <w:tc>
          <w:tcPr>
            <w:tcW w:w="20" w:type="dxa"/>
            <w:vAlign w:val="bottom"/>
            <w:tcBorders>
              <w:bottom w:val="single" w:sz="8" w:color="auto"/>
            </w:tcBorders>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1300" w:type="dxa"/>
            <w:vAlign w:val="bottom"/>
            <w:tcBorders>
              <w:bottom w:val="single" w:sz="8" w:color="auto"/>
            </w:tcBorders>
            <w:shd w:val="clear" w:color="auto" w:fill="D2DCE5"/>
          </w:tcPr>
          <w:p>
            <w:pPr>
              <w:spacing w:after="0"/>
              <w:rPr>
                <w:sz w:val="23"/>
                <w:szCs w:val="23"/>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36</w:t>
            </w:r>
          </w:p>
        </w:tc>
        <w:tc>
          <w:tcPr>
            <w:tcW w:w="0" w:type="dxa"/>
            <w:vAlign w:val="bottom"/>
          </w:tcPr>
          <w:p>
            <w:pPr>
              <w:spacing w:after="0"/>
              <w:rPr>
                <w:sz w:val="1"/>
                <w:szCs w:val="1"/>
                <w:color w:val="auto"/>
              </w:rPr>
            </w:pPr>
          </w:p>
        </w:tc>
      </w:tr>
      <w:tr>
        <w:trPr>
          <w:trHeight w:val="204"/>
        </w:trPr>
        <w:tc>
          <w:tcPr>
            <w:tcW w:w="3780" w:type="dxa"/>
            <w:vAlign w:val="bottom"/>
            <w:gridSpan w:val="2"/>
          </w:tcPr>
          <w:p>
            <w:pPr>
              <w:ind w:left="20"/>
              <w:spacing w:after="0" w:line="204" w:lineRule="exact"/>
              <w:rPr>
                <w:sz w:val="20"/>
                <w:szCs w:val="20"/>
                <w:color w:val="auto"/>
              </w:rPr>
            </w:pPr>
            <w:r>
              <w:rPr>
                <w:rFonts w:ascii="Arial" w:cs="Arial" w:eastAsia="Arial" w:hAnsi="Arial"/>
                <w:sz w:val="18"/>
                <w:szCs w:val="18"/>
                <w:b w:val="1"/>
                <w:bCs w:val="1"/>
                <w:color w:val="131E29"/>
              </w:rPr>
              <w:t>Total derivative instrument designated as</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vMerge w:val="restart"/>
          </w:tcPr>
          <w:p>
            <w:pPr>
              <w:jc w:val="right"/>
              <w:ind w:right="1110"/>
              <w:spacing w:after="0"/>
              <w:rPr>
                <w:sz w:val="20"/>
                <w:szCs w:val="20"/>
                <w:color w:val="auto"/>
              </w:rPr>
            </w:pPr>
            <w:r>
              <w:rPr>
                <w:rFonts w:ascii="Arial" w:cs="Arial" w:eastAsia="Arial" w:hAnsi="Arial"/>
                <w:sz w:val="18"/>
                <w:szCs w:val="18"/>
                <w:b w:val="1"/>
                <w:bCs w:val="1"/>
                <w:color w:val="131E29"/>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131E29"/>
              </w:rPr>
              <w:t>502</w:t>
            </w:r>
          </w:p>
        </w:tc>
        <w:tc>
          <w:tcPr>
            <w:tcW w:w="0" w:type="dxa"/>
            <w:vAlign w:val="bottom"/>
          </w:tcPr>
          <w:p>
            <w:pPr>
              <w:spacing w:after="0"/>
              <w:rPr>
                <w:sz w:val="1"/>
                <w:szCs w:val="1"/>
                <w:color w:val="auto"/>
              </w:rPr>
            </w:pPr>
          </w:p>
        </w:tc>
      </w:tr>
      <w:tr>
        <w:trPr>
          <w:trHeight w:val="235"/>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131E29"/>
              </w:rPr>
              <w:t>cash flow hedge</w:t>
            </w: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006098"/>
              </w:rPr>
              <w:t>535</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3"/>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D7282F"/>
            </w:tcBorders>
          </w:tcPr>
          <w:p>
            <w:pPr>
              <w:spacing w:after="0"/>
              <w:rPr>
                <w:sz w:val="24"/>
                <w:szCs w:val="24"/>
                <w:color w:val="auto"/>
              </w:rPr>
            </w:pPr>
          </w:p>
        </w:tc>
        <w:tc>
          <w:tcPr>
            <w:tcW w:w="3020" w:type="dxa"/>
            <w:vAlign w:val="bottom"/>
            <w:tcBorders>
              <w:bottom w:val="single" w:sz="8" w:color="D7282F"/>
            </w:tcBorders>
            <w:gridSpan w:val="6"/>
          </w:tcPr>
          <w:p>
            <w:pPr>
              <w:jc w:val="center"/>
              <w:ind w:left="230"/>
              <w:spacing w:after="0"/>
              <w:rPr>
                <w:sz w:val="20"/>
                <w:szCs w:val="20"/>
                <w:color w:val="auto"/>
              </w:rPr>
            </w:pPr>
            <w:r>
              <w:rPr>
                <w:rFonts w:ascii="Arial" w:cs="Arial" w:eastAsia="Arial" w:hAnsi="Arial"/>
                <w:sz w:val="18"/>
                <w:szCs w:val="18"/>
                <w:b w:val="1"/>
                <w:bCs w:val="1"/>
                <w:color w:val="131E29"/>
                <w:w w:val="99"/>
              </w:rPr>
              <w:t>Three Months Ended March 31,</w:t>
            </w:r>
          </w:p>
        </w:tc>
        <w:tc>
          <w:tcPr>
            <w:tcW w:w="5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80" w:type="dxa"/>
            <w:vAlign w:val="bottom"/>
            <w:tcBorders>
              <w:bottom w:val="single" w:sz="8" w:color="D7282F"/>
            </w:tcBorders>
          </w:tcPr>
          <w:p>
            <w:pPr>
              <w:spacing w:after="0"/>
              <w:rPr>
                <w:sz w:val="22"/>
                <w:szCs w:val="22"/>
                <w:color w:val="auto"/>
              </w:rPr>
            </w:pPr>
          </w:p>
        </w:tc>
        <w:tc>
          <w:tcPr>
            <w:tcW w:w="3580" w:type="dxa"/>
            <w:vAlign w:val="bottom"/>
            <w:tcBorders>
              <w:bottom w:val="single" w:sz="8" w:color="D7282F"/>
            </w:tcBorders>
            <w:gridSpan w:val="3"/>
          </w:tcPr>
          <w:p>
            <w:pPr>
              <w:ind w:left="240"/>
              <w:spacing w:after="0"/>
              <w:rPr>
                <w:sz w:val="20"/>
                <w:szCs w:val="20"/>
                <w:color w:val="auto"/>
              </w:rPr>
            </w:pPr>
            <w:r>
              <w:rPr>
                <w:rFonts w:ascii="Arial" w:cs="Arial" w:eastAsia="Arial" w:hAnsi="Arial"/>
                <w:sz w:val="18"/>
                <w:szCs w:val="18"/>
                <w:b w:val="1"/>
                <w:bCs w:val="1"/>
                <w:color w:val="131E29"/>
              </w:rPr>
              <w:t>Financial Statements Classification</w:t>
            </w:r>
          </w:p>
        </w:tc>
        <w:tc>
          <w:tcPr>
            <w:tcW w:w="80" w:type="dxa"/>
            <w:vAlign w:val="bottom"/>
            <w:tcBorders>
              <w:bottom w:val="single" w:sz="8" w:color="D2DCE5"/>
            </w:tcBorders>
          </w:tcPr>
          <w:p>
            <w:pPr>
              <w:spacing w:after="0"/>
              <w:rPr>
                <w:sz w:val="22"/>
                <w:szCs w:val="22"/>
                <w:color w:val="auto"/>
              </w:rPr>
            </w:pPr>
          </w:p>
        </w:tc>
        <w:tc>
          <w:tcPr>
            <w:tcW w:w="200" w:type="dxa"/>
            <w:vAlign w:val="bottom"/>
            <w:tcBorders>
              <w:bottom w:val="single" w:sz="8" w:color="D7282F"/>
            </w:tcBorders>
          </w:tcPr>
          <w:p>
            <w:pPr>
              <w:spacing w:after="0"/>
              <w:rPr>
                <w:sz w:val="22"/>
                <w:szCs w:val="22"/>
                <w:color w:val="auto"/>
              </w:rPr>
            </w:pPr>
          </w:p>
        </w:tc>
        <w:tc>
          <w:tcPr>
            <w:tcW w:w="1480" w:type="dxa"/>
            <w:vAlign w:val="bottom"/>
            <w:tcBorders>
              <w:bottom w:val="single" w:sz="8" w:color="D7282F"/>
            </w:tcBorders>
          </w:tcPr>
          <w:p>
            <w:pPr>
              <w:jc w:val="right"/>
              <w:ind w:right="47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300" w:type="dxa"/>
            <w:vAlign w:val="bottom"/>
            <w:tcBorders>
              <w:bottom w:val="single" w:sz="8" w:color="D7282F"/>
            </w:tcBorders>
          </w:tcPr>
          <w:p>
            <w:pPr>
              <w:jc w:val="right"/>
              <w:ind w:right="110"/>
              <w:spacing w:after="0"/>
              <w:rPr>
                <w:sz w:val="20"/>
                <w:szCs w:val="20"/>
                <w:color w:val="auto"/>
              </w:rPr>
            </w:pPr>
            <w:r>
              <w:rPr>
                <w:rFonts w:ascii="Arial" w:cs="Arial" w:eastAsia="Arial" w:hAnsi="Arial"/>
                <w:sz w:val="18"/>
                <w:szCs w:val="18"/>
                <w:b w:val="1"/>
                <w:bCs w:val="1"/>
                <w:color w:val="131E29"/>
              </w:rPr>
              <w:t>2025</w:t>
            </w:r>
          </w:p>
        </w:tc>
        <w:tc>
          <w:tcPr>
            <w:tcW w:w="50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Derivative instrument designated as cash</w:t>
            </w:r>
          </w:p>
        </w:tc>
        <w:tc>
          <w:tcPr>
            <w:tcW w:w="80" w:type="dxa"/>
            <w:vAlign w:val="bottom"/>
            <w:shd w:val="clear" w:color="auto" w:fill="D2DCE5"/>
          </w:tcPr>
          <w:p>
            <w:pPr>
              <w:spacing w:after="0"/>
              <w:rPr>
                <w:sz w:val="19"/>
                <w:szCs w:val="19"/>
                <w:color w:val="auto"/>
              </w:rPr>
            </w:pPr>
          </w:p>
        </w:tc>
        <w:tc>
          <w:tcPr>
            <w:tcW w:w="33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4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300" w:type="dxa"/>
            <w:vAlign w:val="bottom"/>
            <w:shd w:val="clear" w:color="auto" w:fill="D2DCE5"/>
          </w:tcPr>
          <w:p>
            <w:pPr>
              <w:spacing w:after="0"/>
              <w:rPr>
                <w:sz w:val="19"/>
                <w:szCs w:val="19"/>
                <w:color w:val="auto"/>
              </w:rPr>
            </w:pPr>
          </w:p>
        </w:tc>
        <w:tc>
          <w:tcPr>
            <w:tcW w:w="50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78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flow hedge</w:t>
            </w:r>
          </w:p>
        </w:tc>
        <w:tc>
          <w:tcPr>
            <w:tcW w:w="80" w:type="dxa"/>
            <w:vAlign w:val="bottom"/>
            <w:shd w:val="clear" w:color="auto" w:fill="D2DCE5"/>
          </w:tcPr>
          <w:p>
            <w:pPr>
              <w:spacing w:after="0"/>
              <w:rPr>
                <w:sz w:val="22"/>
                <w:szCs w:val="22"/>
                <w:color w:val="auto"/>
              </w:rPr>
            </w:pPr>
          </w:p>
        </w:tc>
        <w:tc>
          <w:tcPr>
            <w:tcW w:w="33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60" w:type="dxa"/>
            <w:vAlign w:val="bottom"/>
            <w:shd w:val="clear" w:color="auto" w:fill="D2DCE5"/>
          </w:tcPr>
          <w:p>
            <w:pPr>
              <w:spacing w:after="0"/>
              <w:rPr>
                <w:sz w:val="22"/>
                <w:szCs w:val="22"/>
                <w:color w:val="auto"/>
              </w:rPr>
            </w:pPr>
          </w:p>
        </w:tc>
        <w:tc>
          <w:tcPr>
            <w:tcW w:w="80" w:type="dxa"/>
            <w:vAlign w:val="bottom"/>
            <w:shd w:val="clear" w:color="auto" w:fill="D2DCE5"/>
          </w:tcPr>
          <w:p>
            <w:pPr>
              <w:spacing w:after="0"/>
              <w:rPr>
                <w:sz w:val="22"/>
                <w:szCs w:val="22"/>
                <w:color w:val="auto"/>
              </w:rPr>
            </w:pPr>
          </w:p>
        </w:tc>
        <w:tc>
          <w:tcPr>
            <w:tcW w:w="200" w:type="dxa"/>
            <w:vAlign w:val="bottom"/>
            <w:shd w:val="clear" w:color="auto" w:fill="D2DCE5"/>
          </w:tcPr>
          <w:p>
            <w:pPr>
              <w:spacing w:after="0"/>
              <w:rPr>
                <w:sz w:val="22"/>
                <w:szCs w:val="22"/>
                <w:color w:val="auto"/>
              </w:rPr>
            </w:pPr>
          </w:p>
        </w:tc>
        <w:tc>
          <w:tcPr>
            <w:tcW w:w="148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300" w:type="dxa"/>
            <w:vAlign w:val="bottom"/>
            <w:shd w:val="clear" w:color="auto" w:fill="D2DCE5"/>
          </w:tcPr>
          <w:p>
            <w:pPr>
              <w:spacing w:after="0"/>
              <w:rPr>
                <w:sz w:val="22"/>
                <w:szCs w:val="22"/>
                <w:color w:val="auto"/>
              </w:rPr>
            </w:pPr>
          </w:p>
        </w:tc>
        <w:tc>
          <w:tcPr>
            <w:tcW w:w="500" w:type="dxa"/>
            <w:vAlign w:val="bottom"/>
            <w:shd w:val="clear" w:color="auto" w:fill="D2DCE5"/>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780" w:type="dxa"/>
            <w:vAlign w:val="bottom"/>
            <w:gridSpan w:val="2"/>
          </w:tcPr>
          <w:p>
            <w:pPr>
              <w:ind w:left="140"/>
              <w:spacing w:after="0"/>
              <w:rPr>
                <w:sz w:val="20"/>
                <w:szCs w:val="20"/>
                <w:color w:val="auto"/>
              </w:rPr>
            </w:pPr>
            <w:r>
              <w:rPr>
                <w:rFonts w:ascii="Arial" w:cs="Arial" w:eastAsia="Arial" w:hAnsi="Arial"/>
                <w:sz w:val="18"/>
                <w:szCs w:val="18"/>
                <w:color w:val="131E29"/>
              </w:rPr>
              <w:t>Income (loss) recognized in other</w:t>
            </w:r>
          </w:p>
        </w:tc>
        <w:tc>
          <w:tcPr>
            <w:tcW w:w="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40"/>
              <w:spacing w:after="0"/>
              <w:rPr>
                <w:sz w:val="20"/>
                <w:szCs w:val="20"/>
                <w:color w:val="auto"/>
              </w:rPr>
            </w:pPr>
            <w:r>
              <w:rPr>
                <w:rFonts w:ascii="Arial" w:cs="Arial" w:eastAsia="Arial" w:hAnsi="Arial"/>
                <w:sz w:val="18"/>
                <w:szCs w:val="18"/>
                <w:color w:val="131E29"/>
              </w:rPr>
              <w:t>comprehensive income before</w:t>
            </w: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780" w:type="dxa"/>
            <w:vAlign w:val="bottom"/>
            <w:gridSpan w:val="2"/>
          </w:tcPr>
          <w:p>
            <w:pPr>
              <w:ind w:left="140"/>
              <w:spacing w:after="0"/>
              <w:rPr>
                <w:sz w:val="20"/>
                <w:szCs w:val="20"/>
                <w:color w:val="auto"/>
              </w:rPr>
            </w:pPr>
            <w:r>
              <w:rPr>
                <w:rFonts w:ascii="Arial" w:cs="Arial" w:eastAsia="Arial" w:hAnsi="Arial"/>
                <w:sz w:val="18"/>
                <w:szCs w:val="18"/>
                <w:color w:val="131E29"/>
              </w:rPr>
              <w:t>reclassifications</w:t>
            </w:r>
          </w:p>
        </w:tc>
        <w:tc>
          <w:tcPr>
            <w:tcW w:w="3740" w:type="dxa"/>
            <w:vAlign w:val="bottom"/>
            <w:gridSpan w:val="5"/>
          </w:tcPr>
          <w:p>
            <w:pPr>
              <w:ind w:left="20"/>
              <w:spacing w:after="0"/>
              <w:rPr>
                <w:sz w:val="20"/>
                <w:szCs w:val="20"/>
                <w:color w:val="auto"/>
              </w:rPr>
            </w:pPr>
            <w:r>
              <w:rPr>
                <w:rFonts w:ascii="Arial" w:cs="Arial" w:eastAsia="Arial" w:hAnsi="Arial"/>
                <w:sz w:val="18"/>
                <w:szCs w:val="18"/>
                <w:color w:val="131E29"/>
              </w:rPr>
              <w:t>Statements of Comprehensive Income</w:t>
            </w:r>
          </w:p>
        </w:tc>
        <w:tc>
          <w:tcPr>
            <w:tcW w:w="200" w:type="dxa"/>
            <w:vAlign w:val="bottom"/>
          </w:tcPr>
          <w:p>
            <w:pPr>
              <w:jc w:val="right"/>
              <w:spacing w:after="0"/>
              <w:rPr>
                <w:sz w:val="20"/>
                <w:szCs w:val="20"/>
                <w:color w:val="auto"/>
              </w:rPr>
            </w:pPr>
            <w:r>
              <w:rPr>
                <w:rFonts w:ascii="Arial" w:cs="Arial" w:eastAsia="Arial" w:hAnsi="Arial"/>
                <w:sz w:val="18"/>
                <w:szCs w:val="18"/>
                <w:color w:val="006098"/>
                <w:w w:val="99"/>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006098"/>
              </w:rPr>
              <w:t>198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ind w:right="1110"/>
              <w:spacing w:after="0"/>
              <w:rPr>
                <w:sz w:val="20"/>
                <w:szCs w:val="20"/>
                <w:color w:val="auto"/>
              </w:rPr>
            </w:pPr>
            <w:r>
              <w:rPr>
                <w:rFonts w:ascii="Arial" w:cs="Arial" w:eastAsia="Arial" w:hAnsi="Arial"/>
                <w:sz w:val="18"/>
                <w:szCs w:val="18"/>
                <w:color w:val="131E29"/>
                <w:w w:val="79"/>
              </w:rPr>
              <w:t>$</w:t>
            </w:r>
          </w:p>
        </w:tc>
        <w:tc>
          <w:tcPr>
            <w:tcW w:w="500" w:type="dxa"/>
            <w:vAlign w:val="bottom"/>
          </w:tcPr>
          <w:p>
            <w:pPr>
              <w:jc w:val="right"/>
              <w:spacing w:after="0"/>
              <w:rPr>
                <w:sz w:val="20"/>
                <w:szCs w:val="20"/>
                <w:color w:val="auto"/>
              </w:rPr>
            </w:pPr>
            <w:r>
              <w:rPr>
                <w:rFonts w:ascii="Arial" w:cs="Arial" w:eastAsia="Arial" w:hAnsi="Arial"/>
                <w:sz w:val="18"/>
                <w:szCs w:val="18"/>
                <w:color w:val="131E29"/>
              </w:rPr>
              <w:t>(160)</w:t>
            </w:r>
          </w:p>
        </w:tc>
        <w:tc>
          <w:tcPr>
            <w:tcW w:w="0" w:type="dxa"/>
            <w:vAlign w:val="bottom"/>
          </w:tcPr>
          <w:p>
            <w:pPr>
              <w:spacing w:after="0"/>
              <w:rPr>
                <w:sz w:val="1"/>
                <w:szCs w:val="1"/>
                <w:color w:val="auto"/>
              </w:rPr>
            </w:pPr>
          </w:p>
        </w:tc>
      </w:tr>
      <w:tr>
        <w:trPr>
          <w:trHeight w:val="224"/>
        </w:trPr>
        <w:tc>
          <w:tcPr>
            <w:tcW w:w="37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Reclassification from accumulated other</w:t>
            </w:r>
          </w:p>
        </w:tc>
        <w:tc>
          <w:tcPr>
            <w:tcW w:w="80" w:type="dxa"/>
            <w:vAlign w:val="bottom"/>
            <w:shd w:val="clear" w:color="auto" w:fill="D2DCE5"/>
          </w:tcPr>
          <w:p>
            <w:pPr>
              <w:spacing w:after="0"/>
              <w:rPr>
                <w:sz w:val="19"/>
                <w:szCs w:val="19"/>
                <w:color w:val="auto"/>
              </w:rPr>
            </w:pPr>
          </w:p>
        </w:tc>
        <w:tc>
          <w:tcPr>
            <w:tcW w:w="33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4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300" w:type="dxa"/>
            <w:vAlign w:val="bottom"/>
            <w:shd w:val="clear" w:color="auto" w:fill="D2DCE5"/>
          </w:tcPr>
          <w:p>
            <w:pPr>
              <w:spacing w:after="0"/>
              <w:rPr>
                <w:sz w:val="19"/>
                <w:szCs w:val="19"/>
                <w:color w:val="auto"/>
              </w:rPr>
            </w:pPr>
          </w:p>
        </w:tc>
        <w:tc>
          <w:tcPr>
            <w:tcW w:w="50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comprehensive income to earnings for the</w:t>
            </w:r>
          </w:p>
        </w:tc>
        <w:tc>
          <w:tcPr>
            <w:tcW w:w="3740" w:type="dxa"/>
            <w:vAlign w:val="bottom"/>
            <w:gridSpan w:val="5"/>
            <w:shd w:val="clear" w:color="auto" w:fill="D2DCE5"/>
          </w:tcPr>
          <w:p>
            <w:pPr>
              <w:ind w:left="20"/>
              <w:spacing w:after="0"/>
              <w:rPr>
                <w:sz w:val="20"/>
                <w:szCs w:val="20"/>
                <w:color w:val="auto"/>
              </w:rPr>
            </w:pPr>
            <w:r>
              <w:rPr>
                <w:rFonts w:ascii="Arial" w:cs="Arial" w:eastAsia="Arial" w:hAnsi="Arial"/>
                <w:sz w:val="18"/>
                <w:szCs w:val="18"/>
                <w:color w:val="131E29"/>
              </w:rPr>
              <w:t>Statements of Operations - Interest expense,</w:t>
            </w:r>
          </w:p>
        </w:tc>
        <w:tc>
          <w:tcPr>
            <w:tcW w:w="200" w:type="dxa"/>
            <w:vAlign w:val="bottom"/>
            <w:shd w:val="clear" w:color="auto" w:fill="D2DCE5"/>
          </w:tcPr>
          <w:p>
            <w:pPr>
              <w:spacing w:after="0"/>
              <w:rPr>
                <w:sz w:val="18"/>
                <w:szCs w:val="18"/>
                <w:color w:val="auto"/>
              </w:rPr>
            </w:pPr>
          </w:p>
        </w:tc>
        <w:tc>
          <w:tcPr>
            <w:tcW w:w="14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300" w:type="dxa"/>
            <w:vAlign w:val="bottom"/>
            <w:shd w:val="clear" w:color="auto" w:fill="D2DCE5"/>
          </w:tcPr>
          <w:p>
            <w:pPr>
              <w:spacing w:after="0"/>
              <w:rPr>
                <w:sz w:val="18"/>
                <w:szCs w:val="18"/>
                <w:color w:val="auto"/>
              </w:rPr>
            </w:pPr>
          </w:p>
        </w:tc>
        <w:tc>
          <w:tcPr>
            <w:tcW w:w="5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780" w:type="dxa"/>
            <w:vAlign w:val="bottom"/>
            <w:gridSpan w:val="2"/>
            <w:shd w:val="clear" w:color="auto" w:fill="D2DCE5"/>
          </w:tcPr>
          <w:p>
            <w:pPr>
              <w:ind w:left="140"/>
              <w:spacing w:after="0"/>
              <w:rPr>
                <w:sz w:val="20"/>
                <w:szCs w:val="20"/>
                <w:color w:val="auto"/>
              </w:rPr>
            </w:pPr>
            <w:r>
              <w:rPr>
                <w:rFonts w:ascii="Arial" w:cs="Arial" w:eastAsia="Arial" w:hAnsi="Arial"/>
                <w:sz w:val="18"/>
                <w:szCs w:val="18"/>
                <w:color w:val="131E29"/>
              </w:rPr>
              <w:t>effective portion</w:t>
            </w:r>
          </w:p>
        </w:tc>
        <w:tc>
          <w:tcPr>
            <w:tcW w:w="3740" w:type="dxa"/>
            <w:vAlign w:val="bottom"/>
            <w:gridSpan w:val="5"/>
            <w:shd w:val="clear" w:color="auto" w:fill="D2DCE5"/>
          </w:tcPr>
          <w:p>
            <w:pPr>
              <w:ind w:left="20"/>
              <w:spacing w:after="0"/>
              <w:rPr>
                <w:sz w:val="20"/>
                <w:szCs w:val="20"/>
                <w:color w:val="auto"/>
              </w:rPr>
            </w:pPr>
            <w:r>
              <w:rPr>
                <w:rFonts w:ascii="Arial" w:cs="Arial" w:eastAsia="Arial" w:hAnsi="Arial"/>
                <w:sz w:val="18"/>
                <w:szCs w:val="18"/>
                <w:color w:val="131E29"/>
              </w:rPr>
              <w:t>net</w:t>
            </w:r>
          </w:p>
        </w:tc>
        <w:tc>
          <w:tcPr>
            <w:tcW w:w="200" w:type="dxa"/>
            <w:vAlign w:val="bottom"/>
            <w:shd w:val="clear" w:color="auto" w:fill="D2DCE5"/>
          </w:tcPr>
          <w:p>
            <w:pPr>
              <w:spacing w:after="0"/>
              <w:rPr>
                <w:sz w:val="22"/>
                <w:szCs w:val="22"/>
                <w:color w:val="auto"/>
              </w:rPr>
            </w:pPr>
          </w:p>
        </w:tc>
        <w:tc>
          <w:tcPr>
            <w:tcW w:w="1600" w:type="dxa"/>
            <w:vAlign w:val="bottom"/>
            <w:gridSpan w:val="3"/>
            <w:shd w:val="clear" w:color="auto" w:fill="D2DCE5"/>
          </w:tcPr>
          <w:p>
            <w:pPr>
              <w:jc w:val="right"/>
              <w:ind w:right="20"/>
              <w:spacing w:after="0"/>
              <w:rPr>
                <w:sz w:val="20"/>
                <w:szCs w:val="20"/>
                <w:color w:val="auto"/>
              </w:rPr>
            </w:pPr>
            <w:r>
              <w:rPr>
                <w:rFonts w:ascii="Arial" w:cs="Arial" w:eastAsia="Arial" w:hAnsi="Arial"/>
                <w:sz w:val="18"/>
                <w:szCs w:val="18"/>
                <w:color w:val="006098"/>
              </w:rPr>
              <w:t>(165)</w:t>
            </w:r>
          </w:p>
        </w:tc>
        <w:tc>
          <w:tcPr>
            <w:tcW w:w="20" w:type="dxa"/>
            <w:vAlign w:val="bottom"/>
            <w:shd w:val="clear" w:color="auto" w:fill="D2DCE5"/>
          </w:tcPr>
          <w:p>
            <w:pPr>
              <w:spacing w:after="0"/>
              <w:rPr>
                <w:sz w:val="22"/>
                <w:szCs w:val="22"/>
                <w:color w:val="auto"/>
              </w:rPr>
            </w:pPr>
          </w:p>
        </w:tc>
        <w:tc>
          <w:tcPr>
            <w:tcW w:w="100" w:type="dxa"/>
            <w:vAlign w:val="bottom"/>
            <w:shd w:val="clear" w:color="auto" w:fill="D2DCE5"/>
          </w:tcPr>
          <w:p>
            <w:pPr>
              <w:spacing w:after="0"/>
              <w:rPr>
                <w:sz w:val="22"/>
                <w:szCs w:val="22"/>
                <w:color w:val="auto"/>
              </w:rPr>
            </w:pPr>
          </w:p>
        </w:tc>
        <w:tc>
          <w:tcPr>
            <w:tcW w:w="1300" w:type="dxa"/>
            <w:vAlign w:val="bottom"/>
            <w:shd w:val="clear" w:color="auto" w:fill="D2DCE5"/>
          </w:tcPr>
          <w:p>
            <w:pPr>
              <w:spacing w:after="0"/>
              <w:rPr>
                <w:sz w:val="22"/>
                <w:szCs w:val="22"/>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(282)</w:t>
            </w:r>
          </w:p>
        </w:tc>
        <w:tc>
          <w:tcPr>
            <w:tcW w:w="0" w:type="dxa"/>
            <w:vAlign w:val="bottom"/>
          </w:tcPr>
          <w:p>
            <w:pPr>
              <w:spacing w:after="0"/>
              <w:rPr>
                <w:sz w:val="1"/>
                <w:szCs w:val="1"/>
                <w:color w:val="auto"/>
              </w:rPr>
            </w:pPr>
          </w:p>
        </w:tc>
      </w:tr>
      <w:tr>
        <w:trPr>
          <w:trHeight w:val="274"/>
        </w:trPr>
        <w:tc>
          <w:tcPr>
            <w:tcW w:w="3780" w:type="dxa"/>
            <w:vAlign w:val="bottom"/>
            <w:gridSpan w:val="2"/>
          </w:tcPr>
          <w:p>
            <w:pPr>
              <w:ind w:left="140"/>
              <w:spacing w:after="0"/>
              <w:rPr>
                <w:sz w:val="20"/>
                <w:szCs w:val="20"/>
                <w:color w:val="auto"/>
              </w:rPr>
            </w:pPr>
            <w:r>
              <w:rPr>
                <w:rFonts w:ascii="Arial" w:cs="Arial" w:eastAsia="Arial" w:hAnsi="Arial"/>
                <w:sz w:val="18"/>
                <w:szCs w:val="18"/>
                <w:color w:val="131E29"/>
              </w:rPr>
              <w:t>Income tax benefit (expense)</w:t>
            </w:r>
          </w:p>
        </w:tc>
        <w:tc>
          <w:tcPr>
            <w:tcW w:w="3740" w:type="dxa"/>
            <w:vAlign w:val="bottom"/>
            <w:gridSpan w:val="5"/>
          </w:tcPr>
          <w:p>
            <w:pPr>
              <w:ind w:left="20"/>
              <w:spacing w:after="0"/>
              <w:rPr>
                <w:sz w:val="20"/>
                <w:szCs w:val="20"/>
                <w:color w:val="auto"/>
              </w:rPr>
            </w:pPr>
            <w:r>
              <w:rPr>
                <w:rFonts w:ascii="Arial" w:cs="Arial" w:eastAsia="Arial" w:hAnsi="Arial"/>
                <w:sz w:val="18"/>
                <w:szCs w:val="18"/>
                <w:color w:val="131E29"/>
              </w:rPr>
              <w:t>Statements of Comprehensive Income</w:t>
            </w:r>
          </w:p>
        </w:tc>
        <w:tc>
          <w:tcPr>
            <w:tcW w:w="200" w:type="dxa"/>
            <w:vAlign w:val="bottom"/>
          </w:tcPr>
          <w:p>
            <w:pPr>
              <w:spacing w:after="0"/>
              <w:rPr>
                <w:sz w:val="23"/>
                <w:szCs w:val="23"/>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006098"/>
              </w:rPr>
              <w:t>(6)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131E29"/>
              </w:rPr>
              <w:t>93</w:t>
            </w:r>
          </w:p>
        </w:tc>
        <w:tc>
          <w:tcPr>
            <w:tcW w:w="0" w:type="dxa"/>
            <w:vAlign w:val="bottom"/>
          </w:tcPr>
          <w:p>
            <w:pPr>
              <w:spacing w:after="0"/>
              <w:rPr>
                <w:sz w:val="1"/>
                <w:szCs w:val="1"/>
                <w:color w:val="auto"/>
              </w:rPr>
            </w:pPr>
          </w:p>
        </w:tc>
      </w:tr>
      <w:tr>
        <w:trPr>
          <w:trHeight w:val="522"/>
        </w:trPr>
        <w:tc>
          <w:tcPr>
            <w:tcW w:w="3780" w:type="dxa"/>
            <w:vAlign w:val="bottom"/>
            <w:gridSpan w:val="2"/>
          </w:tcPr>
          <w:p>
            <w:pPr>
              <w:spacing w:after="0"/>
              <w:rPr>
                <w:sz w:val="20"/>
                <w:szCs w:val="20"/>
                <w:color w:val="auto"/>
              </w:rPr>
            </w:pPr>
            <w:r>
              <w:rPr>
                <w:rFonts w:ascii="Arial" w:cs="Arial" w:eastAsia="Arial" w:hAnsi="Arial"/>
                <w:sz w:val="22"/>
                <w:szCs w:val="22"/>
                <w:b w:val="1"/>
                <w:bCs w:val="1"/>
                <w:color w:val="00416B"/>
              </w:rPr>
              <w:t>NOTE 12 — Income Taxes</w:t>
            </w: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80" w:type="dxa"/>
            <w:vAlign w:val="bottom"/>
            <w:tcBorders>
              <w:bottom w:val="single" w:sz="8" w:color="D7282F"/>
            </w:tcBorders>
          </w:tcPr>
          <w:p>
            <w:pPr>
              <w:spacing w:after="0"/>
              <w:rPr>
                <w:sz w:val="24"/>
                <w:szCs w:val="24"/>
                <w:color w:val="auto"/>
              </w:rPr>
            </w:pPr>
          </w:p>
        </w:tc>
        <w:tc>
          <w:tcPr>
            <w:tcW w:w="200" w:type="dxa"/>
            <w:vAlign w:val="bottom"/>
            <w:tcBorders>
              <w:bottom w:val="single" w:sz="8" w:color="D7282F"/>
            </w:tcBorders>
          </w:tcPr>
          <w:p>
            <w:pPr>
              <w:spacing w:after="0"/>
              <w:rPr>
                <w:sz w:val="24"/>
                <w:szCs w:val="24"/>
                <w:color w:val="auto"/>
              </w:rPr>
            </w:pPr>
          </w:p>
        </w:tc>
        <w:tc>
          <w:tcPr>
            <w:tcW w:w="3020" w:type="dxa"/>
            <w:vAlign w:val="bottom"/>
            <w:tcBorders>
              <w:bottom w:val="single" w:sz="8" w:color="D7282F"/>
            </w:tcBorders>
            <w:gridSpan w:val="6"/>
          </w:tcPr>
          <w:p>
            <w:pPr>
              <w:jc w:val="right"/>
              <w:ind w:right="70"/>
              <w:spacing w:after="0"/>
              <w:rPr>
                <w:sz w:val="20"/>
                <w:szCs w:val="20"/>
                <w:color w:val="auto"/>
              </w:rPr>
            </w:pPr>
            <w:r>
              <w:rPr>
                <w:rFonts w:ascii="Arial" w:cs="Arial" w:eastAsia="Arial" w:hAnsi="Arial"/>
                <w:sz w:val="18"/>
                <w:szCs w:val="18"/>
                <w:b w:val="1"/>
                <w:bCs w:val="1"/>
                <w:color w:val="131E29"/>
              </w:rPr>
              <w:t>Three Months Ended March 31,</w:t>
            </w:r>
          </w:p>
        </w:tc>
        <w:tc>
          <w:tcPr>
            <w:tcW w:w="5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color w:val="131E29"/>
              </w:rPr>
              <w:t>(dollars in thousands)</w:t>
            </w:r>
          </w:p>
        </w:tc>
        <w:tc>
          <w:tcPr>
            <w:tcW w:w="80" w:type="dxa"/>
            <w:vAlign w:val="bottom"/>
            <w:tcBorders>
              <w:bottom w:val="single" w:sz="8" w:color="D7282F"/>
            </w:tcBorders>
          </w:tcPr>
          <w:p>
            <w:pPr>
              <w:spacing w:after="0"/>
              <w:rPr>
                <w:sz w:val="22"/>
                <w:szCs w:val="22"/>
                <w:color w:val="auto"/>
              </w:rPr>
            </w:pPr>
          </w:p>
        </w:tc>
        <w:tc>
          <w:tcPr>
            <w:tcW w:w="332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80" w:type="dxa"/>
            <w:vAlign w:val="bottom"/>
            <w:tcBorders>
              <w:bottom w:val="single" w:sz="8" w:color="D7282F"/>
            </w:tcBorders>
          </w:tcPr>
          <w:p>
            <w:pPr>
              <w:spacing w:after="0"/>
              <w:rPr>
                <w:sz w:val="22"/>
                <w:szCs w:val="22"/>
                <w:color w:val="auto"/>
              </w:rPr>
            </w:pPr>
          </w:p>
        </w:tc>
        <w:tc>
          <w:tcPr>
            <w:tcW w:w="200" w:type="dxa"/>
            <w:vAlign w:val="bottom"/>
            <w:tcBorders>
              <w:bottom w:val="single" w:sz="8" w:color="D7282F"/>
            </w:tcBorders>
          </w:tcPr>
          <w:p>
            <w:pPr>
              <w:spacing w:after="0"/>
              <w:rPr>
                <w:sz w:val="22"/>
                <w:szCs w:val="22"/>
                <w:color w:val="auto"/>
              </w:rPr>
            </w:pPr>
          </w:p>
        </w:tc>
        <w:tc>
          <w:tcPr>
            <w:tcW w:w="1480" w:type="dxa"/>
            <w:vAlign w:val="bottom"/>
            <w:tcBorders>
              <w:bottom w:val="single" w:sz="8" w:color="D7282F"/>
            </w:tcBorders>
          </w:tcPr>
          <w:p>
            <w:pPr>
              <w:jc w:val="right"/>
              <w:ind w:right="67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20" w:type="dxa"/>
            <w:vAlign w:val="bottom"/>
            <w:tcBorders>
              <w:bottom w:val="single" w:sz="8" w:color="D7282F"/>
            </w:tcBorders>
          </w:tcPr>
          <w:p>
            <w:pPr>
              <w:spacing w:after="0"/>
              <w:rPr>
                <w:sz w:val="22"/>
                <w:szCs w:val="22"/>
                <w:color w:val="auto"/>
              </w:rPr>
            </w:pPr>
          </w:p>
        </w:tc>
        <w:tc>
          <w:tcPr>
            <w:tcW w:w="10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2025</w:t>
            </w:r>
          </w:p>
        </w:tc>
        <w:tc>
          <w:tcPr>
            <w:tcW w:w="50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Income tax expense</w:t>
            </w:r>
          </w:p>
        </w:tc>
        <w:tc>
          <w:tcPr>
            <w:tcW w:w="3660" w:type="dxa"/>
            <w:vAlign w:val="bottom"/>
            <w:gridSpan w:val="4"/>
            <w:shd w:val="clear" w:color="auto" w:fill="D2DCE5"/>
          </w:tcPr>
          <w:p>
            <w:pPr>
              <w:ind w:left="3500"/>
              <w:spacing w:after="0"/>
              <w:rPr>
                <w:sz w:val="20"/>
                <w:szCs w:val="20"/>
                <w:color w:val="auto"/>
              </w:rPr>
            </w:pPr>
            <w:r>
              <w:rPr>
                <w:rFonts w:ascii="Arial" w:cs="Arial" w:eastAsia="Arial" w:hAnsi="Arial"/>
                <w:sz w:val="18"/>
                <w:szCs w:val="18"/>
                <w:color w:val="006098"/>
              </w:rPr>
              <w:t>$</w:t>
            </w:r>
          </w:p>
        </w:tc>
        <w:tc>
          <w:tcPr>
            <w:tcW w:w="80" w:type="dxa"/>
            <w:vAlign w:val="bottom"/>
            <w:shd w:val="clear" w:color="auto" w:fill="D2DCE5"/>
          </w:tcPr>
          <w:p>
            <w:pPr>
              <w:spacing w:after="0"/>
              <w:rPr>
                <w:sz w:val="23"/>
                <w:szCs w:val="23"/>
                <w:color w:val="auto"/>
              </w:rPr>
            </w:pPr>
          </w:p>
        </w:tc>
        <w:tc>
          <w:tcPr>
            <w:tcW w:w="200" w:type="dxa"/>
            <w:vAlign w:val="bottom"/>
            <w:shd w:val="clear" w:color="auto" w:fill="D2DCE5"/>
          </w:tcPr>
          <w:p>
            <w:pPr>
              <w:spacing w:after="0"/>
              <w:rPr>
                <w:sz w:val="23"/>
                <w:szCs w:val="23"/>
                <w:color w:val="auto"/>
              </w:rPr>
            </w:pPr>
          </w:p>
        </w:tc>
        <w:tc>
          <w:tcPr>
            <w:tcW w:w="148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rPr>
              <w:t>3,341</w:t>
            </w:r>
          </w:p>
        </w:tc>
        <w:tc>
          <w:tcPr>
            <w:tcW w:w="100" w:type="dxa"/>
            <w:vAlign w:val="bottom"/>
            <w:shd w:val="clear" w:color="auto" w:fill="D2DCE5"/>
          </w:tcPr>
          <w:p>
            <w:pPr>
              <w:spacing w:after="0"/>
              <w:rPr>
                <w:sz w:val="23"/>
                <w:szCs w:val="23"/>
                <w:color w:val="auto"/>
              </w:rPr>
            </w:pPr>
          </w:p>
        </w:tc>
        <w:tc>
          <w:tcPr>
            <w:tcW w:w="20" w:type="dxa"/>
            <w:vAlign w:val="bottom"/>
            <w:shd w:val="clear" w:color="auto" w:fill="D2DCE5"/>
          </w:tcPr>
          <w:p>
            <w:pPr>
              <w:spacing w:after="0"/>
              <w:rPr>
                <w:sz w:val="23"/>
                <w:szCs w:val="23"/>
                <w:color w:val="auto"/>
              </w:rPr>
            </w:pPr>
          </w:p>
        </w:tc>
        <w:tc>
          <w:tcPr>
            <w:tcW w:w="120" w:type="dxa"/>
            <w:vAlign w:val="bottom"/>
            <w:gridSpan w:val="2"/>
            <w:shd w:val="clear" w:color="auto" w:fill="D2DCE5"/>
          </w:tcPr>
          <w:p>
            <w:pPr>
              <w:jc w:val="right"/>
              <w:ind w:right="20"/>
              <w:spacing w:after="0"/>
              <w:rPr>
                <w:sz w:val="20"/>
                <w:szCs w:val="20"/>
                <w:color w:val="auto"/>
              </w:rPr>
            </w:pPr>
            <w:r>
              <w:rPr>
                <w:rFonts w:ascii="Arial" w:cs="Arial" w:eastAsia="Arial" w:hAnsi="Arial"/>
                <w:sz w:val="18"/>
                <w:szCs w:val="18"/>
                <w:color w:val="131E29"/>
                <w:w w:val="79"/>
              </w:rPr>
              <w:t>$</w:t>
            </w:r>
          </w:p>
        </w:tc>
        <w:tc>
          <w:tcPr>
            <w:tcW w:w="1800" w:type="dxa"/>
            <w:vAlign w:val="bottom"/>
            <w:gridSpan w:val="2"/>
            <w:shd w:val="clear" w:color="auto" w:fill="D2DCE5"/>
          </w:tcPr>
          <w:p>
            <w:pPr>
              <w:jc w:val="right"/>
              <w:ind w:right="150"/>
              <w:spacing w:after="0"/>
              <w:rPr>
                <w:sz w:val="20"/>
                <w:szCs w:val="20"/>
                <w:color w:val="auto"/>
              </w:rPr>
            </w:pPr>
            <w:r>
              <w:rPr>
                <w:rFonts w:ascii="Arial" w:cs="Arial" w:eastAsia="Arial" w:hAnsi="Arial"/>
                <w:sz w:val="18"/>
                <w:szCs w:val="18"/>
                <w:color w:val="131E29"/>
              </w:rPr>
              <w:t>1,459</w:t>
            </w:r>
          </w:p>
        </w:tc>
        <w:tc>
          <w:tcPr>
            <w:tcW w:w="0" w:type="dxa"/>
            <w:vAlign w:val="bottom"/>
          </w:tcPr>
          <w:p>
            <w:pPr>
              <w:spacing w:after="0"/>
              <w:rPr>
                <w:sz w:val="1"/>
                <w:szCs w:val="1"/>
                <w:color w:val="auto"/>
              </w:rPr>
            </w:pPr>
          </w:p>
        </w:tc>
      </w:tr>
      <w:tr>
        <w:trPr>
          <w:trHeight w:val="274"/>
        </w:trPr>
        <w:tc>
          <w:tcPr>
            <w:tcW w:w="3780" w:type="dxa"/>
            <w:vAlign w:val="bottom"/>
            <w:gridSpan w:val="2"/>
          </w:tcPr>
          <w:p>
            <w:pPr>
              <w:ind w:left="20"/>
              <w:spacing w:after="0"/>
              <w:rPr>
                <w:sz w:val="20"/>
                <w:szCs w:val="20"/>
                <w:color w:val="auto"/>
              </w:rPr>
            </w:pPr>
            <w:r>
              <w:rPr>
                <w:rFonts w:ascii="Arial" w:cs="Arial" w:eastAsia="Arial" w:hAnsi="Arial"/>
                <w:sz w:val="18"/>
                <w:szCs w:val="18"/>
                <w:color w:val="131E29"/>
              </w:rPr>
              <w:t>Effective tax rate</w:t>
            </w:r>
          </w:p>
        </w:tc>
        <w:tc>
          <w:tcPr>
            <w:tcW w:w="8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06098"/>
              </w:rPr>
              <w:t>12.4 %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131E29"/>
                <w:w w:val="99"/>
              </w:rPr>
              <w:t>6.1 %</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 effective tax rate for the quarter ended March 31, 2026, was 12.4%, which reflects the US federal statutory rate of 21% on pre-tax income, increased by the impact of state income taxes and offset by the tax benefits of federal tax credits and income attributable to non-controlling interests. The increase in the effective tax rate from 6.1% in the same period in 2025 is primarily due to a decrease in the benefit from stock compensation in 2026 compared to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Tax Receivable Agreements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connection with our IPO, we executed two TRAs which require payment to certain Dutch Bros OpCo owners of 85% of the income tax benefits, if any, that we actually realize or in some cases is deemed to realize (calculated using certain assumptions) as a result of certain tax attributes and benefits covered by the TRAs.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TRAs-related liabilities are classified on our condensed consolidated balance sheets as current or non-current based on the expected date of payment under the captions “Current portion of tax receivable agreements liability” and “Tax receivable agreements liability, net of current portion,”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 xml:space="preserve">As of March 31, 2026, our total TRAs-related liabilities were </w:t>
      </w:r>
      <w:r>
        <w:rPr>
          <w:rFonts w:ascii="Arial" w:cs="Arial" w:eastAsia="Arial" w:hAnsi="Arial"/>
          <w:sz w:val="18"/>
          <w:szCs w:val="18"/>
          <w:color w:val="000000"/>
        </w:rPr>
        <w:t>$820.1 million.</w:t>
      </w:r>
      <w:r>
        <w:rPr>
          <w:rFonts w:ascii="Arial" w:cs="Arial" w:eastAsia="Arial" w:hAnsi="Arial"/>
          <w:sz w:val="18"/>
          <w:szCs w:val="18"/>
          <w:color w:val="131E29"/>
        </w:rPr>
        <w:t xml:space="preserve"> The changes related to these liabilities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80" w:type="dxa"/>
            <w:vAlign w:val="bottom"/>
            <w:tcBorders>
              <w:bottom w:val="single" w:sz="8" w:color="D7282F"/>
            </w:tcBorders>
          </w:tcPr>
          <w:p>
            <w:pPr>
              <w:spacing w:after="0"/>
              <w:rPr>
                <w:sz w:val="22"/>
                <w:szCs w:val="22"/>
                <w:color w:val="auto"/>
              </w:rPr>
            </w:pPr>
          </w:p>
        </w:tc>
        <w:tc>
          <w:tcPr>
            <w:tcW w:w="1620" w:type="dxa"/>
            <w:vAlign w:val="bottom"/>
            <w:tcBorders>
              <w:bottom w:val="single" w:sz="8" w:color="D7282F"/>
            </w:tcBorders>
          </w:tcPr>
          <w:p>
            <w:pPr>
              <w:jc w:val="right"/>
              <w:ind w:right="170"/>
              <w:spacing w:after="0"/>
              <w:rPr>
                <w:sz w:val="20"/>
                <w:szCs w:val="20"/>
                <w:color w:val="auto"/>
              </w:rPr>
            </w:pPr>
            <w:r>
              <w:rPr>
                <w:rFonts w:ascii="Arial" w:cs="Arial" w:eastAsia="Arial" w:hAnsi="Arial"/>
                <w:sz w:val="18"/>
                <w:szCs w:val="18"/>
                <w:b w:val="1"/>
                <w:bCs w:val="1"/>
                <w:color w:val="131E29"/>
              </w:rPr>
              <w:t>March 31, 2026</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gridSpan w:val="2"/>
          </w:tcPr>
          <w:p>
            <w:pPr>
              <w:jc w:val="right"/>
              <w:ind w:right="10"/>
              <w:spacing w:after="0"/>
              <w:rPr>
                <w:sz w:val="20"/>
                <w:szCs w:val="20"/>
                <w:color w:val="auto"/>
              </w:rPr>
            </w:pPr>
            <w:r>
              <w:rPr>
                <w:rFonts w:ascii="Arial" w:cs="Arial" w:eastAsia="Arial" w:hAnsi="Arial"/>
                <w:sz w:val="18"/>
                <w:szCs w:val="18"/>
                <w:b w:val="1"/>
                <w:bCs w:val="1"/>
                <w:color w:val="131E29"/>
              </w:rPr>
              <w:t>December 31, 2025</w:t>
            </w:r>
          </w:p>
        </w:tc>
      </w:tr>
      <w:tr>
        <w:trPr>
          <w:trHeight w:val="270"/>
        </w:trPr>
        <w:tc>
          <w:tcPr>
            <w:tcW w:w="75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Beginning balance</w:t>
            </w:r>
          </w:p>
        </w:tc>
        <w:tc>
          <w:tcPr>
            <w:tcW w:w="1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821,049</w:t>
            </w:r>
          </w:p>
        </w:tc>
        <w:tc>
          <w:tcPr>
            <w:tcW w:w="100" w:type="dxa"/>
            <w:vAlign w:val="bottom"/>
            <w:shd w:val="clear" w:color="auto" w:fill="D2DCE5"/>
          </w:tcPr>
          <w:p>
            <w:pPr>
              <w:spacing w:after="0"/>
              <w:rPr>
                <w:sz w:val="23"/>
                <w:szCs w:val="23"/>
                <w:color w:val="auto"/>
              </w:rPr>
            </w:pPr>
          </w:p>
        </w:tc>
        <w:tc>
          <w:tcPr>
            <w:tcW w:w="600" w:type="dxa"/>
            <w:vAlign w:val="bottom"/>
            <w:shd w:val="clear" w:color="auto" w:fill="D2DCE5"/>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627,834</w:t>
            </w:r>
          </w:p>
        </w:tc>
      </w:tr>
      <w:tr>
        <w:trPr>
          <w:trHeight w:val="247"/>
        </w:trPr>
        <w:tc>
          <w:tcPr>
            <w:tcW w:w="7520" w:type="dxa"/>
            <w:vAlign w:val="bottom"/>
            <w:gridSpan w:val="2"/>
          </w:tcPr>
          <w:p>
            <w:pPr>
              <w:ind w:left="240"/>
              <w:spacing w:after="0"/>
              <w:rPr>
                <w:sz w:val="20"/>
                <w:szCs w:val="20"/>
                <w:color w:val="auto"/>
              </w:rPr>
            </w:pPr>
            <w:r>
              <w:rPr>
                <w:rFonts w:ascii="Arial" w:cs="Arial" w:eastAsia="Arial" w:hAnsi="Arial"/>
                <w:sz w:val="18"/>
                <w:szCs w:val="18"/>
                <w:color w:val="131E29"/>
              </w:rPr>
              <w:t>Additions (reductions) to TRAs:</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7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Exchange of Dutch Bros OpCo Class A common units for Class A common stock</w:t>
            </w:r>
          </w:p>
        </w:tc>
        <w:tc>
          <w:tcPr>
            <w:tcW w:w="180" w:type="dxa"/>
            <w:vAlign w:val="bottom"/>
            <w:shd w:val="clear" w:color="auto" w:fill="D2DCE5"/>
          </w:tcPr>
          <w:p>
            <w:pPr>
              <w:spacing w:after="0"/>
              <w:rPr>
                <w:sz w:val="23"/>
                <w:szCs w:val="23"/>
                <w:color w:val="auto"/>
              </w:rPr>
            </w:pPr>
          </w:p>
        </w:tc>
        <w:tc>
          <w:tcPr>
            <w:tcW w:w="172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60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202,680</w:t>
            </w:r>
          </w:p>
        </w:tc>
      </w:tr>
      <w:tr>
        <w:trPr>
          <w:trHeight w:val="270"/>
        </w:trPr>
        <w:tc>
          <w:tcPr>
            <w:tcW w:w="7520" w:type="dxa"/>
            <w:vAlign w:val="bottom"/>
            <w:gridSpan w:val="2"/>
          </w:tcPr>
          <w:p>
            <w:pPr>
              <w:ind w:left="360"/>
              <w:spacing w:after="0"/>
              <w:rPr>
                <w:sz w:val="20"/>
                <w:szCs w:val="20"/>
                <w:color w:val="auto"/>
              </w:rPr>
            </w:pPr>
            <w:r>
              <w:rPr>
                <w:rFonts w:ascii="Arial" w:cs="Arial" w:eastAsia="Arial" w:hAnsi="Arial"/>
                <w:sz w:val="18"/>
                <w:szCs w:val="18"/>
                <w:color w:val="131E29"/>
              </w:rPr>
              <w:t>Payments under TRA</w:t>
            </w:r>
          </w:p>
        </w:tc>
        <w:tc>
          <w:tcPr>
            <w:tcW w:w="18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06098"/>
              </w:rPr>
              <w:t>(921)</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(4,698)</w:t>
            </w:r>
          </w:p>
        </w:tc>
      </w:tr>
      <w:tr>
        <w:trPr>
          <w:trHeight w:val="270"/>
        </w:trPr>
        <w:tc>
          <w:tcPr>
            <w:tcW w:w="75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 xml:space="preserve">TRAs remeasurements </w:t>
            </w:r>
            <w:r>
              <w:rPr>
                <w:rFonts w:ascii="Arial" w:cs="Arial" w:eastAsia="Arial" w:hAnsi="Arial"/>
                <w:sz w:val="23"/>
                <w:szCs w:val="23"/>
                <w:color w:val="131E29"/>
                <w:vertAlign w:val="superscript"/>
              </w:rPr>
              <w:t>1</w:t>
            </w:r>
          </w:p>
        </w:tc>
        <w:tc>
          <w:tcPr>
            <w:tcW w:w="180" w:type="dxa"/>
            <w:vAlign w:val="bottom"/>
            <w:shd w:val="clear" w:color="auto" w:fill="D2DCE5"/>
          </w:tcPr>
          <w:p>
            <w:pPr>
              <w:spacing w:after="0"/>
              <w:rPr>
                <w:sz w:val="23"/>
                <w:szCs w:val="23"/>
                <w:color w:val="auto"/>
              </w:rPr>
            </w:pPr>
          </w:p>
        </w:tc>
        <w:tc>
          <w:tcPr>
            <w:tcW w:w="1720" w:type="dxa"/>
            <w:vAlign w:val="bottom"/>
            <w:gridSpan w:val="2"/>
            <w:shd w:val="clear" w:color="auto" w:fill="D2DCE5"/>
          </w:tcPr>
          <w:p>
            <w:pPr>
              <w:jc w:val="right"/>
              <w:ind w:right="180"/>
              <w:spacing w:after="0"/>
              <w:rPr>
                <w:sz w:val="20"/>
                <w:szCs w:val="20"/>
                <w:color w:val="auto"/>
              </w:rPr>
            </w:pPr>
            <w:r>
              <w:rPr>
                <w:rFonts w:ascii="Arial" w:cs="Arial" w:eastAsia="Arial" w:hAnsi="Arial"/>
                <w:sz w:val="18"/>
                <w:szCs w:val="18"/>
                <w:color w:val="006098"/>
              </w:rPr>
              <w:t>—</w:t>
            </w:r>
          </w:p>
        </w:tc>
        <w:tc>
          <w:tcPr>
            <w:tcW w:w="60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(4,767)</w:t>
            </w:r>
          </w:p>
        </w:tc>
      </w:tr>
      <w:tr>
        <w:trPr>
          <w:trHeight w:val="250"/>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131E29"/>
              </w:rPr>
              <w:t>Ending balance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006098"/>
              </w:rPr>
              <w:t>820,128</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131E29"/>
              </w:rPr>
              <w:t>821,049</w:t>
            </w:r>
          </w:p>
        </w:tc>
      </w:tr>
      <w:tr>
        <w:trPr>
          <w:trHeight w:val="270"/>
        </w:trPr>
        <w:tc>
          <w:tcPr>
            <w:tcW w:w="7520" w:type="dxa"/>
            <w:vAlign w:val="bottom"/>
            <w:gridSpan w:val="2"/>
            <w:shd w:val="clear" w:color="auto" w:fill="D2DCE5"/>
          </w:tcPr>
          <w:p>
            <w:pPr>
              <w:ind w:left="240"/>
              <w:spacing w:after="0"/>
              <w:rPr>
                <w:sz w:val="20"/>
                <w:szCs w:val="20"/>
                <w:color w:val="auto"/>
              </w:rPr>
            </w:pPr>
            <w:r>
              <w:rPr>
                <w:rFonts w:ascii="Arial" w:cs="Arial" w:eastAsia="Arial" w:hAnsi="Arial"/>
                <w:sz w:val="18"/>
                <w:szCs w:val="18"/>
                <w:color w:val="131E29"/>
              </w:rPr>
              <w:t>Less: current portion</w:t>
            </w:r>
          </w:p>
        </w:tc>
        <w:tc>
          <w:tcPr>
            <w:tcW w:w="180" w:type="dxa"/>
            <w:vAlign w:val="bottom"/>
            <w:tcBorders>
              <w:bottom w:val="single" w:sz="8" w:color="auto"/>
            </w:tcBorders>
            <w:shd w:val="clear" w:color="auto" w:fill="D2DCE5"/>
          </w:tcPr>
          <w:p>
            <w:pPr>
              <w:spacing w:after="0"/>
              <w:rPr>
                <w:sz w:val="23"/>
                <w:szCs w:val="23"/>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(13,718)</w:t>
            </w:r>
          </w:p>
        </w:tc>
        <w:tc>
          <w:tcPr>
            <w:tcW w:w="100" w:type="dxa"/>
            <w:vAlign w:val="bottom"/>
            <w:shd w:val="clear" w:color="auto" w:fill="D2DCE5"/>
          </w:tcPr>
          <w:p>
            <w:pPr>
              <w:spacing w:after="0"/>
              <w:rPr>
                <w:sz w:val="23"/>
                <w:szCs w:val="23"/>
                <w:color w:val="auto"/>
              </w:rPr>
            </w:pPr>
          </w:p>
        </w:tc>
        <w:tc>
          <w:tcPr>
            <w:tcW w:w="60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(7,696)</w:t>
            </w: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131E29"/>
              </w:rPr>
              <w:t>TRAs liability, net of current portion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806,410</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813,353</w:t>
            </w:r>
          </w:p>
        </w:tc>
      </w:tr>
      <w:tr>
        <w:trPr>
          <w:trHeight w:val="21"/>
        </w:trPr>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ind w:left="80" w:hanging="72"/>
        <w:spacing w:after="0" w:line="229" w:lineRule="auto"/>
        <w:tabs>
          <w:tab w:leader="none" w:pos="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Impact primarily related to state tax rates and adjustments from previous estimates upon finalization of the tax attributes subject to the TRAs.</w:t>
      </w:r>
    </w:p>
    <w:p>
      <w:pPr>
        <w:sectPr>
          <w:pgSz w:w="11900" w:h="16838" w:orient="portrait"/>
          <w:cols w:equalWidth="0" w:num="1">
            <w:col w:w="11240"/>
          </w:cols>
          <w:pgMar w:left="320" w:top="130" w:right="33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color w:val="00416B"/>
        </w:rPr>
        <w:t>NOTE 13 — Equity-Based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Restricted Stock Units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RSU activity was as follows: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New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Vested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131E29"/>
                <w:w w:val="99"/>
              </w:rPr>
              <w:t>Restricted Stock</w:t>
            </w:r>
          </w:p>
        </w:tc>
        <w:tc>
          <w:tcPr>
            <w:tcW w:w="140" w:type="dxa"/>
            <w:vAlign w:val="bottom"/>
          </w:tcPr>
          <w:p>
            <w:pPr>
              <w:spacing w:after="0"/>
              <w:rPr>
                <w:sz w:val="18"/>
                <w:szCs w:val="18"/>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16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131E29"/>
              </w:rPr>
              <w:t>Units</w:t>
            </w:r>
          </w:p>
        </w:tc>
        <w:tc>
          <w:tcPr>
            <w:tcW w:w="140" w:type="dxa"/>
            <w:vAlign w:val="bottom"/>
          </w:tcPr>
          <w:p>
            <w:pPr>
              <w:spacing w:after="0"/>
              <w:rPr>
                <w:sz w:val="22"/>
                <w:szCs w:val="22"/>
                <w:color w:val="auto"/>
              </w:rPr>
            </w:pPr>
          </w:p>
        </w:tc>
        <w:tc>
          <w:tcPr>
            <w:tcW w:w="2280" w:type="dxa"/>
            <w:vAlign w:val="bottom"/>
          </w:tcPr>
          <w:p>
            <w:pPr>
              <w:jc w:val="right"/>
              <w:ind w:right="90"/>
              <w:spacing w:after="0"/>
              <w:rPr>
                <w:sz w:val="20"/>
                <w:szCs w:val="20"/>
                <w:color w:val="auto"/>
              </w:rPr>
            </w:pPr>
            <w:r>
              <w:rPr>
                <w:rFonts w:ascii="Arial" w:cs="Arial" w:eastAsia="Arial" w:hAnsi="Arial"/>
                <w:sz w:val="18"/>
                <w:szCs w:val="18"/>
                <w:b w:val="1"/>
                <w:bCs w:val="1"/>
                <w:color w:val="131E29"/>
              </w:rPr>
              <w:t>date fair value per share</w:t>
            </w:r>
          </w:p>
        </w:tc>
      </w:tr>
      <w:tr>
        <w:trPr>
          <w:trHeight w:val="255"/>
        </w:trPr>
        <w:tc>
          <w:tcPr>
            <w:tcW w:w="156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842</w:t>
            </w:r>
          </w:p>
        </w:tc>
        <w:tc>
          <w:tcPr>
            <w:tcW w:w="100" w:type="dxa"/>
            <w:vAlign w:val="bottom"/>
          </w:tcPr>
          <w:p>
            <w:pPr>
              <w:spacing w:after="0"/>
              <w:rPr>
                <w:sz w:val="22"/>
                <w:szCs w:val="22"/>
                <w:color w:val="auto"/>
              </w:rPr>
            </w:pPr>
          </w:p>
        </w:tc>
        <w:tc>
          <w:tcPr>
            <w:tcW w:w="14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w w:val="99"/>
              </w:rPr>
              <w:t>$</w:t>
            </w:r>
          </w:p>
        </w:tc>
        <w:tc>
          <w:tcPr>
            <w:tcW w:w="228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46.55</w:t>
            </w:r>
          </w:p>
        </w:tc>
      </w:tr>
      <w:tr>
        <w:trPr>
          <w:trHeight w:val="289"/>
        </w:trPr>
        <w:tc>
          <w:tcPr>
            <w:tcW w:w="1560" w:type="dxa"/>
            <w:vAlign w:val="bottom"/>
          </w:tcPr>
          <w:p>
            <w:pPr>
              <w:jc w:val="right"/>
              <w:spacing w:after="0"/>
              <w:rPr>
                <w:sz w:val="20"/>
                <w:szCs w:val="20"/>
                <w:color w:val="auto"/>
              </w:rPr>
            </w:pPr>
            <w:r>
              <w:rPr>
                <w:rFonts w:ascii="Arial" w:cs="Arial" w:eastAsia="Arial" w:hAnsi="Arial"/>
                <w:sz w:val="18"/>
                <w:szCs w:val="18"/>
                <w:color w:val="006098"/>
              </w:rPr>
              <w:t>567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006098"/>
              </w:rPr>
              <w:t>53.61</w:t>
            </w:r>
          </w:p>
        </w:tc>
      </w:tr>
      <w:tr>
        <w:trPr>
          <w:trHeight w:val="270"/>
        </w:trPr>
        <w:tc>
          <w:tcPr>
            <w:tcW w:w="1560" w:type="dxa"/>
            <w:vAlign w:val="bottom"/>
          </w:tcPr>
          <w:p>
            <w:pPr>
              <w:jc w:val="right"/>
              <w:spacing w:after="0"/>
              <w:rPr>
                <w:sz w:val="20"/>
                <w:szCs w:val="20"/>
                <w:color w:val="auto"/>
              </w:rPr>
            </w:pPr>
            <w:r>
              <w:rPr>
                <w:rFonts w:ascii="Arial" w:cs="Arial" w:eastAsia="Arial" w:hAnsi="Arial"/>
                <w:sz w:val="18"/>
                <w:szCs w:val="18"/>
                <w:color w:val="006098"/>
              </w:rPr>
              <w:t>(356)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006098"/>
              </w:rPr>
              <w:t>40.38</w:t>
            </w:r>
          </w:p>
        </w:tc>
      </w:tr>
      <w:tr>
        <w:trPr>
          <w:trHeight w:val="266"/>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53.59</w:t>
            </w:r>
          </w:p>
        </w:tc>
      </w:tr>
      <w:tr>
        <w:trPr>
          <w:trHeight w:val="223"/>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1,015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52.40</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720"/>
            <w:col w:w="40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Performance Restricted Stock Units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estimate the fair value of PSUs using a Monte Carlo simulation model at the grant date. The estimated grant date fair value of PSUs issued during the three months ended March 31, 2026 and 2025 of $78.80 and $132.96, respectively, were derived from inputs and assumptions utilized in the valuation model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80" w:type="dxa"/>
            <w:vAlign w:val="bottom"/>
            <w:tcBorders>
              <w:bottom w:val="single" w:sz="8" w:color="D7282F"/>
            </w:tcBorders>
            <w:gridSpan w:val="5"/>
          </w:tcPr>
          <w:p>
            <w:pPr>
              <w:jc w:val="right"/>
              <w:ind w:right="570"/>
              <w:spacing w:after="0"/>
              <w:rPr>
                <w:sz w:val="20"/>
                <w:szCs w:val="20"/>
                <w:color w:val="auto"/>
              </w:rPr>
            </w:pPr>
            <w:r>
              <w:rPr>
                <w:rFonts w:ascii="Arial" w:cs="Arial" w:eastAsia="Arial" w:hAnsi="Arial"/>
                <w:sz w:val="18"/>
                <w:szCs w:val="18"/>
                <w:b w:val="1"/>
                <w:bCs w:val="1"/>
                <w:color w:val="131E29"/>
              </w:rPr>
              <w:t>Three Months Ended March 31,</w:t>
            </w:r>
          </w:p>
        </w:tc>
      </w:tr>
      <w:tr>
        <w:trPr>
          <w:trHeight w:val="263"/>
        </w:trPr>
        <w:tc>
          <w:tcPr>
            <w:tcW w:w="714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2026</w:t>
            </w:r>
          </w:p>
        </w:tc>
        <w:tc>
          <w:tcPr>
            <w:tcW w:w="74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460" w:type="dxa"/>
            <w:vAlign w:val="bottom"/>
            <w:tcBorders>
              <w:bottom w:val="single" w:sz="8" w:color="D7282F"/>
            </w:tcBorders>
          </w:tcPr>
          <w:p>
            <w:pPr>
              <w:spacing w:after="0"/>
              <w:rPr>
                <w:sz w:val="22"/>
                <w:szCs w:val="22"/>
                <w:color w:val="auto"/>
              </w:rPr>
            </w:pPr>
          </w:p>
        </w:tc>
        <w:tc>
          <w:tcPr>
            <w:tcW w:w="15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2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Grant date stock price</w:t>
            </w:r>
          </w:p>
        </w:tc>
        <w:tc>
          <w:tcPr>
            <w:tcW w:w="1200" w:type="dxa"/>
            <w:vAlign w:val="bottom"/>
            <w:shd w:val="clear" w:color="auto" w:fill="D2DCE5"/>
          </w:tcPr>
          <w:p>
            <w:pPr>
              <w:jc w:val="right"/>
              <w:ind w:right="1010"/>
              <w:spacing w:after="0"/>
              <w:rPr>
                <w:sz w:val="20"/>
                <w:szCs w:val="20"/>
                <w:color w:val="auto"/>
              </w:rPr>
            </w:pPr>
            <w:r>
              <w:rPr>
                <w:rFonts w:ascii="Arial" w:cs="Arial" w:eastAsia="Arial" w:hAnsi="Arial"/>
                <w:sz w:val="18"/>
                <w:szCs w:val="18"/>
                <w:color w:val="006098"/>
                <w:w w:val="79"/>
              </w:rPr>
              <w:t>$</w:t>
            </w:r>
          </w:p>
        </w:tc>
        <w:tc>
          <w:tcPr>
            <w:tcW w:w="74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rPr>
              <w:t>53.61</w:t>
            </w:r>
          </w:p>
        </w:tc>
        <w:tc>
          <w:tcPr>
            <w:tcW w:w="80" w:type="dxa"/>
            <w:vAlign w:val="bottom"/>
            <w:shd w:val="clear" w:color="auto" w:fill="D2DCE5"/>
          </w:tcPr>
          <w:p>
            <w:pPr>
              <w:spacing w:after="0"/>
              <w:rPr>
                <w:sz w:val="23"/>
                <w:szCs w:val="23"/>
                <w:color w:val="auto"/>
              </w:rPr>
            </w:pPr>
          </w:p>
        </w:tc>
        <w:tc>
          <w:tcPr>
            <w:tcW w:w="460" w:type="dxa"/>
            <w:vAlign w:val="bottom"/>
            <w:shd w:val="clear" w:color="auto" w:fill="D2DCE5"/>
          </w:tcPr>
          <w:p>
            <w:pPr>
              <w:jc w:val="right"/>
              <w:ind w:right="250"/>
              <w:spacing w:after="0"/>
              <w:rPr>
                <w:sz w:val="20"/>
                <w:szCs w:val="20"/>
                <w:color w:val="auto"/>
              </w:rPr>
            </w:pPr>
            <w:r>
              <w:rPr>
                <w:rFonts w:ascii="Arial" w:cs="Arial" w:eastAsia="Arial" w:hAnsi="Arial"/>
                <w:sz w:val="18"/>
                <w:szCs w:val="18"/>
                <w:color w:val="131E29"/>
                <w:w w:val="99"/>
              </w:rPr>
              <w:t>$</w:t>
            </w:r>
          </w:p>
        </w:tc>
        <w:tc>
          <w:tcPr>
            <w:tcW w:w="15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82.03</w:t>
            </w:r>
          </w:p>
        </w:tc>
      </w:tr>
      <w:tr>
        <w:trPr>
          <w:trHeight w:val="270"/>
        </w:trPr>
        <w:tc>
          <w:tcPr>
            <w:tcW w:w="7240" w:type="dxa"/>
            <w:vAlign w:val="bottom"/>
            <w:gridSpan w:val="2"/>
          </w:tcPr>
          <w:p>
            <w:pPr>
              <w:ind w:left="20"/>
              <w:spacing w:after="0"/>
              <w:rPr>
                <w:sz w:val="20"/>
                <w:szCs w:val="20"/>
                <w:color w:val="auto"/>
              </w:rPr>
            </w:pPr>
            <w:r>
              <w:rPr>
                <w:rFonts w:ascii="Arial" w:cs="Arial" w:eastAsia="Arial" w:hAnsi="Arial"/>
                <w:sz w:val="18"/>
                <w:szCs w:val="18"/>
                <w:color w:val="131E29"/>
              </w:rPr>
              <w:t>Beginning average price</w:t>
            </w:r>
            <w:r>
              <w:rPr>
                <w:rFonts w:ascii="Arial" w:cs="Arial" w:eastAsia="Arial" w:hAnsi="Arial"/>
                <w:sz w:val="23"/>
                <w:szCs w:val="23"/>
                <w:color w:val="131E29"/>
                <w:vertAlign w:val="superscript"/>
              </w:rPr>
              <w:t>1</w:t>
            </w:r>
          </w:p>
        </w:tc>
        <w:tc>
          <w:tcPr>
            <w:tcW w:w="1200" w:type="dxa"/>
            <w:vAlign w:val="bottom"/>
          </w:tcPr>
          <w:p>
            <w:pPr>
              <w:jc w:val="right"/>
              <w:ind w:right="1010"/>
              <w:spacing w:after="0"/>
              <w:rPr>
                <w:sz w:val="20"/>
                <w:szCs w:val="20"/>
                <w:color w:val="auto"/>
              </w:rPr>
            </w:pPr>
            <w:r>
              <w:rPr>
                <w:rFonts w:ascii="Arial" w:cs="Arial" w:eastAsia="Arial" w:hAnsi="Arial"/>
                <w:sz w:val="18"/>
                <w:szCs w:val="18"/>
                <w:color w:val="006098"/>
                <w:w w:val="79"/>
              </w:rPr>
              <w:t>$</w:t>
            </w:r>
          </w:p>
        </w:tc>
        <w:tc>
          <w:tcPr>
            <w:tcW w:w="740" w:type="dxa"/>
            <w:vAlign w:val="bottom"/>
          </w:tcPr>
          <w:p>
            <w:pPr>
              <w:jc w:val="right"/>
              <w:ind w:right="150"/>
              <w:spacing w:after="0"/>
              <w:rPr>
                <w:sz w:val="20"/>
                <w:szCs w:val="20"/>
                <w:color w:val="auto"/>
              </w:rPr>
            </w:pPr>
            <w:r>
              <w:rPr>
                <w:rFonts w:ascii="Arial" w:cs="Arial" w:eastAsia="Arial" w:hAnsi="Arial"/>
                <w:sz w:val="18"/>
                <w:szCs w:val="18"/>
                <w:color w:val="006098"/>
              </w:rPr>
              <w:t>55.69</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131E29"/>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131E29"/>
              </w:rPr>
              <w:t>67.71</w:t>
            </w:r>
          </w:p>
        </w:tc>
      </w:tr>
      <w:tr>
        <w:trPr>
          <w:trHeight w:val="270"/>
        </w:trPr>
        <w:tc>
          <w:tcPr>
            <w:tcW w:w="72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Risk-free interest rate</w:t>
            </w:r>
          </w:p>
        </w:tc>
        <w:tc>
          <w:tcPr>
            <w:tcW w:w="1200" w:type="dxa"/>
            <w:vAlign w:val="bottom"/>
            <w:shd w:val="clear" w:color="auto" w:fill="D2DCE5"/>
          </w:tcPr>
          <w:p>
            <w:pPr>
              <w:spacing w:after="0"/>
              <w:rPr>
                <w:sz w:val="23"/>
                <w:szCs w:val="23"/>
                <w:color w:val="auto"/>
              </w:rPr>
            </w:pPr>
          </w:p>
        </w:tc>
        <w:tc>
          <w:tcPr>
            <w:tcW w:w="7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3.3 %</w:t>
            </w:r>
          </w:p>
        </w:tc>
        <w:tc>
          <w:tcPr>
            <w:tcW w:w="80" w:type="dxa"/>
            <w:vAlign w:val="bottom"/>
            <w:shd w:val="clear" w:color="auto" w:fill="D2DCE5"/>
          </w:tcPr>
          <w:p>
            <w:pPr>
              <w:spacing w:after="0"/>
              <w:rPr>
                <w:sz w:val="23"/>
                <w:szCs w:val="23"/>
                <w:color w:val="auto"/>
              </w:rPr>
            </w:pPr>
          </w:p>
        </w:tc>
        <w:tc>
          <w:tcPr>
            <w:tcW w:w="46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4.2 %</w:t>
            </w:r>
          </w:p>
        </w:tc>
      </w:tr>
      <w:tr>
        <w:trPr>
          <w:trHeight w:val="274"/>
        </w:trPr>
        <w:tc>
          <w:tcPr>
            <w:tcW w:w="7240" w:type="dxa"/>
            <w:vAlign w:val="bottom"/>
            <w:gridSpan w:val="2"/>
          </w:tcPr>
          <w:p>
            <w:pPr>
              <w:ind w:left="20"/>
              <w:spacing w:after="0"/>
              <w:rPr>
                <w:sz w:val="20"/>
                <w:szCs w:val="20"/>
                <w:color w:val="auto"/>
              </w:rPr>
            </w:pPr>
            <w:r>
              <w:rPr>
                <w:rFonts w:ascii="Arial" w:cs="Arial" w:eastAsia="Arial" w:hAnsi="Arial"/>
                <w:sz w:val="18"/>
                <w:szCs w:val="18"/>
                <w:color w:val="131E29"/>
              </w:rPr>
              <w:t>Volatility</w:t>
            </w:r>
          </w:p>
        </w:tc>
        <w:tc>
          <w:tcPr>
            <w:tcW w:w="1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006098"/>
              </w:rPr>
              <w:t>53.8 %</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131E29"/>
              </w:rPr>
              <w:t>63.1 %</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ind w:left="80" w:hanging="72"/>
        <w:spacing w:after="0" w:line="229" w:lineRule="auto"/>
        <w:tabs>
          <w:tab w:leader="none" w:pos="8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Beginning average price is calculated as the volume-weighted average daily closing stock price over the 30 trading days preceding the start of the PSU performance period.</w:t>
      </w:r>
    </w:p>
    <w:p>
      <w:pPr>
        <w:sectPr>
          <w:pgSz w:w="11900" w:h="16838" w:orient="portrait"/>
          <w:cols w:equalWidth="0" w:num="1">
            <w:col w:w="11240"/>
          </w:cols>
          <w:pgMar w:left="320" w:top="130" w:right="33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131E29"/>
        </w:rPr>
        <w:t>PSU activity was as follows: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 except per share amounts)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December 31, 2025</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New grants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Forfeitures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Balance, March 31,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131E29"/>
                <w:w w:val="99"/>
              </w:rPr>
              <w:t>Performance -</w:t>
            </w:r>
          </w:p>
        </w:tc>
        <w:tc>
          <w:tcPr>
            <w:tcW w:w="140" w:type="dxa"/>
            <w:vAlign w:val="bottom"/>
          </w:tcPr>
          <w:p>
            <w:pPr>
              <w:spacing w:after="0"/>
              <w:rPr>
                <w:sz w:val="18"/>
                <w:szCs w:val="18"/>
                <w:color w:val="auto"/>
              </w:rPr>
            </w:pPr>
          </w:p>
        </w:tc>
        <w:tc>
          <w:tcPr>
            <w:tcW w:w="2260" w:type="dxa"/>
            <w:vAlign w:val="bottom"/>
          </w:tcPr>
          <w:p>
            <w:pPr>
              <w:jc w:val="right"/>
              <w:ind w:right="90"/>
              <w:spacing w:after="0"/>
              <w:rPr>
                <w:sz w:val="20"/>
                <w:szCs w:val="20"/>
                <w:color w:val="auto"/>
              </w:rPr>
            </w:pPr>
            <w:r>
              <w:rPr>
                <w:rFonts w:ascii="Arial" w:cs="Arial" w:eastAsia="Arial" w:hAnsi="Arial"/>
                <w:sz w:val="18"/>
                <w:szCs w:val="18"/>
                <w:b w:val="1"/>
                <w:bCs w:val="1"/>
                <w:color w:val="131E29"/>
              </w:rPr>
              <w:t>Weighted-average grant</w:t>
            </w:r>
          </w:p>
        </w:tc>
      </w:tr>
      <w:tr>
        <w:trPr>
          <w:trHeight w:val="255"/>
        </w:trPr>
        <w:tc>
          <w:tcPr>
            <w:tcW w:w="1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131E29"/>
                <w:w w:val="99"/>
              </w:rPr>
              <w:t>Based Stock Units</w:t>
            </w:r>
          </w:p>
        </w:tc>
        <w:tc>
          <w:tcPr>
            <w:tcW w:w="140" w:type="dxa"/>
            <w:vAlign w:val="bottom"/>
          </w:tcPr>
          <w:p>
            <w:pPr>
              <w:spacing w:after="0"/>
              <w:rPr>
                <w:sz w:val="22"/>
                <w:szCs w:val="22"/>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b w:val="1"/>
                <w:bCs w:val="1"/>
                <w:color w:val="131E29"/>
              </w:rPr>
              <w:t>date fair value per share</w:t>
            </w:r>
          </w:p>
        </w:tc>
      </w:tr>
      <w:tr>
        <w:trPr>
          <w:trHeight w:val="282"/>
        </w:trPr>
        <w:tc>
          <w:tcPr>
            <w:tcW w:w="180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55</w:t>
            </w:r>
          </w:p>
        </w:tc>
        <w:tc>
          <w:tcPr>
            <w:tcW w:w="100" w:type="dxa"/>
            <w:vAlign w:val="bottom"/>
          </w:tcPr>
          <w:p>
            <w:pPr>
              <w:spacing w:after="0"/>
              <w:rPr>
                <w:sz w:val="24"/>
                <w:szCs w:val="24"/>
                <w:color w:val="auto"/>
              </w:rPr>
            </w:pPr>
          </w:p>
        </w:tc>
        <w:tc>
          <w:tcPr>
            <w:tcW w:w="14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w w:val="99"/>
              </w:rPr>
              <w:t>$</w:t>
            </w:r>
          </w:p>
        </w:tc>
        <w:tc>
          <w:tcPr>
            <w:tcW w:w="2260" w:type="dxa"/>
            <w:vAlign w:val="bottom"/>
            <w:tcBorders>
              <w:top w:val="single" w:sz="8" w:color="D7282F"/>
            </w:tcBorders>
          </w:tcPr>
          <w:p>
            <w:pPr>
              <w:jc w:val="right"/>
              <w:spacing w:after="0"/>
              <w:rPr>
                <w:sz w:val="20"/>
                <w:szCs w:val="20"/>
                <w:color w:val="auto"/>
              </w:rPr>
            </w:pPr>
            <w:r>
              <w:rPr>
                <w:rFonts w:ascii="Arial" w:cs="Arial" w:eastAsia="Arial" w:hAnsi="Arial"/>
                <w:sz w:val="18"/>
                <w:szCs w:val="18"/>
                <w:b w:val="1"/>
                <w:bCs w:val="1"/>
                <w:color w:val="131E29"/>
              </w:rPr>
              <w:t>132.96</w:t>
            </w:r>
          </w:p>
        </w:tc>
      </w:tr>
      <w:tr>
        <w:trPr>
          <w:trHeight w:val="262"/>
        </w:trPr>
        <w:tc>
          <w:tcPr>
            <w:tcW w:w="1800" w:type="dxa"/>
            <w:vAlign w:val="bottom"/>
          </w:tcPr>
          <w:p>
            <w:pPr>
              <w:jc w:val="right"/>
              <w:spacing w:after="0"/>
              <w:rPr>
                <w:sz w:val="20"/>
                <w:szCs w:val="20"/>
                <w:color w:val="auto"/>
              </w:rPr>
            </w:pPr>
            <w:r>
              <w:rPr>
                <w:rFonts w:ascii="Arial" w:cs="Arial" w:eastAsia="Arial" w:hAnsi="Arial"/>
                <w:sz w:val="18"/>
                <w:szCs w:val="18"/>
                <w:color w:val="006098"/>
              </w:rPr>
              <w:t>134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006098"/>
              </w:rPr>
              <w:t>78.80</w:t>
            </w:r>
          </w:p>
        </w:tc>
      </w:tr>
      <w:tr>
        <w:trPr>
          <w:trHeight w:val="266"/>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132.96</w:t>
            </w:r>
          </w:p>
        </w:tc>
      </w:tr>
      <w:tr>
        <w:trPr>
          <w:trHeight w:val="223"/>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187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94.10</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-359410</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-710565</wp:posOffset>
            </wp:positionV>
            <wp:extent cx="713232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13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131E29"/>
        </w:rPr>
        <w:t>Total release date fair value of vested equity awards for three months ended March 31, 2026 and 2025 are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D7282F"/>
            </w:tcBorders>
          </w:tcPr>
          <w:p>
            <w:pPr>
              <w:spacing w:after="0"/>
              <w:rPr>
                <w:sz w:val="22"/>
                <w:szCs w:val="22"/>
                <w:color w:val="auto"/>
              </w:rPr>
            </w:pPr>
          </w:p>
        </w:tc>
        <w:tc>
          <w:tcPr>
            <w:tcW w:w="500" w:type="dxa"/>
            <w:vAlign w:val="bottom"/>
            <w:tcBorders>
              <w:bottom w:val="single" w:sz="8" w:color="D7282F"/>
            </w:tcBorders>
          </w:tcPr>
          <w:p>
            <w:pPr>
              <w:spacing w:after="0"/>
              <w:rPr>
                <w:sz w:val="22"/>
                <w:szCs w:val="22"/>
                <w:color w:val="auto"/>
              </w:rPr>
            </w:pPr>
          </w:p>
        </w:tc>
        <w:tc>
          <w:tcPr>
            <w:tcW w:w="2700" w:type="dxa"/>
            <w:vAlign w:val="bottom"/>
            <w:tcBorders>
              <w:bottom w:val="single" w:sz="8" w:color="D7282F"/>
            </w:tcBorders>
            <w:gridSpan w:val="3"/>
          </w:tcPr>
          <w:p>
            <w:pPr>
              <w:jc w:val="right"/>
              <w:spacing w:after="0"/>
              <w:rPr>
                <w:sz w:val="20"/>
                <w:szCs w:val="20"/>
                <w:color w:val="auto"/>
              </w:rPr>
            </w:pPr>
            <w:r>
              <w:rPr>
                <w:rFonts w:ascii="Arial" w:cs="Arial" w:eastAsia="Arial" w:hAnsi="Arial"/>
                <w:sz w:val="18"/>
                <w:szCs w:val="18"/>
                <w:b w:val="1"/>
                <w:bCs w:val="1"/>
                <w:color w:val="131E29"/>
                <w:w w:val="99"/>
              </w:rPr>
              <w:t>Three Months Ended March 31,</w:t>
            </w:r>
          </w:p>
        </w:tc>
        <w:tc>
          <w:tcPr>
            <w:tcW w:w="120" w:type="dxa"/>
            <w:vAlign w:val="bottom"/>
            <w:tcBorders>
              <w:bottom w:val="single" w:sz="8" w:color="D7282F"/>
            </w:tcBorders>
          </w:tcPr>
          <w:p>
            <w:pPr>
              <w:spacing w:after="0"/>
              <w:rPr>
                <w:sz w:val="22"/>
                <w:szCs w:val="22"/>
                <w:color w:val="auto"/>
              </w:rPr>
            </w:pPr>
          </w:p>
        </w:tc>
        <w:tc>
          <w:tcPr>
            <w:tcW w:w="1620" w:type="dxa"/>
            <w:vAlign w:val="bottom"/>
            <w:tcBorders>
              <w:bottom w:val="single" w:sz="8" w:color="D7282F"/>
            </w:tcBorders>
          </w:tcPr>
          <w:p>
            <w:pPr>
              <w:spacing w:after="0"/>
              <w:rPr>
                <w:sz w:val="22"/>
                <w:szCs w:val="22"/>
                <w:color w:val="auto"/>
              </w:rPr>
            </w:pPr>
          </w:p>
        </w:tc>
      </w:tr>
      <w:tr>
        <w:trPr>
          <w:trHeight w:val="263"/>
        </w:trPr>
        <w:tc>
          <w:tcPr>
            <w:tcW w:w="4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100" w:type="dxa"/>
            <w:vAlign w:val="bottom"/>
          </w:tcPr>
          <w:p>
            <w:pPr>
              <w:spacing w:after="0"/>
              <w:rPr>
                <w:sz w:val="22"/>
                <w:szCs w:val="22"/>
                <w:color w:val="auto"/>
              </w:rPr>
            </w:pPr>
          </w:p>
        </w:tc>
        <w:tc>
          <w:tcPr>
            <w:tcW w:w="1260" w:type="dxa"/>
            <w:vAlign w:val="bottom"/>
            <w:tcBorders>
              <w:bottom w:val="single" w:sz="8" w:color="D7282F"/>
            </w:tcBorders>
          </w:tcPr>
          <w:p>
            <w:pPr>
              <w:spacing w:after="0"/>
              <w:rPr>
                <w:sz w:val="22"/>
                <w:szCs w:val="22"/>
                <w:color w:val="auto"/>
              </w:rPr>
            </w:pPr>
          </w:p>
        </w:tc>
        <w:tc>
          <w:tcPr>
            <w:tcW w:w="500" w:type="dxa"/>
            <w:vAlign w:val="bottom"/>
            <w:tcBorders>
              <w:bottom w:val="single" w:sz="8" w:color="D7282F"/>
            </w:tcBorders>
          </w:tcPr>
          <w:p>
            <w:pPr>
              <w:ind w:left="60"/>
              <w:spacing w:after="0"/>
              <w:rPr>
                <w:sz w:val="20"/>
                <w:szCs w:val="20"/>
                <w:color w:val="auto"/>
              </w:rPr>
            </w:pPr>
            <w:r>
              <w:rPr>
                <w:rFonts w:ascii="Arial" w:cs="Arial" w:eastAsia="Arial" w:hAnsi="Arial"/>
                <w:sz w:val="18"/>
                <w:szCs w:val="18"/>
                <w:b w:val="1"/>
                <w:bCs w:val="1"/>
                <w:color w:val="131E29"/>
              </w:rPr>
              <w:t>2026</w:t>
            </w:r>
          </w:p>
        </w:tc>
        <w:tc>
          <w:tcPr>
            <w:tcW w:w="1300" w:type="dxa"/>
            <w:vAlign w:val="bottom"/>
            <w:tcBorders>
              <w:bottom w:val="single" w:sz="8" w:color="D7282F"/>
            </w:tcBorders>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Borders>
              <w:bottom w:val="single" w:sz="8" w:color="D7282F"/>
            </w:tcBorders>
          </w:tcPr>
          <w:p>
            <w:pPr>
              <w:spacing w:after="0"/>
              <w:rPr>
                <w:sz w:val="22"/>
                <w:szCs w:val="22"/>
                <w:color w:val="auto"/>
              </w:rPr>
            </w:pPr>
          </w:p>
        </w:tc>
        <w:tc>
          <w:tcPr>
            <w:tcW w:w="1740" w:type="dxa"/>
            <w:vAlign w:val="bottom"/>
            <w:tcBorders>
              <w:bottom w:val="single" w:sz="8" w:color="D7282F"/>
            </w:tcBorders>
            <w:gridSpan w:val="2"/>
          </w:tcPr>
          <w:p>
            <w:pPr>
              <w:ind w:left="20"/>
              <w:spacing w:after="0"/>
              <w:rPr>
                <w:sz w:val="20"/>
                <w:szCs w:val="20"/>
                <w:color w:val="auto"/>
              </w:rPr>
            </w:pPr>
            <w:r>
              <w:rPr>
                <w:rFonts w:ascii="Arial" w:cs="Arial" w:eastAsia="Arial" w:hAnsi="Arial"/>
                <w:sz w:val="18"/>
                <w:szCs w:val="18"/>
                <w:b w:val="1"/>
                <w:bCs w:val="1"/>
                <w:color w:val="131E29"/>
              </w:rPr>
              <w:t>2025</w:t>
            </w:r>
          </w:p>
        </w:tc>
      </w:tr>
      <w:tr>
        <w:trPr>
          <w:trHeight w:val="224"/>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8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131E29"/>
              </w:rPr>
              <w:t>W/A vest date fair</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W/A vest date fair</w:t>
            </w:r>
          </w:p>
        </w:tc>
      </w:tr>
      <w:tr>
        <w:trPr>
          <w:trHeight w:val="255"/>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131E29"/>
              </w:rPr>
              <w:t>Awards/units</w:t>
            </w:r>
          </w:p>
        </w:tc>
        <w:tc>
          <w:tcPr>
            <w:tcW w:w="500" w:type="dxa"/>
            <w:vAlign w:val="bottom"/>
          </w:tcPr>
          <w:p>
            <w:pPr>
              <w:spacing w:after="0"/>
              <w:rPr>
                <w:sz w:val="22"/>
                <w:szCs w:val="22"/>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131E29"/>
                <w:w w:val="99"/>
              </w:rPr>
              <w:t>value</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131E29"/>
              </w:rPr>
              <w:t>Awards/units</w:t>
            </w:r>
          </w:p>
        </w:tc>
        <w:tc>
          <w:tcPr>
            <w:tcW w:w="120" w:type="dxa"/>
            <w:vAlign w:val="bottom"/>
          </w:tcPr>
          <w:p>
            <w:pPr>
              <w:spacing w:after="0"/>
              <w:rPr>
                <w:sz w:val="22"/>
                <w:szCs w:val="22"/>
                <w:color w:val="auto"/>
              </w:rPr>
            </w:pPr>
          </w:p>
        </w:tc>
        <w:tc>
          <w:tcPr>
            <w:tcW w:w="1620" w:type="dxa"/>
            <w:vAlign w:val="bottom"/>
          </w:tcPr>
          <w:p>
            <w:pPr>
              <w:jc w:val="center"/>
              <w:ind w:right="30"/>
              <w:spacing w:after="0"/>
              <w:rPr>
                <w:sz w:val="20"/>
                <w:szCs w:val="20"/>
                <w:color w:val="auto"/>
              </w:rPr>
            </w:pPr>
            <w:r>
              <w:rPr>
                <w:rFonts w:ascii="Arial" w:cs="Arial" w:eastAsia="Arial" w:hAnsi="Arial"/>
                <w:sz w:val="18"/>
                <w:szCs w:val="18"/>
                <w:b w:val="1"/>
                <w:bCs w:val="1"/>
                <w:color w:val="131E29"/>
                <w:w w:val="99"/>
              </w:rPr>
              <w:t>value</w:t>
            </w:r>
          </w:p>
        </w:tc>
      </w:tr>
      <w:tr>
        <w:trPr>
          <w:trHeight w:val="270"/>
        </w:trPr>
        <w:tc>
          <w:tcPr>
            <w:tcW w:w="5040" w:type="dxa"/>
            <w:vAlign w:val="bottom"/>
            <w:tcBorders>
              <w:top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131E29"/>
              </w:rPr>
              <w:t>RSUs</w:t>
            </w:r>
          </w:p>
        </w:tc>
        <w:tc>
          <w:tcPr>
            <w:tcW w:w="1260" w:type="dxa"/>
            <w:vAlign w:val="bottom"/>
            <w:tcBorders>
              <w:top w:val="single" w:sz="8" w:color="D7282F"/>
            </w:tcBorders>
            <w:shd w:val="clear" w:color="auto" w:fill="D2DCE5"/>
          </w:tcPr>
          <w:p>
            <w:pPr>
              <w:jc w:val="right"/>
              <w:ind w:right="30"/>
              <w:spacing w:after="0"/>
              <w:rPr>
                <w:sz w:val="20"/>
                <w:szCs w:val="20"/>
                <w:color w:val="auto"/>
              </w:rPr>
            </w:pPr>
            <w:r>
              <w:rPr>
                <w:rFonts w:ascii="Arial" w:cs="Arial" w:eastAsia="Arial" w:hAnsi="Arial"/>
                <w:sz w:val="18"/>
                <w:szCs w:val="18"/>
                <w:color w:val="006098"/>
              </w:rPr>
              <w:t>18,741</w:t>
            </w:r>
          </w:p>
        </w:tc>
        <w:tc>
          <w:tcPr>
            <w:tcW w:w="500" w:type="dxa"/>
            <w:vAlign w:val="bottom"/>
            <w:tcBorders>
              <w:top w:val="single" w:sz="8" w:color="D7282F"/>
            </w:tcBorders>
            <w:shd w:val="clear" w:color="auto" w:fill="D2DCE5"/>
          </w:tcPr>
          <w:p>
            <w:pPr>
              <w:ind w:left="80"/>
              <w:spacing w:after="0"/>
              <w:rPr>
                <w:sz w:val="20"/>
                <w:szCs w:val="20"/>
                <w:color w:val="auto"/>
              </w:rPr>
            </w:pPr>
            <w:r>
              <w:rPr>
                <w:rFonts w:ascii="Arial" w:cs="Arial" w:eastAsia="Arial" w:hAnsi="Arial"/>
                <w:sz w:val="18"/>
                <w:szCs w:val="18"/>
                <w:color w:val="006098"/>
              </w:rPr>
              <w:t>$</w:t>
            </w:r>
          </w:p>
        </w:tc>
        <w:tc>
          <w:tcPr>
            <w:tcW w:w="1300" w:type="dxa"/>
            <w:vAlign w:val="bottom"/>
            <w:tcBorders>
              <w:top w:val="single" w:sz="8" w:color="D7282F"/>
            </w:tcBorders>
            <w:shd w:val="clear" w:color="auto" w:fill="D2DCE5"/>
          </w:tcPr>
          <w:p>
            <w:pPr>
              <w:jc w:val="right"/>
              <w:spacing w:after="0"/>
              <w:rPr>
                <w:sz w:val="20"/>
                <w:szCs w:val="20"/>
                <w:color w:val="auto"/>
              </w:rPr>
            </w:pPr>
            <w:r>
              <w:rPr>
                <w:rFonts w:ascii="Arial" w:cs="Arial" w:eastAsia="Arial" w:hAnsi="Arial"/>
                <w:sz w:val="18"/>
                <w:szCs w:val="18"/>
                <w:color w:val="006098"/>
              </w:rPr>
              <w:t>52.69</w:t>
            </w:r>
          </w:p>
        </w:tc>
        <w:tc>
          <w:tcPr>
            <w:tcW w:w="80" w:type="dxa"/>
            <w:vAlign w:val="bottom"/>
            <w:tcBorders>
              <w:top w:val="single" w:sz="8" w:color="D2DCE5"/>
            </w:tcBorders>
            <w:shd w:val="clear" w:color="auto" w:fill="D2DCE5"/>
          </w:tcPr>
          <w:p>
            <w:pPr>
              <w:spacing w:after="0"/>
              <w:rPr>
                <w:sz w:val="23"/>
                <w:szCs w:val="23"/>
                <w:color w:val="auto"/>
              </w:rPr>
            </w:pPr>
          </w:p>
        </w:tc>
        <w:tc>
          <w:tcPr>
            <w:tcW w:w="1320" w:type="dxa"/>
            <w:vAlign w:val="bottom"/>
            <w:tcBorders>
              <w:top w:val="single" w:sz="8" w:color="D7282F"/>
            </w:tcBorders>
            <w:shd w:val="clear" w:color="auto" w:fill="D2DCE5"/>
          </w:tcPr>
          <w:p>
            <w:pPr>
              <w:jc w:val="right"/>
              <w:ind w:right="90"/>
              <w:spacing w:after="0"/>
              <w:rPr>
                <w:sz w:val="20"/>
                <w:szCs w:val="20"/>
                <w:color w:val="auto"/>
              </w:rPr>
            </w:pPr>
            <w:r>
              <w:rPr>
                <w:rFonts w:ascii="Arial" w:cs="Arial" w:eastAsia="Arial" w:hAnsi="Arial"/>
                <w:sz w:val="18"/>
                <w:szCs w:val="18"/>
                <w:color w:val="131E29"/>
              </w:rPr>
              <w:t>34,297</w:t>
            </w:r>
          </w:p>
        </w:tc>
        <w:tc>
          <w:tcPr>
            <w:tcW w:w="120" w:type="dxa"/>
            <w:vAlign w:val="bottom"/>
            <w:tcBorders>
              <w:top w:val="single" w:sz="8" w:color="D7282F"/>
            </w:tcBorders>
            <w:shd w:val="clear" w:color="auto" w:fill="D2DCE5"/>
          </w:tcPr>
          <w:p>
            <w:pPr>
              <w:ind w:left="20"/>
              <w:spacing w:after="0"/>
              <w:rPr>
                <w:sz w:val="20"/>
                <w:szCs w:val="20"/>
                <w:color w:val="auto"/>
              </w:rPr>
            </w:pPr>
            <w:r>
              <w:rPr>
                <w:rFonts w:ascii="Arial" w:cs="Arial" w:eastAsia="Arial" w:hAnsi="Arial"/>
                <w:sz w:val="18"/>
                <w:szCs w:val="18"/>
                <w:color w:val="131E29"/>
                <w:w w:val="79"/>
              </w:rPr>
              <w:t>$</w:t>
            </w:r>
          </w:p>
        </w:tc>
        <w:tc>
          <w:tcPr>
            <w:tcW w:w="1620" w:type="dxa"/>
            <w:vAlign w:val="bottom"/>
            <w:tcBorders>
              <w:top w:val="single" w:sz="8" w:color="D7282F"/>
            </w:tcBorders>
            <w:shd w:val="clear" w:color="auto" w:fill="D2DCE5"/>
          </w:tcPr>
          <w:p>
            <w:pPr>
              <w:jc w:val="right"/>
              <w:spacing w:after="0"/>
              <w:rPr>
                <w:sz w:val="20"/>
                <w:szCs w:val="20"/>
                <w:color w:val="auto"/>
              </w:rPr>
            </w:pPr>
            <w:r>
              <w:rPr>
                <w:rFonts w:ascii="Arial" w:cs="Arial" w:eastAsia="Arial" w:hAnsi="Arial"/>
                <w:sz w:val="18"/>
                <w:szCs w:val="18"/>
                <w:color w:val="131E29"/>
              </w:rPr>
              <w:t>79.01</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Equity-Based Compensation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Equity-based compensation expense is recognized on a straight-line basis and is included in our condensed consolidated statements of operations as follows:</w:t>
      </w:r>
    </w:p>
    <w:p>
      <w:pPr>
        <w:spacing w:after="0" w:line="153"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34925</wp:posOffset>
            </wp:positionV>
            <wp:extent cx="236601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1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52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Cost of sales</w:t>
            </w:r>
          </w:p>
        </w:tc>
        <w:tc>
          <w:tcPr>
            <w:tcW w:w="400" w:type="dxa"/>
            <w:vAlign w:val="bottom"/>
            <w:shd w:val="clear" w:color="auto" w:fill="D2DCE5"/>
          </w:tcPr>
          <w:p>
            <w:pPr>
              <w:jc w:val="right"/>
              <w:ind w:right="190"/>
              <w:spacing w:after="0"/>
              <w:rPr>
                <w:sz w:val="20"/>
                <w:szCs w:val="20"/>
                <w:color w:val="auto"/>
              </w:rPr>
            </w:pPr>
            <w:r>
              <w:rPr>
                <w:rFonts w:ascii="Arial" w:cs="Arial" w:eastAsia="Arial" w:hAnsi="Arial"/>
                <w:sz w:val="18"/>
                <w:szCs w:val="18"/>
                <w:color w:val="006098"/>
                <w:w w:val="9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659</w:t>
            </w:r>
          </w:p>
        </w:tc>
        <w:tc>
          <w:tcPr>
            <w:tcW w:w="100" w:type="dxa"/>
            <w:vAlign w:val="bottom"/>
            <w:shd w:val="clear" w:color="auto" w:fill="D2DCE5"/>
          </w:tcPr>
          <w:p>
            <w:pPr>
              <w:spacing w:after="0"/>
              <w:rPr>
                <w:sz w:val="23"/>
                <w:szCs w:val="23"/>
                <w:color w:val="auto"/>
              </w:rPr>
            </w:pPr>
          </w:p>
        </w:tc>
        <w:tc>
          <w:tcPr>
            <w:tcW w:w="420" w:type="dxa"/>
            <w:vAlign w:val="bottom"/>
            <w:shd w:val="clear" w:color="auto" w:fill="D2DCE5"/>
          </w:tcPr>
          <w:p>
            <w:pPr>
              <w:jc w:val="right"/>
              <w:ind w:right="210"/>
              <w:spacing w:after="0"/>
              <w:rPr>
                <w:sz w:val="20"/>
                <w:szCs w:val="20"/>
                <w:color w:val="auto"/>
              </w:rPr>
            </w:pPr>
            <w:r>
              <w:rPr>
                <w:rFonts w:ascii="Arial" w:cs="Arial" w:eastAsia="Arial" w:hAnsi="Arial"/>
                <w:sz w:val="18"/>
                <w:szCs w:val="18"/>
                <w:color w:val="131E29"/>
                <w:w w:val="9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400</w:t>
            </w:r>
          </w:p>
        </w:tc>
      </w:tr>
      <w:tr>
        <w:trPr>
          <w:trHeight w:val="270"/>
        </w:trPr>
        <w:tc>
          <w:tcPr>
            <w:tcW w:w="752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4,619</w:t>
            </w:r>
          </w:p>
        </w:tc>
        <w:tc>
          <w:tcPr>
            <w:tcW w:w="100" w:type="dxa"/>
            <w:vAlign w:val="bottom"/>
            <w:tcBorders>
              <w:bottom w:val="single" w:sz="8" w:color="D2DCE5"/>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3,794</w:t>
            </w:r>
          </w:p>
        </w:tc>
      </w:tr>
      <w:tr>
        <w:trPr>
          <w:trHeight w:val="288"/>
        </w:trPr>
        <w:tc>
          <w:tcPr>
            <w:tcW w:w="75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stock-based compensation expense</w:t>
            </w:r>
          </w:p>
        </w:tc>
        <w:tc>
          <w:tcPr>
            <w:tcW w:w="400" w:type="dxa"/>
            <w:vAlign w:val="bottom"/>
            <w:tcBorders>
              <w:bottom w:val="single" w:sz="8" w:color="auto"/>
            </w:tcBorders>
            <w:shd w:val="clear" w:color="auto" w:fill="D2DCE5"/>
          </w:tcPr>
          <w:p>
            <w:pPr>
              <w:jc w:val="right"/>
              <w:ind w:right="190"/>
              <w:spacing w:after="0"/>
              <w:rPr>
                <w:sz w:val="20"/>
                <w:szCs w:val="20"/>
                <w:color w:val="auto"/>
              </w:rPr>
            </w:pPr>
            <w:r>
              <w:rPr>
                <w:rFonts w:ascii="Arial" w:cs="Arial" w:eastAsia="Arial" w:hAnsi="Arial"/>
                <w:sz w:val="18"/>
                <w:szCs w:val="18"/>
                <w:b w:val="1"/>
                <w:bCs w:val="1"/>
                <w:color w:val="006098"/>
                <w:w w:val="99"/>
              </w:rPr>
              <w:t>$</w:t>
            </w: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5,278</w:t>
            </w:r>
          </w:p>
        </w:tc>
        <w:tc>
          <w:tcPr>
            <w:tcW w:w="100" w:type="dxa"/>
            <w:vAlign w:val="bottom"/>
            <w:tcBorders>
              <w:bottom w:val="single" w:sz="8" w:color="D2DCE5"/>
            </w:tcBorders>
            <w:shd w:val="clear" w:color="auto" w:fill="D2DCE5"/>
          </w:tcPr>
          <w:p>
            <w:pPr>
              <w:spacing w:after="0"/>
              <w:rPr>
                <w:sz w:val="24"/>
                <w:szCs w:val="24"/>
                <w:color w:val="auto"/>
              </w:rPr>
            </w:pPr>
          </w:p>
        </w:tc>
        <w:tc>
          <w:tcPr>
            <w:tcW w:w="420" w:type="dxa"/>
            <w:vAlign w:val="bottom"/>
            <w:tcBorders>
              <w:bottom w:val="single" w:sz="8" w:color="auto"/>
            </w:tcBorders>
            <w:shd w:val="clear" w:color="auto" w:fill="D2DCE5"/>
          </w:tcPr>
          <w:p>
            <w:pPr>
              <w:jc w:val="right"/>
              <w:ind w:right="210"/>
              <w:spacing w:after="0"/>
              <w:rPr>
                <w:sz w:val="20"/>
                <w:szCs w:val="20"/>
                <w:color w:val="auto"/>
              </w:rPr>
            </w:pPr>
            <w:r>
              <w:rPr>
                <w:rFonts w:ascii="Arial" w:cs="Arial" w:eastAsia="Arial" w:hAnsi="Arial"/>
                <w:sz w:val="18"/>
                <w:szCs w:val="18"/>
                <w:b w:val="1"/>
                <w:bCs w:val="1"/>
                <w:color w:val="131E29"/>
                <w:w w:val="99"/>
              </w:rPr>
              <w:t>$</w:t>
            </w: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4,194</w:t>
            </w:r>
          </w:p>
        </w:tc>
      </w:tr>
      <w:tr>
        <w:trPr>
          <w:trHeight w:val="20"/>
        </w:trPr>
        <w:tc>
          <w:tcPr>
            <w:tcW w:w="74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00" w:type="dxa"/>
            <w:vAlign w:val="bottom"/>
            <w:tcBorders>
              <w:top w:val="single" w:sz="8" w:color="D2DCE5"/>
              <w:bottom w:val="single" w:sz="8" w:color="auto"/>
            </w:tcBorders>
          </w:tcPr>
          <w:p>
            <w:pPr>
              <w:spacing w:after="0" w:line="20" w:lineRule="exact"/>
              <w:rPr>
                <w:sz w:val="1"/>
                <w:szCs w:val="1"/>
                <w:color w:val="auto"/>
              </w:rPr>
            </w:pPr>
          </w:p>
        </w:tc>
        <w:tc>
          <w:tcPr>
            <w:tcW w:w="14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420" w:type="dxa"/>
            <w:vAlign w:val="bottom"/>
            <w:tcBorders>
              <w:top w:val="single" w:sz="8" w:color="D2DCE5"/>
              <w:bottom w:val="single" w:sz="8" w:color="auto"/>
            </w:tcBorders>
          </w:tcPr>
          <w:p>
            <w:pPr>
              <w:spacing w:after="0" w:line="20" w:lineRule="exact"/>
              <w:rPr>
                <w:sz w:val="1"/>
                <w:szCs w:val="1"/>
                <w:color w:val="auto"/>
              </w:rPr>
            </w:pPr>
          </w:p>
        </w:tc>
        <w:tc>
          <w:tcPr>
            <w:tcW w:w="14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of March 31, 2026, total unrecognized stock-based compensation related to unvested RSUs and PSUs was $63.9 million, which will be recognized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gridSpan w:val="2"/>
          </w:tcPr>
          <w:p>
            <w:pPr>
              <w:ind w:left="20"/>
              <w:spacing w:after="0"/>
              <w:rPr>
                <w:sz w:val="20"/>
                <w:szCs w:val="20"/>
                <w:color w:val="auto"/>
              </w:rPr>
            </w:pPr>
            <w:r>
              <w:rPr>
                <w:rFonts w:ascii="Arial" w:cs="Arial" w:eastAsia="Arial" w:hAnsi="Arial"/>
                <w:sz w:val="14"/>
                <w:szCs w:val="14"/>
                <w:color w:val="131E29"/>
              </w:rPr>
              <w:t>(in thousands)</w:t>
            </w: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9560" w:type="dxa"/>
            <w:vAlign w:val="bottom"/>
            <w:tcBorders>
              <w:bottom w:val="single" w:sz="8" w:color="D7282F"/>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540" w:type="dxa"/>
            <w:vAlign w:val="bottom"/>
            <w:tcBorders>
              <w:bottom w:val="single" w:sz="8" w:color="D7282F"/>
            </w:tcBorders>
          </w:tcPr>
          <w:p>
            <w:pPr>
              <w:spacing w:after="0" w:line="20" w:lineRule="exact"/>
              <w:rPr>
                <w:sz w:val="1"/>
                <w:szCs w:val="1"/>
                <w:color w:val="auto"/>
              </w:rPr>
            </w:pPr>
          </w:p>
        </w:tc>
        <w:tc>
          <w:tcPr>
            <w:tcW w:w="1040" w:type="dxa"/>
            <w:vAlign w:val="bottom"/>
            <w:tcBorders>
              <w:bottom w:val="single" w:sz="8" w:color="D7282F"/>
            </w:tcBorders>
          </w:tcPr>
          <w:p>
            <w:pPr>
              <w:spacing w:after="0" w:line="20" w:lineRule="exact"/>
              <w:rPr>
                <w:sz w:val="1"/>
                <w:szCs w:val="1"/>
                <w:color w:val="auto"/>
              </w:rPr>
            </w:pPr>
          </w:p>
        </w:tc>
      </w:tr>
      <w:tr>
        <w:trPr>
          <w:trHeight w:val="263"/>
        </w:trPr>
        <w:tc>
          <w:tcPr>
            <w:tcW w:w="96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Remainder of 2026</w:t>
            </w:r>
          </w:p>
        </w:tc>
        <w:tc>
          <w:tcPr>
            <w:tcW w:w="540" w:type="dxa"/>
            <w:vAlign w:val="bottom"/>
            <w:shd w:val="clear" w:color="auto" w:fill="D2DCE5"/>
          </w:tcPr>
          <w:p>
            <w:pPr>
              <w:jc w:val="right"/>
              <w:ind w:right="330"/>
              <w:spacing w:after="0"/>
              <w:rPr>
                <w:sz w:val="20"/>
                <w:szCs w:val="20"/>
                <w:color w:val="auto"/>
              </w:rPr>
            </w:pPr>
            <w:r>
              <w:rPr>
                <w:rFonts w:ascii="Arial" w:cs="Arial" w:eastAsia="Arial" w:hAnsi="Arial"/>
                <w:sz w:val="18"/>
                <w:szCs w:val="18"/>
                <w:color w:val="006098"/>
                <w:w w:val="99"/>
              </w:rPr>
              <w:t>$</w:t>
            </w: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21,418</w:t>
            </w:r>
          </w:p>
        </w:tc>
      </w:tr>
      <w:tr>
        <w:trPr>
          <w:trHeight w:val="270"/>
        </w:trPr>
        <w:tc>
          <w:tcPr>
            <w:tcW w:w="9560" w:type="dxa"/>
            <w:vAlign w:val="bottom"/>
          </w:tcPr>
          <w:p>
            <w:pPr>
              <w:ind w:left="20"/>
              <w:spacing w:after="0"/>
              <w:rPr>
                <w:sz w:val="20"/>
                <w:szCs w:val="20"/>
                <w:color w:val="auto"/>
              </w:rPr>
            </w:pPr>
            <w:r>
              <w:rPr>
                <w:rFonts w:ascii="Arial" w:cs="Arial" w:eastAsia="Arial" w:hAnsi="Arial"/>
                <w:sz w:val="18"/>
                <w:szCs w:val="18"/>
                <w:color w:val="131E29"/>
              </w:rPr>
              <w:t>2027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6098"/>
              </w:rPr>
              <w:t>23,736</w:t>
            </w:r>
          </w:p>
        </w:tc>
      </w:tr>
      <w:tr>
        <w:trPr>
          <w:trHeight w:val="270"/>
        </w:trPr>
        <w:tc>
          <w:tcPr>
            <w:tcW w:w="956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2028</w:t>
            </w:r>
          </w:p>
        </w:tc>
        <w:tc>
          <w:tcPr>
            <w:tcW w:w="100" w:type="dxa"/>
            <w:vAlign w:val="bottom"/>
            <w:shd w:val="clear" w:color="auto" w:fill="D2DCE5"/>
          </w:tcPr>
          <w:p>
            <w:pPr>
              <w:spacing w:after="0"/>
              <w:rPr>
                <w:sz w:val="23"/>
                <w:szCs w:val="23"/>
                <w:color w:val="auto"/>
              </w:rPr>
            </w:pPr>
          </w:p>
        </w:tc>
        <w:tc>
          <w:tcPr>
            <w:tcW w:w="540" w:type="dxa"/>
            <w:vAlign w:val="bottom"/>
            <w:shd w:val="clear" w:color="auto" w:fill="D2DCE5"/>
          </w:tcPr>
          <w:p>
            <w:pPr>
              <w:spacing w:after="0"/>
              <w:rPr>
                <w:sz w:val="23"/>
                <w:szCs w:val="23"/>
                <w:color w:val="auto"/>
              </w:rPr>
            </w:pPr>
          </w:p>
        </w:tc>
        <w:tc>
          <w:tcPr>
            <w:tcW w:w="10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16,118</w:t>
            </w:r>
          </w:p>
        </w:tc>
      </w:tr>
      <w:tr>
        <w:trPr>
          <w:trHeight w:val="270"/>
        </w:trPr>
        <w:tc>
          <w:tcPr>
            <w:tcW w:w="956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2029</w:t>
            </w:r>
          </w:p>
        </w:tc>
        <w:tc>
          <w:tcPr>
            <w:tcW w:w="100" w:type="dxa"/>
            <w:vAlign w:val="bottom"/>
            <w:tcBorders>
              <w:bottom w:val="single" w:sz="8" w:color="D2DCE5"/>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2,676</w:t>
            </w:r>
          </w:p>
        </w:tc>
      </w:tr>
      <w:tr>
        <w:trPr>
          <w:trHeight w:val="248"/>
        </w:trPr>
        <w:tc>
          <w:tcPr>
            <w:tcW w:w="96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unrecognized stock-based compensation</w:t>
            </w:r>
          </w:p>
        </w:tc>
        <w:tc>
          <w:tcPr>
            <w:tcW w:w="540" w:type="dxa"/>
            <w:vAlign w:val="bottom"/>
            <w:tcBorders>
              <w:bottom w:val="single" w:sz="8" w:color="auto"/>
            </w:tcBorders>
            <w:shd w:val="clear" w:color="auto" w:fill="D2DCE5"/>
          </w:tcPr>
          <w:p>
            <w:pPr>
              <w:jc w:val="right"/>
              <w:ind w:right="330"/>
              <w:spacing w:after="0"/>
              <w:rPr>
                <w:sz w:val="20"/>
                <w:szCs w:val="20"/>
                <w:color w:val="auto"/>
              </w:rPr>
            </w:pPr>
            <w:r>
              <w:rPr>
                <w:rFonts w:ascii="Arial" w:cs="Arial" w:eastAsia="Arial" w:hAnsi="Arial"/>
                <w:sz w:val="18"/>
                <w:szCs w:val="18"/>
                <w:b w:val="1"/>
                <w:bCs w:val="1"/>
                <w:color w:val="006098"/>
                <w:w w:val="99"/>
              </w:rPr>
              <w:t>$</w:t>
            </w:r>
          </w:p>
        </w:tc>
        <w:tc>
          <w:tcPr>
            <w:tcW w:w="10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63,948</w:t>
            </w:r>
          </w:p>
        </w:tc>
      </w:tr>
      <w:tr>
        <w:trPr>
          <w:trHeight w:val="20"/>
        </w:trPr>
        <w:tc>
          <w:tcPr>
            <w:tcW w:w="95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40" w:type="dxa"/>
            <w:vAlign w:val="bottom"/>
            <w:tcBorders>
              <w:top w:val="single" w:sz="8" w:color="D2DCE5"/>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14 — Non-Controlling Interests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80" w:type="dxa"/>
            <w:vAlign w:val="bottom"/>
            <w:gridSpan w:val="2"/>
          </w:tcPr>
          <w:p>
            <w:pPr>
              <w:spacing w:after="0"/>
              <w:rPr>
                <w:sz w:val="20"/>
                <w:szCs w:val="20"/>
                <w:color w:val="auto"/>
              </w:rPr>
            </w:pPr>
            <w:r>
              <w:rPr>
                <w:rFonts w:ascii="Arial" w:cs="Arial" w:eastAsia="Arial" w:hAnsi="Arial"/>
                <w:sz w:val="18"/>
                <w:szCs w:val="18"/>
                <w:color w:val="131E29"/>
              </w:rPr>
              <w:t>The following table summarizes the ownership interest in Dutch Bros OpCo:</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5"/>
        </w:trPr>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D7282F"/>
            </w:tcBorders>
            <w:gridSpan w:val="3"/>
          </w:tcPr>
          <w:p>
            <w:pPr>
              <w:jc w:val="right"/>
              <w:ind w:right="1010"/>
              <w:spacing w:after="0"/>
              <w:rPr>
                <w:sz w:val="20"/>
                <w:szCs w:val="20"/>
                <w:color w:val="auto"/>
              </w:rPr>
            </w:pPr>
            <w:r>
              <w:rPr>
                <w:rFonts w:ascii="Arial" w:cs="Arial" w:eastAsia="Arial" w:hAnsi="Arial"/>
                <w:sz w:val="18"/>
                <w:szCs w:val="18"/>
                <w:b w:val="1"/>
                <w:bCs w:val="1"/>
                <w:color w:val="131E29"/>
              </w:rPr>
              <w:t>March 31, 2026</w:t>
            </w:r>
          </w:p>
        </w:tc>
      </w:tr>
      <w:tr>
        <w:trPr>
          <w:trHeight w:val="264"/>
        </w:trPr>
        <w:tc>
          <w:tcPr>
            <w:tcW w:w="7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(units in thousands)</w:t>
            </w:r>
          </w:p>
        </w:tc>
        <w:tc>
          <w:tcPr>
            <w:tcW w:w="100" w:type="dxa"/>
            <w:vAlign w:val="bottom"/>
            <w:tcBorders>
              <w:bottom w:val="single" w:sz="8" w:color="D2DCE5"/>
            </w:tcBorders>
          </w:tcPr>
          <w:p>
            <w:pPr>
              <w:spacing w:after="0"/>
              <w:rPr>
                <w:sz w:val="22"/>
                <w:szCs w:val="22"/>
                <w:color w:val="auto"/>
              </w:rPr>
            </w:pPr>
          </w:p>
        </w:tc>
        <w:tc>
          <w:tcPr>
            <w:tcW w:w="1540" w:type="dxa"/>
            <w:vAlign w:val="bottom"/>
            <w:tcBorders>
              <w:bottom w:val="single" w:sz="8" w:color="D7282F"/>
            </w:tcBorders>
          </w:tcPr>
          <w:p>
            <w:pPr>
              <w:jc w:val="right"/>
              <w:ind w:right="190"/>
              <w:spacing w:after="0"/>
              <w:rPr>
                <w:sz w:val="20"/>
                <w:szCs w:val="20"/>
                <w:color w:val="auto"/>
              </w:rPr>
            </w:pPr>
            <w:r>
              <w:rPr>
                <w:rFonts w:ascii="Arial" w:cs="Arial" w:eastAsia="Arial" w:hAnsi="Arial"/>
                <w:sz w:val="18"/>
                <w:szCs w:val="18"/>
                <w:b w:val="1"/>
                <w:bCs w:val="1"/>
                <w:color w:val="131E29"/>
              </w:rPr>
              <w:t>OpCo Units</w:t>
            </w:r>
          </w:p>
        </w:tc>
        <w:tc>
          <w:tcPr>
            <w:tcW w:w="100" w:type="dxa"/>
            <w:vAlign w:val="bottom"/>
            <w:tcBorders>
              <w:bottom w:val="single" w:sz="8" w:color="D2DCE5"/>
            </w:tcBorders>
          </w:tcPr>
          <w:p>
            <w:pPr>
              <w:spacing w:after="0"/>
              <w:rPr>
                <w:sz w:val="22"/>
                <w:szCs w:val="22"/>
                <w:color w:val="auto"/>
              </w:rPr>
            </w:pPr>
          </w:p>
        </w:tc>
        <w:tc>
          <w:tcPr>
            <w:tcW w:w="182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Ownership %</w:t>
            </w:r>
          </w:p>
        </w:tc>
      </w:tr>
      <w:tr>
        <w:trPr>
          <w:trHeight w:val="270"/>
        </w:trPr>
        <w:tc>
          <w:tcPr>
            <w:tcW w:w="77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Dutch Bros OpCo Class A common units held by Dutch Bros Inc.</w:t>
            </w:r>
          </w:p>
        </w:tc>
        <w:tc>
          <w:tcPr>
            <w:tcW w:w="15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127,293</w:t>
            </w:r>
          </w:p>
        </w:tc>
        <w:tc>
          <w:tcPr>
            <w:tcW w:w="100" w:type="dxa"/>
            <w:vAlign w:val="bottom"/>
            <w:shd w:val="clear" w:color="auto" w:fill="D2DCE5"/>
          </w:tcPr>
          <w:p>
            <w:pPr>
              <w:spacing w:after="0"/>
              <w:rPr>
                <w:sz w:val="23"/>
                <w:szCs w:val="23"/>
                <w:color w:val="auto"/>
              </w:rPr>
            </w:pPr>
          </w:p>
        </w:tc>
        <w:tc>
          <w:tcPr>
            <w:tcW w:w="18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71.6 %</w:t>
            </w:r>
          </w:p>
        </w:tc>
      </w:tr>
      <w:tr>
        <w:trPr>
          <w:trHeight w:val="270"/>
        </w:trPr>
        <w:tc>
          <w:tcPr>
            <w:tcW w:w="778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Dutch Bros OpCo Class A common units held by non-controlling interest holders</w:t>
            </w:r>
            <w:r>
              <w:rPr>
                <w:rFonts w:ascii="Arial" w:cs="Arial" w:eastAsia="Arial" w:hAnsi="Arial"/>
                <w:sz w:val="23"/>
                <w:szCs w:val="23"/>
                <w:color w:val="131E29"/>
                <w:vertAlign w:val="superscript"/>
              </w:rPr>
              <w:t>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50,481</w:t>
            </w:r>
          </w:p>
        </w:tc>
        <w:tc>
          <w:tcPr>
            <w:tcW w:w="100" w:type="dxa"/>
            <w:vAlign w:val="bottom"/>
            <w:tcBorders>
              <w:bottom w:val="single" w:sz="8" w:color="D2DCE5"/>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28.4 %</w:t>
            </w:r>
          </w:p>
        </w:tc>
      </w:tr>
      <w:tr>
        <w:trPr>
          <w:trHeight w:val="248"/>
        </w:trPr>
        <w:tc>
          <w:tcPr>
            <w:tcW w:w="77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8"/>
                <w:szCs w:val="18"/>
                <w:b w:val="1"/>
                <w:bCs w:val="1"/>
                <w:color w:val="131E29"/>
              </w:rPr>
              <w:t>Total Dutch Bros OpCo Class A common units outstanding</w:t>
            </w:r>
          </w:p>
        </w:tc>
        <w:tc>
          <w:tcPr>
            <w:tcW w:w="15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177,773</w:t>
            </w:r>
          </w:p>
        </w:tc>
        <w:tc>
          <w:tcPr>
            <w:tcW w:w="100" w:type="dxa"/>
            <w:vAlign w:val="bottom"/>
            <w:tcBorders>
              <w:bottom w:val="single" w:sz="8" w:color="D2DCE5"/>
            </w:tcBorders>
            <w:shd w:val="clear" w:color="auto" w:fill="D2DCE5"/>
          </w:tcPr>
          <w:p>
            <w:pPr>
              <w:spacing w:after="0"/>
              <w:rPr>
                <w:sz w:val="21"/>
                <w:szCs w:val="21"/>
                <w:color w:val="auto"/>
              </w:rPr>
            </w:pPr>
          </w:p>
        </w:tc>
        <w:tc>
          <w:tcPr>
            <w:tcW w:w="18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100.0 %</w:t>
            </w:r>
          </w:p>
        </w:tc>
      </w:tr>
      <w:tr>
        <w:trPr>
          <w:trHeight w:val="20"/>
        </w:trPr>
        <w:tc>
          <w:tcPr>
            <w:tcW w:w="76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820" w:type="dxa"/>
            <w:vAlign w:val="bottom"/>
            <w:tcBorders>
              <w:top w:val="single" w:sz="8" w:color="D2DCE5"/>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spacing w:after="0" w:line="24" w:lineRule="exact"/>
        <w:rPr>
          <w:sz w:val="20"/>
          <w:szCs w:val="20"/>
          <w:color w:val="auto"/>
        </w:rPr>
      </w:pPr>
    </w:p>
    <w:p>
      <w:pPr>
        <w:ind w:left="180" w:hanging="172"/>
        <w:spacing w:after="0" w:line="219" w:lineRule="auto"/>
        <w:tabs>
          <w:tab w:leader="none" w:pos="112" w:val="left"/>
        </w:tabs>
        <w:numPr>
          <w:ilvl w:val="0"/>
          <w:numId w:val="14"/>
        </w:numPr>
        <w:rPr>
          <w:rFonts w:ascii="Arial" w:cs="Arial" w:eastAsia="Arial" w:hAnsi="Arial"/>
          <w:sz w:val="19"/>
          <w:szCs w:val="19"/>
          <w:color w:val="131E29"/>
          <w:vertAlign w:val="superscript"/>
        </w:rPr>
      </w:pPr>
      <w:r>
        <w:rPr>
          <w:rFonts w:ascii="Arial" w:cs="Arial" w:eastAsia="Arial" w:hAnsi="Arial"/>
          <w:sz w:val="14"/>
          <w:szCs w:val="14"/>
          <w:color w:val="131E29"/>
        </w:rPr>
        <w:t>Non-controlling interest ownership includes approximately 13 million Class A common units that were decoupled from Class B common stock; these units can be converted on a one-for-one basis to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the effect of changes in ownership of Dutch Bros OpCo on our equity for the periods presented:</w:t>
      </w:r>
    </w:p>
    <w:p>
      <w:pPr>
        <w:spacing w:after="0" w:line="171"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34925</wp:posOffset>
            </wp:positionV>
            <wp:extent cx="23660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40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1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5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400" w:type="dxa"/>
            <w:vAlign w:val="bottom"/>
            <w:shd w:val="clear" w:color="auto" w:fill="D2DCE5"/>
          </w:tcPr>
          <w:p>
            <w:pPr>
              <w:jc w:val="right"/>
              <w:ind w:right="190"/>
              <w:spacing w:after="0"/>
              <w:rPr>
                <w:sz w:val="20"/>
                <w:szCs w:val="20"/>
                <w:color w:val="auto"/>
              </w:rPr>
            </w:pPr>
            <w:r>
              <w:rPr>
                <w:rFonts w:ascii="Arial" w:cs="Arial" w:eastAsia="Arial" w:hAnsi="Arial"/>
                <w:sz w:val="18"/>
                <w:szCs w:val="18"/>
                <w:b w:val="1"/>
                <w:bCs w:val="1"/>
                <w:color w:val="006098"/>
                <w:w w:val="9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16,097</w:t>
            </w:r>
          </w:p>
        </w:tc>
        <w:tc>
          <w:tcPr>
            <w:tcW w:w="100" w:type="dxa"/>
            <w:vAlign w:val="bottom"/>
            <w:shd w:val="clear" w:color="auto" w:fill="D2DCE5"/>
          </w:tcPr>
          <w:p>
            <w:pPr>
              <w:spacing w:after="0"/>
              <w:rPr>
                <w:sz w:val="23"/>
                <w:szCs w:val="23"/>
                <w:color w:val="auto"/>
              </w:rPr>
            </w:pPr>
          </w:p>
        </w:tc>
        <w:tc>
          <w:tcPr>
            <w:tcW w:w="420" w:type="dxa"/>
            <w:vAlign w:val="bottom"/>
            <w:shd w:val="clear" w:color="auto" w:fill="D2DCE5"/>
          </w:tcPr>
          <w:p>
            <w:pPr>
              <w:jc w:val="right"/>
              <w:ind w:right="210"/>
              <w:spacing w:after="0"/>
              <w:rPr>
                <w:sz w:val="20"/>
                <w:szCs w:val="20"/>
                <w:color w:val="auto"/>
              </w:rPr>
            </w:pPr>
            <w:r>
              <w:rPr>
                <w:rFonts w:ascii="Arial" w:cs="Arial" w:eastAsia="Arial" w:hAnsi="Arial"/>
                <w:sz w:val="18"/>
                <w:szCs w:val="18"/>
                <w:b w:val="1"/>
                <w:bCs w:val="1"/>
                <w:color w:val="131E29"/>
                <w:w w:val="9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15,353</w:t>
            </w:r>
          </w:p>
        </w:tc>
      </w:tr>
    </w:tbl>
    <w:p>
      <w:pPr>
        <w:spacing w:after="0" w:line="8" w:lineRule="exact"/>
        <w:rPr>
          <w:sz w:val="20"/>
          <w:szCs w:val="20"/>
          <w:color w:val="auto"/>
        </w:rPr>
      </w:pPr>
    </w:p>
    <w:p>
      <w:pPr>
        <w:sectPr>
          <w:pgSz w:w="11900" w:h="16838" w:orient="portrait"/>
          <w:cols w:equalWidth="0" w:num="1">
            <w:col w:w="11240"/>
          </w:cols>
          <w:pgMar w:left="320" w:top="130" w:right="339" w:bottom="1440" w:gutter="0" w:footer="0" w:header="0"/>
        </w:sectPr>
      </w:pPr>
    </w:p>
    <w:p>
      <w:pPr>
        <w:ind w:left="20"/>
        <w:spacing w:after="0"/>
        <w:rPr>
          <w:sz w:val="20"/>
          <w:szCs w:val="20"/>
          <w:color w:val="auto"/>
        </w:rPr>
      </w:pPr>
      <w:r>
        <w:rPr>
          <w:rFonts w:ascii="Arial" w:cs="Arial" w:eastAsia="Arial" w:hAnsi="Arial"/>
          <w:sz w:val="18"/>
          <w:szCs w:val="18"/>
          <w:color w:val="131E29"/>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Unrealized gain (loss) on derivative securities, effective portion, net of income tax impacts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Increase as a result of equity-based compensation</w:t>
      </w:r>
    </w:p>
    <w:p>
      <w:pPr>
        <w:spacing w:after="0" w:line="63" w:lineRule="exact"/>
        <w:rPr>
          <w:sz w:val="20"/>
          <w:szCs w:val="20"/>
          <w:color w:val="auto"/>
        </w:rPr>
      </w:pPr>
    </w:p>
    <w:p>
      <w:pPr>
        <w:ind w:left="180" w:right="600"/>
        <w:spacing w:after="0" w:line="281" w:lineRule="auto"/>
        <w:rPr>
          <w:sz w:val="20"/>
          <w:szCs w:val="20"/>
          <w:color w:val="auto"/>
        </w:rPr>
      </w:pPr>
      <w:r>
        <w:rPr>
          <w:rFonts w:ascii="Arial" w:cs="Arial" w:eastAsia="Arial" w:hAnsi="Arial"/>
          <w:sz w:val="18"/>
          <w:szCs w:val="18"/>
          <w:color w:val="131E29"/>
        </w:rPr>
        <w:t>Decrease as a result of common stock issuances pursuant to vesting of equity awards, net of stock withheld for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131E29"/>
        </w:rPr>
        <w:t>Increase as a result of the acquisition of Dutch Bros OpCo Class A common units</w:t>
      </w:r>
    </w:p>
    <w:p>
      <w:pPr>
        <w:spacing w:after="0" w:line="104" w:lineRule="exact"/>
        <w:rPr>
          <w:sz w:val="20"/>
          <w:szCs w:val="20"/>
          <w:color w:val="auto"/>
        </w:rPr>
      </w:pPr>
    </w:p>
    <w:p>
      <w:pPr>
        <w:ind w:left="20"/>
        <w:spacing w:after="0"/>
        <w:tabs>
          <w:tab w:leader="none" w:pos="7520" w:val="left"/>
        </w:tabs>
        <w:rPr>
          <w:sz w:val="20"/>
          <w:szCs w:val="20"/>
          <w:color w:val="auto"/>
        </w:rPr>
      </w:pPr>
      <w:r>
        <w:rPr>
          <w:rFonts w:ascii="Arial" w:cs="Arial" w:eastAsia="Arial" w:hAnsi="Arial"/>
          <w:sz w:val="18"/>
          <w:szCs w:val="18"/>
          <w:b w:val="1"/>
          <w:bCs w:val="1"/>
          <w:color w:val="131E29"/>
        </w:rPr>
        <w:t>Total effect of changes in ownership interest on equity attributable to Dutch Bros Inc.</w:t>
      </w:r>
      <w:r>
        <w:rPr>
          <w:sz w:val="20"/>
          <w:szCs w:val="20"/>
          <w:color w:val="auto"/>
        </w:rPr>
        <w:tab/>
      </w:r>
      <w:r>
        <w:rPr>
          <w:rFonts w:ascii="Arial" w:cs="Arial" w:eastAsia="Arial" w:hAnsi="Arial"/>
          <w:sz w:val="17"/>
          <w:szCs w:val="17"/>
          <w:b w:val="1"/>
          <w:bCs w:val="1"/>
          <w:color w:val="006098"/>
        </w:rPr>
        <w: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2100" w:hanging="1754"/>
        <w:spacing w:after="0"/>
        <w:tabs>
          <w:tab w:leader="none" w:pos="2100" w:val="left"/>
        </w:tabs>
        <w:numPr>
          <w:ilvl w:val="0"/>
          <w:numId w:val="15"/>
        </w:numPr>
        <w:rPr>
          <w:rFonts w:ascii="Arial" w:cs="Arial" w:eastAsia="Arial" w:hAnsi="Arial"/>
          <w:sz w:val="17"/>
          <w:szCs w:val="17"/>
          <w:color w:val="006098"/>
        </w:rPr>
      </w:pPr>
      <w:r>
        <w:rPr>
          <w:rFonts w:ascii="Arial" w:cs="Arial" w:eastAsia="Arial" w:hAnsi="Arial"/>
          <w:sz w:val="17"/>
          <w:szCs w:val="17"/>
          <w:color w:val="131E29"/>
        </w:rPr>
        <w:t>(190)</w:t>
      </w:r>
    </w:p>
    <w:p>
      <w:pPr>
        <w:spacing w:after="0" w:line="345" w:lineRule="exact"/>
        <w:rPr>
          <w:sz w:val="20"/>
          <w:szCs w:val="20"/>
          <w:color w:val="auto"/>
        </w:rPr>
      </w:pPr>
    </w:p>
    <w:p>
      <w:pPr>
        <w:ind w:left="100"/>
        <w:spacing w:after="0"/>
        <w:tabs>
          <w:tab w:leader="none" w:pos="2000" w:val="left"/>
        </w:tabs>
        <w:rPr>
          <w:sz w:val="20"/>
          <w:szCs w:val="20"/>
          <w:color w:val="auto"/>
        </w:rPr>
      </w:pPr>
      <w:r>
        <w:rPr>
          <w:rFonts w:ascii="Arial" w:cs="Arial" w:eastAsia="Arial" w:hAnsi="Arial"/>
          <w:sz w:val="18"/>
          <w:szCs w:val="18"/>
          <w:color w:val="006098"/>
        </w:rPr>
        <w:t>3,779</w:t>
      </w:r>
      <w:r>
        <w:rPr>
          <w:sz w:val="20"/>
          <w:szCs w:val="20"/>
          <w:color w:val="auto"/>
        </w:rPr>
        <w:tab/>
      </w:r>
      <w:r>
        <w:rPr>
          <w:rFonts w:ascii="Arial" w:cs="Arial" w:eastAsia="Arial" w:hAnsi="Arial"/>
          <w:sz w:val="18"/>
          <w:szCs w:val="18"/>
          <w:color w:val="131E29"/>
        </w:rPr>
        <w:t>2,900</w:t>
      </w:r>
    </w:p>
    <w:p>
      <w:pPr>
        <w:spacing w:after="0" w:line="279" w:lineRule="exact"/>
        <w:rPr>
          <w:sz w:val="20"/>
          <w:szCs w:val="20"/>
          <w:color w:val="auto"/>
        </w:rPr>
      </w:pPr>
    </w:p>
    <w:p>
      <w:pPr>
        <w:ind w:left="20"/>
        <w:spacing w:after="0"/>
        <w:tabs>
          <w:tab w:leader="none" w:pos="1920" w:val="left"/>
        </w:tabs>
        <w:rPr>
          <w:sz w:val="20"/>
          <w:szCs w:val="20"/>
          <w:color w:val="auto"/>
        </w:rPr>
      </w:pPr>
      <w:r>
        <w:rPr>
          <w:rFonts w:ascii="Arial" w:cs="Arial" w:eastAsia="Arial" w:hAnsi="Arial"/>
          <w:sz w:val="18"/>
          <w:szCs w:val="18"/>
          <w:color w:val="006098"/>
        </w:rPr>
        <w:t>(4,421)</w:t>
      </w:r>
      <w:r>
        <w:rPr>
          <w:sz w:val="20"/>
          <w:szCs w:val="20"/>
          <w:color w:val="auto"/>
        </w:rPr>
        <w:tab/>
      </w:r>
      <w:r>
        <w:rPr>
          <w:rFonts w:ascii="Arial" w:cs="Arial" w:eastAsia="Arial" w:hAnsi="Arial"/>
          <w:sz w:val="18"/>
          <w:szCs w:val="18"/>
          <w:color w:val="131E29"/>
        </w:rPr>
        <w:t>(7,771)</w:t>
      </w:r>
    </w:p>
    <w:p>
      <w:pPr>
        <w:spacing w:after="0" w:line="63" w:lineRule="exact"/>
        <w:rPr>
          <w:sz w:val="20"/>
          <w:szCs w:val="20"/>
          <w:color w:val="auto"/>
        </w:rPr>
      </w:pPr>
    </w:p>
    <w:p>
      <w:pPr>
        <w:ind w:left="1920" w:hanging="1674"/>
        <w:spacing w:after="0"/>
        <w:tabs>
          <w:tab w:leader="none" w:pos="1920" w:val="left"/>
        </w:tabs>
        <w:numPr>
          <w:ilvl w:val="0"/>
          <w:numId w:val="16"/>
        </w:numPr>
        <w:rPr>
          <w:rFonts w:ascii="Arial" w:cs="Arial" w:eastAsia="Arial" w:hAnsi="Arial"/>
          <w:sz w:val="18"/>
          <w:szCs w:val="18"/>
          <w:color w:val="006098"/>
        </w:rPr>
      </w:pPr>
      <w:r>
        <w:rPr>
          <w:rFonts w:ascii="Arial" w:cs="Arial" w:eastAsia="Arial" w:hAnsi="Arial"/>
          <w:sz w:val="18"/>
          <w:szCs w:val="18"/>
          <w:color w:val="131E29"/>
        </w:rPr>
        <w:t>34,267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34925</wp:posOffset>
            </wp:positionV>
            <wp:extent cx="23660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7" w:lineRule="exact"/>
        <w:rPr>
          <w:sz w:val="20"/>
          <w:szCs w:val="20"/>
          <w:color w:val="auto"/>
        </w:rPr>
      </w:pPr>
    </w:p>
    <w:p>
      <w:pPr>
        <w:spacing w:after="0"/>
        <w:tabs>
          <w:tab w:leader="none" w:pos="720" w:val="left"/>
          <w:tab w:leader="none" w:pos="1900" w:val="left"/>
        </w:tabs>
        <w:rPr>
          <w:sz w:val="20"/>
          <w:szCs w:val="20"/>
          <w:color w:val="auto"/>
        </w:rPr>
      </w:pPr>
      <w:r>
        <w:rPr>
          <w:rFonts w:ascii="Arial" w:cs="Arial" w:eastAsia="Arial" w:hAnsi="Arial"/>
          <w:sz w:val="18"/>
          <w:szCs w:val="18"/>
          <w:b w:val="1"/>
          <w:bCs w:val="1"/>
          <w:color w:val="006098"/>
        </w:rPr>
        <w:t>15,763</w:t>
      </w:r>
      <w:r>
        <w:rPr>
          <w:rFonts w:ascii="Arial" w:cs="Arial" w:eastAsia="Arial" w:hAnsi="Arial"/>
          <w:sz w:val="18"/>
          <w:szCs w:val="18"/>
          <w:b w:val="1"/>
          <w:bCs w:val="1"/>
          <w:color w:val="131E29"/>
        </w:rPr>
        <w:tab/>
        <w:t>$</w:t>
      </w:r>
      <w:r>
        <w:rPr>
          <w:sz w:val="20"/>
          <w:szCs w:val="20"/>
          <w:color w:val="auto"/>
        </w:rPr>
        <w:tab/>
      </w:r>
      <w:r>
        <w:rPr>
          <w:rFonts w:ascii="Arial" w:cs="Arial" w:eastAsia="Arial" w:hAnsi="Arial"/>
          <w:sz w:val="17"/>
          <w:szCs w:val="17"/>
          <w:b w:val="1"/>
          <w:bCs w:val="1"/>
          <w:color w:val="131E29"/>
        </w:rPr>
        <w:t>44,559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34925</wp:posOffset>
            </wp:positionV>
            <wp:extent cx="236601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66010" cy="342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980" w:space="720"/>
            <w:col w:w="2540"/>
          </w:cols>
          <w:pgMar w:left="320" w:top="130" w:right="339" w:bottom="1440" w:gutter="0" w:footer="0" w:header="0"/>
          <w:type w:val="continuous"/>
        </w:sectPr>
      </w:pP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p>
      <w:pPr>
        <w:spacing w:after="0" w:line="17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34925</wp:posOffset>
            </wp:positionV>
            <wp:extent cx="20574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880" w:type="dxa"/>
            <w:vAlign w:val="bottom"/>
            <w:tcBorders>
              <w:bottom w:val="single" w:sz="8" w:color="D7282F"/>
            </w:tcBorders>
          </w:tcPr>
          <w:p>
            <w:pPr>
              <w:spacing w:after="0"/>
              <w:rPr>
                <w:sz w:val="22"/>
                <w:szCs w:val="22"/>
                <w:color w:val="auto"/>
              </w:rPr>
            </w:pPr>
          </w:p>
        </w:tc>
        <w:tc>
          <w:tcPr>
            <w:tcW w:w="100" w:type="dxa"/>
            <w:vAlign w:val="bottom"/>
            <w:tcBorders>
              <w:bottom w:val="single" w:sz="8" w:color="D2DCE5"/>
            </w:tcBorders>
          </w:tcPr>
          <w:p>
            <w:pPr>
              <w:spacing w:after="0"/>
              <w:rPr>
                <w:sz w:val="22"/>
                <w:szCs w:val="22"/>
                <w:color w:val="auto"/>
              </w:rPr>
            </w:pPr>
          </w:p>
        </w:tc>
        <w:tc>
          <w:tcPr>
            <w:tcW w:w="156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158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Weighted-average ownership percentage of non-controlling interest holders</w:t>
            </w:r>
          </w:p>
        </w:tc>
        <w:tc>
          <w:tcPr>
            <w:tcW w:w="15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28.4 %</w:t>
            </w:r>
          </w:p>
        </w:tc>
        <w:tc>
          <w:tcPr>
            <w:tcW w:w="100" w:type="dxa"/>
            <w:vAlign w:val="bottom"/>
            <w:shd w:val="clear" w:color="auto" w:fill="D2DCE5"/>
          </w:tcPr>
          <w:p>
            <w:pPr>
              <w:spacing w:after="0"/>
              <w:rPr>
                <w:sz w:val="23"/>
                <w:szCs w:val="23"/>
                <w:color w:val="auto"/>
              </w:rPr>
            </w:pPr>
          </w:p>
        </w:tc>
        <w:tc>
          <w:tcPr>
            <w:tcW w:w="15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31.9 %</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15 — Income Per Share</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following tables set forth the numerators and denominators used to compute basic and diluted net income per share of Class A common stock for the periods presented:</w:t>
      </w:r>
    </w:p>
    <w:p>
      <w:pPr>
        <w:spacing w:after="0" w:line="99"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34925</wp:posOffset>
            </wp:positionV>
            <wp:extent cx="19113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80" w:type="dxa"/>
            <w:vAlign w:val="bottom"/>
            <w:tcBorders>
              <w:bottom w:val="single" w:sz="8" w:color="D2DCE5"/>
            </w:tcBorders>
          </w:tcPr>
          <w:p>
            <w:pPr>
              <w:spacing w:after="0"/>
              <w:rPr>
                <w:sz w:val="22"/>
                <w:szCs w:val="22"/>
                <w:color w:val="auto"/>
              </w:rPr>
            </w:pPr>
          </w:p>
        </w:tc>
        <w:tc>
          <w:tcPr>
            <w:tcW w:w="340" w:type="dxa"/>
            <w:vAlign w:val="bottom"/>
            <w:tcBorders>
              <w:bottom w:val="single" w:sz="8" w:color="D7282F"/>
            </w:tcBorders>
          </w:tcPr>
          <w:p>
            <w:pPr>
              <w:spacing w:after="0"/>
              <w:rPr>
                <w:sz w:val="22"/>
                <w:szCs w:val="22"/>
                <w:color w:val="auto"/>
              </w:rPr>
            </w:pPr>
          </w:p>
        </w:tc>
        <w:tc>
          <w:tcPr>
            <w:tcW w:w="112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114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2025</w:t>
            </w:r>
          </w:p>
        </w:tc>
      </w:tr>
      <w:tr>
        <w:trPr>
          <w:trHeight w:val="270"/>
        </w:trPr>
        <w:tc>
          <w:tcPr>
            <w:tcW w:w="82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340" w:type="dxa"/>
            <w:vAlign w:val="bottom"/>
            <w:shd w:val="clear" w:color="auto" w:fill="D2DCE5"/>
          </w:tcPr>
          <w:p>
            <w:pPr>
              <w:spacing w:after="0"/>
              <w:rPr>
                <w:sz w:val="23"/>
                <w:szCs w:val="23"/>
                <w:color w:val="auto"/>
              </w:rPr>
            </w:pPr>
          </w:p>
        </w:tc>
        <w:tc>
          <w:tcPr>
            <w:tcW w:w="11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40" w:type="dxa"/>
            <w:vAlign w:val="bottom"/>
            <w:shd w:val="clear" w:color="auto" w:fill="D2DCE5"/>
          </w:tcPr>
          <w:p>
            <w:pPr>
              <w:spacing w:after="0"/>
              <w:rPr>
                <w:sz w:val="23"/>
                <w:szCs w:val="23"/>
                <w:color w:val="auto"/>
              </w:rPr>
            </w:pPr>
          </w:p>
        </w:tc>
      </w:tr>
      <w:tr>
        <w:trPr>
          <w:trHeight w:val="270"/>
        </w:trPr>
        <w:tc>
          <w:tcPr>
            <w:tcW w:w="8220" w:type="dxa"/>
            <w:vAlign w:val="bottom"/>
            <w:gridSpan w:val="2"/>
          </w:tcPr>
          <w:p>
            <w:pPr>
              <w:ind w:left="180"/>
              <w:spacing w:after="0"/>
              <w:rPr>
                <w:sz w:val="20"/>
                <w:szCs w:val="20"/>
                <w:color w:val="auto"/>
              </w:rPr>
            </w:pPr>
            <w:r>
              <w:rPr>
                <w:rFonts w:ascii="Arial" w:cs="Arial" w:eastAsia="Arial" w:hAnsi="Arial"/>
                <w:sz w:val="18"/>
                <w:szCs w:val="18"/>
                <w:color w:val="131E29"/>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006098"/>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006098"/>
              </w:rPr>
              <w:t>23,664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131E29"/>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131E29"/>
              </w:rPr>
              <w:t>22,480</w:t>
            </w:r>
          </w:p>
        </w:tc>
      </w:tr>
      <w:tr>
        <w:trPr>
          <w:trHeight w:val="270"/>
        </w:trPr>
        <w:tc>
          <w:tcPr>
            <w:tcW w:w="822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Less: Net income attributable to non-controlling interests</w:t>
            </w:r>
          </w:p>
        </w:tc>
        <w:tc>
          <w:tcPr>
            <w:tcW w:w="340" w:type="dxa"/>
            <w:vAlign w:val="bottom"/>
            <w:tcBorders>
              <w:bottom w:val="single" w:sz="8" w:color="auto"/>
            </w:tcBorders>
            <w:shd w:val="clear" w:color="auto" w:fill="D2DCE5"/>
          </w:tcPr>
          <w:p>
            <w:pPr>
              <w:spacing w:after="0"/>
              <w:rPr>
                <w:sz w:val="23"/>
                <w:szCs w:val="23"/>
                <w:color w:val="auto"/>
              </w:rPr>
            </w:pPr>
          </w:p>
        </w:tc>
        <w:tc>
          <w:tcPr>
            <w:tcW w:w="11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7,567</w:t>
            </w:r>
          </w:p>
        </w:tc>
        <w:tc>
          <w:tcPr>
            <w:tcW w:w="100" w:type="dxa"/>
            <w:vAlign w:val="bottom"/>
            <w:shd w:val="clear" w:color="auto" w:fill="D2DCE5"/>
          </w:tcPr>
          <w:p>
            <w:pPr>
              <w:spacing w:after="0"/>
              <w:rPr>
                <w:sz w:val="23"/>
                <w:szCs w:val="23"/>
                <w:color w:val="auto"/>
              </w:rPr>
            </w:pPr>
          </w:p>
        </w:tc>
        <w:tc>
          <w:tcPr>
            <w:tcW w:w="320" w:type="dxa"/>
            <w:vAlign w:val="bottom"/>
            <w:tcBorders>
              <w:bottom w:val="single" w:sz="8" w:color="auto"/>
            </w:tcBorders>
            <w:shd w:val="clear" w:color="auto" w:fill="D2DCE5"/>
          </w:tcPr>
          <w:p>
            <w:pPr>
              <w:spacing w:after="0"/>
              <w:rPr>
                <w:sz w:val="23"/>
                <w:szCs w:val="23"/>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7,127</w:t>
            </w:r>
          </w:p>
        </w:tc>
      </w:tr>
      <w:tr>
        <w:trPr>
          <w:trHeight w:val="26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income attributable to Dutch Bros Inc.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006098"/>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16,097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131E29"/>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15,353</w:t>
            </w: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34925</wp:posOffset>
            </wp:positionV>
            <wp:extent cx="19113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8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114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2025</w:t>
            </w:r>
          </w:p>
        </w:tc>
        <w:tc>
          <w:tcPr>
            <w:tcW w:w="0" w:type="dxa"/>
            <w:vAlign w:val="bottom"/>
          </w:tcPr>
          <w:p>
            <w:pPr>
              <w:spacing w:after="0"/>
              <w:rPr>
                <w:sz w:val="1"/>
                <w:szCs w:val="1"/>
                <w:color w:val="auto"/>
              </w:rPr>
            </w:pPr>
          </w:p>
        </w:tc>
      </w:tr>
      <w:tr>
        <w:trPr>
          <w:trHeight w:val="270"/>
        </w:trPr>
        <w:tc>
          <w:tcPr>
            <w:tcW w:w="82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Basic net income per share attributable to common stockholders</w:t>
            </w:r>
          </w:p>
        </w:tc>
        <w:tc>
          <w:tcPr>
            <w:tcW w:w="160" w:type="dxa"/>
            <w:vAlign w:val="bottom"/>
            <w:shd w:val="clear" w:color="auto" w:fill="D2DCE5"/>
          </w:tcPr>
          <w:p>
            <w:pPr>
              <w:spacing w:after="0"/>
              <w:rPr>
                <w:sz w:val="23"/>
                <w:szCs w:val="23"/>
                <w:color w:val="auto"/>
              </w:rPr>
            </w:pPr>
          </w:p>
        </w:tc>
        <w:tc>
          <w:tcPr>
            <w:tcW w:w="13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4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220" w:type="dxa"/>
            <w:vAlign w:val="bottom"/>
            <w:gridSpan w:val="2"/>
          </w:tcPr>
          <w:p>
            <w:pPr>
              <w:ind w:left="140"/>
              <w:spacing w:after="0"/>
              <w:rPr>
                <w:sz w:val="20"/>
                <w:szCs w:val="20"/>
                <w:color w:val="auto"/>
              </w:rPr>
            </w:pPr>
            <w:r>
              <w:rPr>
                <w:rFonts w:ascii="Arial" w:cs="Arial" w:eastAsia="Arial" w:hAnsi="Arial"/>
                <w:sz w:val="18"/>
                <w:szCs w:val="18"/>
                <w:b w:val="1"/>
                <w:bCs w:val="1"/>
                <w:color w:val="131E29"/>
              </w:rPr>
              <w:t>Numerator:</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220" w:type="dxa"/>
            <w:vAlign w:val="bottom"/>
            <w:gridSpan w:val="2"/>
            <w:shd w:val="clear" w:color="auto" w:fill="D2DCE5"/>
          </w:tcPr>
          <w:p>
            <w:pPr>
              <w:ind w:left="240"/>
              <w:spacing w:after="0"/>
              <w:rPr>
                <w:sz w:val="20"/>
                <w:szCs w:val="20"/>
                <w:color w:val="auto"/>
              </w:rPr>
            </w:pPr>
            <w:r>
              <w:rPr>
                <w:rFonts w:ascii="Arial" w:cs="Arial" w:eastAsia="Arial" w:hAnsi="Arial"/>
                <w:sz w:val="18"/>
                <w:szCs w:val="18"/>
                <w:color w:val="131E29"/>
              </w:rPr>
              <w:t>Net income attributable to Dutch Bros Inc.</w:t>
            </w: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16,097</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15,353</w:t>
            </w:r>
          </w:p>
        </w:tc>
        <w:tc>
          <w:tcPr>
            <w:tcW w:w="0" w:type="dxa"/>
            <w:vAlign w:val="bottom"/>
          </w:tcPr>
          <w:p>
            <w:pPr>
              <w:spacing w:after="0"/>
              <w:rPr>
                <w:sz w:val="1"/>
                <w:szCs w:val="1"/>
                <w:color w:val="auto"/>
              </w:rPr>
            </w:pPr>
          </w:p>
        </w:tc>
      </w:tr>
      <w:tr>
        <w:trPr>
          <w:trHeight w:val="263"/>
        </w:trPr>
        <w:tc>
          <w:tcPr>
            <w:tcW w:w="8220" w:type="dxa"/>
            <w:vAlign w:val="bottom"/>
            <w:gridSpan w:val="2"/>
          </w:tcPr>
          <w:p>
            <w:pPr>
              <w:ind w:left="140"/>
              <w:spacing w:after="0"/>
              <w:rPr>
                <w:sz w:val="20"/>
                <w:szCs w:val="20"/>
                <w:color w:val="auto"/>
              </w:rPr>
            </w:pPr>
            <w:r>
              <w:rPr>
                <w:rFonts w:ascii="Arial" w:cs="Arial" w:eastAsia="Arial" w:hAnsi="Arial"/>
                <w:sz w:val="18"/>
                <w:szCs w:val="18"/>
                <w:b w:val="1"/>
                <w:bCs w:val="1"/>
                <w:color w:val="131E29"/>
              </w:rPr>
              <w:t>Denominator:</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220" w:type="dxa"/>
            <w:vAlign w:val="bottom"/>
            <w:gridSpan w:val="2"/>
            <w:shd w:val="clear" w:color="auto" w:fill="D2DCE5"/>
          </w:tcPr>
          <w:p>
            <w:pPr>
              <w:ind w:left="240"/>
              <w:spacing w:after="0"/>
              <w:rPr>
                <w:sz w:val="20"/>
                <w:szCs w:val="20"/>
                <w:color w:val="auto"/>
              </w:rPr>
            </w:pPr>
            <w:r>
              <w:rPr>
                <w:rFonts w:ascii="Arial" w:cs="Arial" w:eastAsia="Arial" w:hAnsi="Arial"/>
                <w:sz w:val="18"/>
                <w:szCs w:val="18"/>
                <w:color w:val="131E29"/>
              </w:rPr>
              <w:t>Weighted-average number of shares of Class A common stock outstanding - basic</w:t>
            </w:r>
          </w:p>
        </w:tc>
        <w:tc>
          <w:tcPr>
            <w:tcW w:w="160" w:type="dxa"/>
            <w:vAlign w:val="bottom"/>
            <w:tcBorders>
              <w:bottom w:val="single" w:sz="8" w:color="auto"/>
            </w:tcBorders>
            <w:shd w:val="clear" w:color="auto" w:fill="D2DCE5"/>
          </w:tcPr>
          <w:p>
            <w:pPr>
              <w:spacing w:after="0"/>
              <w:rPr>
                <w:sz w:val="24"/>
                <w:szCs w:val="24"/>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127,138</w:t>
            </w:r>
          </w:p>
        </w:tc>
        <w:tc>
          <w:tcPr>
            <w:tcW w:w="100" w:type="dxa"/>
            <w:vAlign w:val="bottom"/>
            <w:shd w:val="clear" w:color="auto" w:fill="D2DCE5"/>
          </w:tcPr>
          <w:p>
            <w:pPr>
              <w:spacing w:after="0"/>
              <w:rPr>
                <w:sz w:val="24"/>
                <w:szCs w:val="24"/>
                <w:color w:val="auto"/>
              </w:rPr>
            </w:pPr>
          </w:p>
        </w:tc>
        <w:tc>
          <w:tcPr>
            <w:tcW w:w="320" w:type="dxa"/>
            <w:vAlign w:val="bottom"/>
            <w:tcBorders>
              <w:bottom w:val="single" w:sz="8" w:color="auto"/>
            </w:tcBorders>
            <w:shd w:val="clear" w:color="auto" w:fill="D2DCE5"/>
          </w:tcPr>
          <w:p>
            <w:pPr>
              <w:spacing w:after="0"/>
              <w:rPr>
                <w:sz w:val="24"/>
                <w:szCs w:val="24"/>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120,810</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131E29"/>
              </w:rPr>
              <w:t>Basic net income per share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131E29"/>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0.13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8"/>
        </w:trPr>
        <w:tc>
          <w:tcPr>
            <w:tcW w:w="8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860" w:type="dxa"/>
            <w:vAlign w:val="bottom"/>
            <w:tcBorders>
              <w:bottom w:val="single" w:sz="8" w:color="D7282F"/>
            </w:tcBorders>
            <w:gridSpan w:val="4"/>
          </w:tcPr>
          <w:p>
            <w:pPr>
              <w:jc w:val="right"/>
              <w:ind w:right="90"/>
              <w:spacing w:after="0"/>
              <w:rPr>
                <w:sz w:val="20"/>
                <w:szCs w:val="20"/>
                <w:color w:val="auto"/>
              </w:rPr>
            </w:pPr>
            <w:r>
              <w:rPr>
                <w:rFonts w:ascii="Arial" w:cs="Arial" w:eastAsia="Arial" w:hAnsi="Arial"/>
                <w:sz w:val="18"/>
                <w:szCs w:val="18"/>
                <w:b w:val="1"/>
                <w:bCs w:val="1"/>
                <w:color w:val="131E29"/>
                <w:w w:val="99"/>
              </w:rPr>
              <w:t>Three Months Ended March 31,</w:t>
            </w:r>
          </w:p>
        </w:tc>
        <w:tc>
          <w:tcPr>
            <w:tcW w:w="0" w:type="dxa"/>
            <w:vAlign w:val="bottom"/>
          </w:tcPr>
          <w:p>
            <w:pPr>
              <w:spacing w:after="0"/>
              <w:rPr>
                <w:sz w:val="1"/>
                <w:szCs w:val="1"/>
                <w:color w:val="auto"/>
              </w:rPr>
            </w:pPr>
          </w:p>
        </w:tc>
      </w:tr>
      <w:tr>
        <w:trPr>
          <w:trHeight w:val="263"/>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 except per share amounts)</w:t>
            </w:r>
          </w:p>
        </w:tc>
        <w:tc>
          <w:tcPr>
            <w:tcW w:w="80" w:type="dxa"/>
            <w:vAlign w:val="bottom"/>
            <w:tcBorders>
              <w:bottom w:val="single" w:sz="8" w:color="D2DCE5"/>
            </w:tcBorders>
          </w:tcPr>
          <w:p>
            <w:pPr>
              <w:spacing w:after="0"/>
              <w:rPr>
                <w:sz w:val="22"/>
                <w:szCs w:val="22"/>
                <w:color w:val="auto"/>
              </w:rPr>
            </w:pPr>
          </w:p>
        </w:tc>
        <w:tc>
          <w:tcPr>
            <w:tcW w:w="16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D7282F"/>
            </w:tcBorders>
          </w:tcPr>
          <w:p>
            <w:pPr>
              <w:spacing w:after="0"/>
              <w:rPr>
                <w:sz w:val="22"/>
                <w:szCs w:val="22"/>
                <w:color w:val="auto"/>
              </w:rPr>
            </w:pPr>
          </w:p>
        </w:tc>
        <w:tc>
          <w:tcPr>
            <w:tcW w:w="114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2025</w:t>
            </w:r>
          </w:p>
        </w:tc>
        <w:tc>
          <w:tcPr>
            <w:tcW w:w="0" w:type="dxa"/>
            <w:vAlign w:val="bottom"/>
          </w:tcPr>
          <w:p>
            <w:pPr>
              <w:spacing w:after="0"/>
              <w:rPr>
                <w:sz w:val="1"/>
                <w:szCs w:val="1"/>
                <w:color w:val="auto"/>
              </w:rPr>
            </w:pPr>
          </w:p>
        </w:tc>
      </w:tr>
      <w:tr>
        <w:trPr>
          <w:trHeight w:val="270"/>
        </w:trPr>
        <w:tc>
          <w:tcPr>
            <w:tcW w:w="822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Diluted net income per share attributable to common stockholders</w:t>
            </w:r>
          </w:p>
        </w:tc>
        <w:tc>
          <w:tcPr>
            <w:tcW w:w="160" w:type="dxa"/>
            <w:vAlign w:val="bottom"/>
            <w:shd w:val="clear" w:color="auto" w:fill="D2DCE5"/>
          </w:tcPr>
          <w:p>
            <w:pPr>
              <w:spacing w:after="0"/>
              <w:rPr>
                <w:sz w:val="23"/>
                <w:szCs w:val="23"/>
                <w:color w:val="auto"/>
              </w:rPr>
            </w:pPr>
          </w:p>
        </w:tc>
        <w:tc>
          <w:tcPr>
            <w:tcW w:w="13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320" w:type="dxa"/>
            <w:vAlign w:val="bottom"/>
            <w:shd w:val="clear" w:color="auto" w:fill="D2DCE5"/>
          </w:tcPr>
          <w:p>
            <w:pPr>
              <w:spacing w:after="0"/>
              <w:rPr>
                <w:sz w:val="23"/>
                <w:szCs w:val="23"/>
                <w:color w:val="auto"/>
              </w:rPr>
            </w:pPr>
          </w:p>
        </w:tc>
        <w:tc>
          <w:tcPr>
            <w:tcW w:w="1140" w:type="dxa"/>
            <w:vAlign w:val="bottom"/>
            <w:shd w:val="clear" w:color="auto" w:fill="D2DCE5"/>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220" w:type="dxa"/>
            <w:vAlign w:val="bottom"/>
            <w:gridSpan w:val="2"/>
          </w:tcPr>
          <w:p>
            <w:pPr>
              <w:ind w:left="140"/>
              <w:spacing w:after="0"/>
              <w:rPr>
                <w:sz w:val="20"/>
                <w:szCs w:val="20"/>
                <w:color w:val="auto"/>
              </w:rPr>
            </w:pPr>
            <w:r>
              <w:rPr>
                <w:rFonts w:ascii="Arial" w:cs="Arial" w:eastAsia="Arial" w:hAnsi="Arial"/>
                <w:sz w:val="18"/>
                <w:szCs w:val="18"/>
                <w:b w:val="1"/>
                <w:bCs w:val="1"/>
                <w:color w:val="131E29"/>
              </w:rPr>
              <w:t>Numerator:</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2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Undistributed net income for basic computation</w:t>
            </w:r>
          </w:p>
        </w:tc>
        <w:tc>
          <w:tcPr>
            <w:tcW w:w="160" w:type="dxa"/>
            <w:vAlign w:val="bottom"/>
            <w:shd w:val="clear" w:color="auto" w:fill="D2DCE5"/>
          </w:tcPr>
          <w:p>
            <w:pPr>
              <w:jc w:val="right"/>
              <w:spacing w:after="0"/>
              <w:rPr>
                <w:sz w:val="20"/>
                <w:szCs w:val="20"/>
                <w:color w:val="auto"/>
              </w:rPr>
            </w:pPr>
            <w:r>
              <w:rPr>
                <w:rFonts w:ascii="Arial" w:cs="Arial" w:eastAsia="Arial" w:hAnsi="Arial"/>
                <w:sz w:val="18"/>
                <w:szCs w:val="18"/>
                <w:color w:val="006098"/>
                <w:w w:val="9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16,097</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jc w:val="right"/>
              <w:ind w:right="110"/>
              <w:spacing w:after="0"/>
              <w:rPr>
                <w:sz w:val="20"/>
                <w:szCs w:val="20"/>
                <w:color w:val="auto"/>
              </w:rPr>
            </w:pPr>
            <w:r>
              <w:rPr>
                <w:rFonts w:ascii="Arial" w:cs="Arial" w:eastAsia="Arial" w:hAnsi="Arial"/>
                <w:sz w:val="18"/>
                <w:szCs w:val="18"/>
                <w:color w:val="131E29"/>
                <w:w w:val="9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15,353</w:t>
            </w:r>
          </w:p>
        </w:tc>
        <w:tc>
          <w:tcPr>
            <w:tcW w:w="0" w:type="dxa"/>
            <w:vAlign w:val="bottom"/>
          </w:tcPr>
          <w:p>
            <w:pPr>
              <w:spacing w:after="0"/>
              <w:rPr>
                <w:sz w:val="1"/>
                <w:szCs w:val="1"/>
                <w:color w:val="auto"/>
              </w:rPr>
            </w:pPr>
          </w:p>
        </w:tc>
      </w:tr>
      <w:tr>
        <w:trPr>
          <w:trHeight w:val="224"/>
        </w:trPr>
        <w:tc>
          <w:tcPr>
            <w:tcW w:w="8220" w:type="dxa"/>
            <w:vAlign w:val="bottom"/>
            <w:gridSpan w:val="2"/>
          </w:tcPr>
          <w:p>
            <w:pPr>
              <w:ind w:left="360"/>
              <w:spacing w:after="0"/>
              <w:rPr>
                <w:sz w:val="20"/>
                <w:szCs w:val="20"/>
                <w:color w:val="auto"/>
              </w:rPr>
            </w:pPr>
            <w:r>
              <w:rPr>
                <w:rFonts w:ascii="Arial" w:cs="Arial" w:eastAsia="Arial" w:hAnsi="Arial"/>
                <w:sz w:val="18"/>
                <w:szCs w:val="18"/>
                <w:color w:val="131E29"/>
              </w:rPr>
              <w:t>Increase in net income attributable to common stockholders upon conversion of potentially</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220" w:type="dxa"/>
            <w:vAlign w:val="bottom"/>
            <w:tcBorders>
              <w:bottom w:val="single" w:sz="8" w:color="D2DCE5"/>
            </w:tcBorders>
            <w:gridSpan w:val="2"/>
          </w:tcPr>
          <w:p>
            <w:pPr>
              <w:ind w:left="360"/>
              <w:spacing w:after="0"/>
              <w:rPr>
                <w:sz w:val="20"/>
                <w:szCs w:val="20"/>
                <w:color w:val="auto"/>
              </w:rPr>
            </w:pPr>
            <w:r>
              <w:rPr>
                <w:rFonts w:ascii="Arial" w:cs="Arial" w:eastAsia="Arial" w:hAnsi="Arial"/>
                <w:sz w:val="18"/>
                <w:szCs w:val="18"/>
                <w:color w:val="131E29"/>
              </w:rPr>
              <w:t>dilutive instruments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10</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28</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Allocation of undistributed net income</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16,107</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b w:val="1"/>
                <w:bCs w:val="1"/>
                <w:color w:val="131E29"/>
                <w:w w:val="99"/>
              </w:rPr>
              <w:t>$</w:t>
            </w: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15,381</w:t>
            </w:r>
          </w:p>
        </w:tc>
        <w:tc>
          <w:tcPr>
            <w:tcW w:w="0" w:type="dxa"/>
            <w:vAlign w:val="bottom"/>
          </w:tcPr>
          <w:p>
            <w:pPr>
              <w:spacing w:after="0"/>
              <w:rPr>
                <w:sz w:val="1"/>
                <w:szCs w:val="1"/>
                <w:color w:val="auto"/>
              </w:rPr>
            </w:pPr>
          </w:p>
        </w:tc>
      </w:tr>
      <w:tr>
        <w:trPr>
          <w:trHeight w:val="20"/>
        </w:trPr>
        <w:tc>
          <w:tcPr>
            <w:tcW w:w="8220" w:type="dxa"/>
            <w:vAlign w:val="bottom"/>
            <w:tcBorders>
              <w:top w:val="single" w:sz="8" w:color="D2DCE5"/>
              <w:bottom w:val="single" w:sz="8" w:color="D2DCE5"/>
            </w:tcBorders>
            <w:gridSpan w:val="2"/>
            <w:vMerge w:val="restart"/>
          </w:tcPr>
          <w:p>
            <w:pPr>
              <w:ind w:left="140"/>
              <w:spacing w:after="0"/>
              <w:rPr>
                <w:sz w:val="20"/>
                <w:szCs w:val="20"/>
                <w:color w:val="auto"/>
              </w:rPr>
            </w:pPr>
            <w:r>
              <w:rPr>
                <w:rFonts w:ascii="Arial" w:cs="Arial" w:eastAsia="Arial" w:hAnsi="Arial"/>
                <w:sz w:val="18"/>
                <w:szCs w:val="18"/>
                <w:b w:val="1"/>
                <w:bCs w:val="1"/>
                <w:color w:val="131E29"/>
              </w:rPr>
              <w:t>Denominator:</w:t>
            </w: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220" w:type="dxa"/>
            <w:vAlign w:val="bottom"/>
            <w:gridSpan w:val="2"/>
            <w:shd w:val="clear" w:color="auto" w:fill="D2DCE5"/>
          </w:tcPr>
          <w:p>
            <w:pPr>
              <w:ind w:left="360"/>
              <w:spacing w:after="0"/>
              <w:rPr>
                <w:sz w:val="20"/>
                <w:szCs w:val="20"/>
                <w:color w:val="auto"/>
              </w:rPr>
            </w:pPr>
            <w:r>
              <w:rPr>
                <w:rFonts w:ascii="Arial" w:cs="Arial" w:eastAsia="Arial" w:hAnsi="Arial"/>
                <w:sz w:val="18"/>
                <w:szCs w:val="18"/>
                <w:color w:val="131E29"/>
              </w:rPr>
              <w:t>Number of shares used in basic computation</w:t>
            </w:r>
          </w:p>
        </w:tc>
        <w:tc>
          <w:tcPr>
            <w:tcW w:w="160" w:type="dxa"/>
            <w:vAlign w:val="bottom"/>
            <w:shd w:val="clear" w:color="auto" w:fill="D2DCE5"/>
          </w:tcPr>
          <w:p>
            <w:pPr>
              <w:spacing w:after="0"/>
              <w:rPr>
                <w:sz w:val="24"/>
                <w:szCs w:val="24"/>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127,138</w:t>
            </w:r>
          </w:p>
        </w:tc>
        <w:tc>
          <w:tcPr>
            <w:tcW w:w="100" w:type="dxa"/>
            <w:vAlign w:val="bottom"/>
            <w:shd w:val="clear" w:color="auto" w:fill="D2DCE5"/>
          </w:tcPr>
          <w:p>
            <w:pPr>
              <w:spacing w:after="0"/>
              <w:rPr>
                <w:sz w:val="24"/>
                <w:szCs w:val="24"/>
                <w:color w:val="auto"/>
              </w:rPr>
            </w:pPr>
          </w:p>
        </w:tc>
        <w:tc>
          <w:tcPr>
            <w:tcW w:w="320" w:type="dxa"/>
            <w:vAlign w:val="bottom"/>
            <w:shd w:val="clear" w:color="auto" w:fill="D2DCE5"/>
          </w:tcPr>
          <w:p>
            <w:pPr>
              <w:spacing w:after="0"/>
              <w:rPr>
                <w:sz w:val="24"/>
                <w:szCs w:val="24"/>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120,810</w:t>
            </w:r>
          </w:p>
        </w:tc>
        <w:tc>
          <w:tcPr>
            <w:tcW w:w="0" w:type="dxa"/>
            <w:vAlign w:val="bottom"/>
          </w:tcPr>
          <w:p>
            <w:pPr>
              <w:spacing w:after="0"/>
              <w:rPr>
                <w:sz w:val="1"/>
                <w:szCs w:val="1"/>
                <w:color w:val="auto"/>
              </w:rPr>
            </w:pPr>
          </w:p>
        </w:tc>
      </w:tr>
      <w:tr>
        <w:trPr>
          <w:trHeight w:val="247"/>
        </w:trPr>
        <w:tc>
          <w:tcPr>
            <w:tcW w:w="8220" w:type="dxa"/>
            <w:vAlign w:val="bottom"/>
            <w:gridSpan w:val="2"/>
          </w:tcPr>
          <w:p>
            <w:pPr>
              <w:ind w:left="360"/>
              <w:spacing w:after="0"/>
              <w:rPr>
                <w:sz w:val="20"/>
                <w:szCs w:val="20"/>
                <w:color w:val="auto"/>
              </w:rPr>
            </w:pPr>
            <w:r>
              <w:rPr>
                <w:rFonts w:ascii="Arial" w:cs="Arial" w:eastAsia="Arial" w:hAnsi="Arial"/>
                <w:sz w:val="18"/>
                <w:szCs w:val="18"/>
                <w:color w:val="131E29"/>
              </w:rPr>
              <w:t>Add: weighted-average effect of dilutive securities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gridSpan w:val="2"/>
            <w:shd w:val="clear" w:color="auto" w:fill="D2DCE5"/>
          </w:tcPr>
          <w:p>
            <w:pPr>
              <w:ind w:left="460"/>
              <w:spacing w:after="0"/>
              <w:rPr>
                <w:sz w:val="20"/>
                <w:szCs w:val="20"/>
                <w:color w:val="auto"/>
              </w:rPr>
            </w:pPr>
            <w:r>
              <w:rPr>
                <w:rFonts w:ascii="Arial" w:cs="Arial" w:eastAsia="Arial" w:hAnsi="Arial"/>
                <w:sz w:val="18"/>
                <w:szCs w:val="18"/>
                <w:color w:val="131E29"/>
              </w:rPr>
              <w:t>RSUs</w:t>
            </w:r>
          </w:p>
        </w:tc>
        <w:tc>
          <w:tcPr>
            <w:tcW w:w="160" w:type="dxa"/>
            <w:vAlign w:val="bottom"/>
            <w:tcBorders>
              <w:bottom w:val="single" w:sz="8" w:color="auto"/>
            </w:tcBorders>
            <w:shd w:val="clear" w:color="auto" w:fill="D2DCE5"/>
          </w:tcPr>
          <w:p>
            <w:pPr>
              <w:spacing w:after="0"/>
              <w:rPr>
                <w:sz w:val="23"/>
                <w:szCs w:val="23"/>
                <w:color w:val="auto"/>
              </w:rPr>
            </w:pP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246</w:t>
            </w:r>
          </w:p>
        </w:tc>
        <w:tc>
          <w:tcPr>
            <w:tcW w:w="100" w:type="dxa"/>
            <w:vAlign w:val="bottom"/>
            <w:shd w:val="clear" w:color="auto" w:fill="D2DCE5"/>
          </w:tcPr>
          <w:p>
            <w:pPr>
              <w:spacing w:after="0"/>
              <w:rPr>
                <w:sz w:val="23"/>
                <w:szCs w:val="23"/>
                <w:color w:val="auto"/>
              </w:rPr>
            </w:pPr>
          </w:p>
        </w:tc>
        <w:tc>
          <w:tcPr>
            <w:tcW w:w="320" w:type="dxa"/>
            <w:vAlign w:val="bottom"/>
            <w:tcBorders>
              <w:bottom w:val="single" w:sz="8" w:color="auto"/>
            </w:tcBorders>
            <w:shd w:val="clear" w:color="auto" w:fill="D2DCE5"/>
          </w:tcPr>
          <w:p>
            <w:pPr>
              <w:spacing w:after="0"/>
              <w:rPr>
                <w:sz w:val="23"/>
                <w:szCs w:val="23"/>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698</w:t>
            </w:r>
          </w:p>
        </w:tc>
        <w:tc>
          <w:tcPr>
            <w:tcW w:w="0" w:type="dxa"/>
            <w:vAlign w:val="bottom"/>
          </w:tcPr>
          <w:p>
            <w:pPr>
              <w:spacing w:after="0"/>
              <w:rPr>
                <w:sz w:val="1"/>
                <w:szCs w:val="1"/>
                <w:color w:val="auto"/>
              </w:rPr>
            </w:pPr>
          </w:p>
        </w:tc>
      </w:tr>
      <w:tr>
        <w:trPr>
          <w:trHeight w:val="204"/>
        </w:trPr>
        <w:tc>
          <w:tcPr>
            <w:tcW w:w="8220" w:type="dxa"/>
            <w:vAlign w:val="bottom"/>
            <w:gridSpan w:val="2"/>
          </w:tcPr>
          <w:p>
            <w:pPr>
              <w:ind w:left="460"/>
              <w:spacing w:after="0" w:line="204" w:lineRule="exact"/>
              <w:rPr>
                <w:sz w:val="20"/>
                <w:szCs w:val="20"/>
                <w:color w:val="auto"/>
              </w:rPr>
            </w:pPr>
            <w:r>
              <w:rPr>
                <w:rFonts w:ascii="Arial" w:cs="Arial" w:eastAsia="Arial" w:hAnsi="Arial"/>
                <w:sz w:val="18"/>
                <w:szCs w:val="18"/>
                <w:color w:val="131E29"/>
              </w:rPr>
              <w:t>Weighted-average number of shares of Class A common stock outstanding used to calculate</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220" w:type="dxa"/>
            <w:vAlign w:val="bottom"/>
            <w:tcBorders>
              <w:bottom w:val="single" w:sz="8" w:color="D2DCE5"/>
            </w:tcBorders>
            <w:gridSpan w:val="2"/>
          </w:tcPr>
          <w:p>
            <w:pPr>
              <w:ind w:left="460"/>
              <w:spacing w:after="0"/>
              <w:rPr>
                <w:sz w:val="20"/>
                <w:szCs w:val="20"/>
                <w:color w:val="auto"/>
              </w:rPr>
            </w:pPr>
            <w:r>
              <w:rPr>
                <w:rFonts w:ascii="Arial" w:cs="Arial" w:eastAsia="Arial" w:hAnsi="Arial"/>
                <w:sz w:val="18"/>
                <w:szCs w:val="18"/>
                <w:color w:val="131E29"/>
              </w:rPr>
              <w:t>diluted net income per share</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127,384</w:t>
            </w:r>
          </w:p>
        </w:tc>
        <w:tc>
          <w:tcPr>
            <w:tcW w:w="100" w:type="dxa"/>
            <w:vAlign w:val="bottom"/>
            <w:tcBorders>
              <w:bottom w:val="single" w:sz="8" w:color="D2DCE5"/>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121,508</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Diluted net income per share attributable to common stockholders</w:t>
            </w:r>
          </w:p>
        </w:tc>
        <w:tc>
          <w:tcPr>
            <w:tcW w:w="1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w w:val="99"/>
              </w:rPr>
              <w:t>$</w:t>
            </w:r>
          </w:p>
        </w:tc>
        <w:tc>
          <w:tcPr>
            <w:tcW w:w="1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0.13</w:t>
            </w:r>
          </w:p>
        </w:tc>
        <w:tc>
          <w:tcPr>
            <w:tcW w:w="100" w:type="dxa"/>
            <w:vAlign w:val="bottom"/>
            <w:tcBorders>
              <w:bottom w:val="single" w:sz="8" w:color="D2DCE5"/>
            </w:tcBorders>
            <w:shd w:val="clear" w:color="auto" w:fill="D2DCE5"/>
          </w:tcPr>
          <w:p>
            <w:pPr>
              <w:spacing w:after="0"/>
              <w:rPr>
                <w:sz w:val="21"/>
                <w:szCs w:val="21"/>
                <w:color w:val="auto"/>
              </w:rPr>
            </w:pPr>
          </w:p>
        </w:tc>
        <w:tc>
          <w:tcPr>
            <w:tcW w:w="320" w:type="dxa"/>
            <w:vAlign w:val="bottom"/>
            <w:tcBorders>
              <w:bottom w:val="single" w:sz="8" w:color="auto"/>
            </w:tcBorders>
            <w:shd w:val="clear" w:color="auto" w:fill="D2DCE5"/>
          </w:tcPr>
          <w:p>
            <w:pPr>
              <w:jc w:val="right"/>
              <w:ind w:right="110"/>
              <w:spacing w:after="0"/>
              <w:rPr>
                <w:sz w:val="20"/>
                <w:szCs w:val="20"/>
                <w:color w:val="auto"/>
              </w:rPr>
            </w:pPr>
            <w:r>
              <w:rPr>
                <w:rFonts w:ascii="Arial" w:cs="Arial" w:eastAsia="Arial" w:hAnsi="Arial"/>
                <w:sz w:val="18"/>
                <w:szCs w:val="18"/>
                <w:b w:val="1"/>
                <w:bCs w:val="1"/>
                <w:color w:val="131E29"/>
                <w:w w:val="99"/>
              </w:rPr>
              <w:t>$</w:t>
            </w: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0.13</w:t>
            </w:r>
          </w:p>
        </w:tc>
        <w:tc>
          <w:tcPr>
            <w:tcW w:w="0" w:type="dxa"/>
            <w:vAlign w:val="bottom"/>
          </w:tcPr>
          <w:p>
            <w:pPr>
              <w:spacing w:after="0"/>
              <w:rPr>
                <w:sz w:val="1"/>
                <w:szCs w:val="1"/>
                <w:color w:val="auto"/>
              </w:rPr>
            </w:pPr>
          </w:p>
        </w:tc>
      </w:tr>
      <w:tr>
        <w:trPr>
          <w:trHeight w:val="20"/>
        </w:trPr>
        <w:tc>
          <w:tcPr>
            <w:tcW w:w="81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3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following Class A common stock equivalents were excluded from diluted net income per share in the periods presented because they were anti-dilutive:</w:t>
      </w:r>
    </w:p>
    <w:p>
      <w:pPr>
        <w:spacing w:after="0" w:line="153"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34925</wp:posOffset>
            </wp:positionV>
            <wp:extent cx="18942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(in thousands)</w:t>
            </w:r>
          </w:p>
        </w:tc>
        <w:tc>
          <w:tcPr>
            <w:tcW w:w="100" w:type="dxa"/>
            <w:vAlign w:val="bottom"/>
            <w:tcBorders>
              <w:bottom w:val="single" w:sz="8" w:color="D2DCE5"/>
            </w:tcBorders>
          </w:tcPr>
          <w:p>
            <w:pPr>
              <w:spacing w:after="0"/>
              <w:rPr>
                <w:sz w:val="22"/>
                <w:szCs w:val="22"/>
                <w:color w:val="auto"/>
              </w:rPr>
            </w:pPr>
          </w:p>
        </w:tc>
        <w:tc>
          <w:tcPr>
            <w:tcW w:w="144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1440" w:type="dxa"/>
            <w:vAlign w:val="bottom"/>
            <w:tcBorders>
              <w:bottom w:val="single" w:sz="8" w:color="D7282F"/>
            </w:tcBorders>
          </w:tcPr>
          <w:p>
            <w:pPr>
              <w:jc w:val="right"/>
              <w:ind w:right="430"/>
              <w:spacing w:after="0"/>
              <w:rPr>
                <w:sz w:val="20"/>
                <w:szCs w:val="20"/>
                <w:color w:val="auto"/>
              </w:rPr>
            </w:pPr>
            <w:r>
              <w:rPr>
                <w:rFonts w:ascii="Arial" w:cs="Arial" w:eastAsia="Arial" w:hAnsi="Arial"/>
                <w:sz w:val="18"/>
                <w:szCs w:val="18"/>
                <w:b w:val="1"/>
                <w:bCs w:val="1"/>
                <w:color w:val="131E29"/>
              </w:rPr>
              <w:t>2025</w:t>
            </w:r>
          </w:p>
        </w:tc>
      </w:tr>
      <w:tr>
        <w:trPr>
          <w:trHeight w:val="270"/>
        </w:trPr>
        <w:tc>
          <w:tcPr>
            <w:tcW w:w="82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RSUs</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222</w:t>
            </w:r>
          </w:p>
        </w:tc>
        <w:tc>
          <w:tcPr>
            <w:tcW w:w="100" w:type="dxa"/>
            <w:vAlign w:val="bottom"/>
            <w:shd w:val="clear" w:color="auto" w:fill="D2DCE5"/>
          </w:tcPr>
          <w:p>
            <w:pPr>
              <w:spacing w:after="0"/>
              <w:rPr>
                <w:sz w:val="23"/>
                <w:szCs w:val="23"/>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100</w:t>
            </w:r>
          </w:p>
        </w:tc>
      </w:tr>
      <w:tr>
        <w:trPr>
          <w:trHeight w:val="270"/>
        </w:trPr>
        <w:tc>
          <w:tcPr>
            <w:tcW w:w="826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PSUs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77</w:t>
            </w:r>
          </w:p>
        </w:tc>
        <w:tc>
          <w:tcPr>
            <w:tcW w:w="100" w:type="dxa"/>
            <w:vAlign w:val="bottom"/>
            <w:tcBorders>
              <w:bottom w:val="single" w:sz="8" w:color="D2DCE5"/>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43</w:t>
            </w:r>
          </w:p>
        </w:tc>
      </w:tr>
      <w:tr>
        <w:trPr>
          <w:trHeight w:val="248"/>
        </w:trPr>
        <w:tc>
          <w:tcPr>
            <w:tcW w:w="826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Total anti-dilutive securities</w:t>
            </w: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299</w:t>
            </w:r>
          </w:p>
        </w:tc>
        <w:tc>
          <w:tcPr>
            <w:tcW w:w="100" w:type="dxa"/>
            <w:vAlign w:val="bottom"/>
            <w:tcBorders>
              <w:bottom w:val="single" w:sz="8" w:color="D2DCE5"/>
            </w:tcBorders>
            <w:shd w:val="clear" w:color="auto" w:fill="D2DCE5"/>
          </w:tcPr>
          <w:p>
            <w:pPr>
              <w:spacing w:after="0"/>
              <w:rPr>
                <w:sz w:val="21"/>
                <w:szCs w:val="21"/>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143</w:t>
            </w:r>
          </w:p>
        </w:tc>
      </w:tr>
      <w:tr>
        <w:trPr>
          <w:trHeight w:val="20"/>
        </w:trPr>
        <w:tc>
          <w:tcPr>
            <w:tcW w:w="81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4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16 —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Purchase Obligations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enter into fixed-price and price-to-be-fixed green coffee purchase commitments. For both fixed-price and price-to-be-fixed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Guarantees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periodically provide guarantees to franchise partners for lease payments. As of March 31, 2026 and December 31, 2025, we had guaranteed approximately $7.7 million and $7.8 million, respectively, in franchise partners’ lease payments and have not established a liability for these guarantees as any liability arising from the guarantees is not material to the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Legal Proceedings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Any claim, proceeding, or litigation has an element of uncertainty, and an unfavorable outcome may have a material adverse effect on the Company’s financial condition, results of operations, or cash flows.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Liabilities Under Tax Receivable Agreements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March 31, 2026, Dutch Bros Inc. recognized $820.1 million of liabilities related to its obligations under the TRAs. Refer to NOTE 12 — Income Taxes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17 — Related Party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Related party transactions were as follows for the periods presented:</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2" w:lineRule="exact"/>
        <w:rPr>
          <w:sz w:val="20"/>
          <w:szCs w:val="20"/>
          <w:color w:val="auto"/>
        </w:rPr>
      </w:pPr>
    </w:p>
    <w:p>
      <w:pPr>
        <w:ind w:left="20" w:right="2520"/>
        <w:spacing w:after="0" w:line="350" w:lineRule="auto"/>
        <w:rPr>
          <w:sz w:val="20"/>
          <w:szCs w:val="20"/>
          <w:color w:val="auto"/>
        </w:rPr>
      </w:pPr>
      <w:r>
        <w:rPr>
          <w:rFonts w:ascii="Arial" w:cs="Arial" w:eastAsia="Arial" w:hAnsi="Arial"/>
          <w:sz w:val="18"/>
          <w:szCs w:val="18"/>
          <w:color w:val="131E29"/>
        </w:rPr>
        <w:t>Distributions and TRA payments to Co-Founder and Sponsor ¹ Donations to Dutch Bros Foundation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w:t>
      </w:r>
    </w:p>
    <w:p>
      <w:pPr>
        <w:ind w:left="80" w:hanging="72"/>
        <w:spacing w:after="0" w:line="229" w:lineRule="auto"/>
        <w:tabs>
          <w:tab w:leader="none" w:pos="80" w:val="left"/>
        </w:tabs>
        <w:numPr>
          <w:ilvl w:val="0"/>
          <w:numId w:val="17"/>
        </w:numPr>
        <w:rPr>
          <w:rFonts w:ascii="Arial" w:cs="Arial" w:eastAsia="Arial" w:hAnsi="Arial"/>
          <w:sz w:val="19"/>
          <w:szCs w:val="19"/>
          <w:color w:val="131E29"/>
          <w:vertAlign w:val="superscript"/>
        </w:rPr>
      </w:pPr>
      <w:r>
        <w:rPr>
          <w:rFonts w:ascii="Arial" w:cs="Arial" w:eastAsia="Arial" w:hAnsi="Arial"/>
          <w:sz w:val="14"/>
          <w:szCs w:val="14"/>
          <w:color w:val="131E29"/>
        </w:rPr>
        <w:t>See NOTE 12 — Income Taxes for further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34925</wp:posOffset>
            </wp:positionV>
            <wp:extent cx="19113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060" w:val="left"/>
        </w:tabs>
        <w:rPr>
          <w:sz w:val="20"/>
          <w:szCs w:val="20"/>
          <w:color w:val="auto"/>
        </w:rPr>
      </w:pPr>
      <w:r>
        <w:rPr>
          <w:rFonts w:ascii="Arial" w:cs="Arial" w:eastAsia="Arial" w:hAnsi="Arial"/>
          <w:sz w:val="18"/>
          <w:szCs w:val="18"/>
          <w:b w:val="1"/>
          <w:bCs w:val="1"/>
          <w:color w:val="131E29"/>
        </w:rPr>
        <w:t>2026</w:t>
      </w:r>
      <w:r>
        <w:rPr>
          <w:sz w:val="20"/>
          <w:szCs w:val="20"/>
          <w:color w:val="auto"/>
        </w:rPr>
        <w:tab/>
      </w:r>
      <w:r>
        <w:rPr>
          <w:rFonts w:ascii="Arial" w:cs="Arial" w:eastAsia="Arial" w:hAnsi="Arial"/>
          <w:sz w:val="18"/>
          <w:szCs w:val="18"/>
          <w:b w:val="1"/>
          <w:bCs w:val="1"/>
          <w:color w:val="131E29"/>
        </w:rPr>
        <w:t>2025</w:t>
      </w:r>
    </w:p>
    <w:p>
      <w:pPr>
        <w:spacing w:after="0" w:line="77" w:lineRule="exact"/>
        <w:rPr>
          <w:sz w:val="20"/>
          <w:szCs w:val="20"/>
          <w:color w:val="auto"/>
        </w:rPr>
      </w:pPr>
    </w:p>
    <w:p>
      <w:pPr>
        <w:spacing w:after="0"/>
        <w:tabs>
          <w:tab w:leader="none" w:pos="1060" w:val="left"/>
          <w:tab w:leader="none" w:pos="1540" w:val="left"/>
          <w:tab w:leader="none" w:pos="2700" w:val="left"/>
        </w:tabs>
        <w:rPr>
          <w:sz w:val="20"/>
          <w:szCs w:val="20"/>
          <w:color w:val="auto"/>
        </w:rPr>
      </w:pPr>
      <w:r>
        <w:rPr>
          <w:rFonts w:ascii="Arial" w:cs="Arial" w:eastAsia="Arial" w:hAnsi="Arial"/>
          <w:sz w:val="18"/>
          <w:szCs w:val="18"/>
          <w:color w:val="006098"/>
        </w:rPr>
        <w:t>$</w:t>
      </w:r>
      <w:r>
        <w:rPr>
          <w:sz w:val="20"/>
          <w:szCs w:val="20"/>
          <w:color w:val="auto"/>
        </w:rPr>
        <w:tab/>
      </w:r>
      <w:r>
        <w:rPr>
          <w:rFonts w:ascii="Arial" w:cs="Arial" w:eastAsia="Arial" w:hAnsi="Arial"/>
          <w:sz w:val="18"/>
          <w:szCs w:val="18"/>
          <w:color w:val="006098"/>
        </w:rPr>
        <w:t>921</w:t>
      </w:r>
      <w:r>
        <w:rPr>
          <w:rFonts w:ascii="Arial" w:cs="Arial" w:eastAsia="Arial" w:hAnsi="Arial"/>
          <w:sz w:val="18"/>
          <w:szCs w:val="18"/>
          <w:color w:val="131E29"/>
        </w:rPr>
        <w:tab/>
        <w:t>$</w:t>
      </w:r>
      <w:r>
        <w:rPr>
          <w:sz w:val="20"/>
          <w:szCs w:val="20"/>
          <w:color w:val="auto"/>
        </w:rPr>
        <w:tab/>
      </w:r>
      <w:r>
        <w:rPr>
          <w:rFonts w:ascii="Arial" w:cs="Arial" w:eastAsia="Arial" w:hAnsi="Arial"/>
          <w:sz w:val="17"/>
          <w:szCs w:val="17"/>
          <w:color w:val="131E29"/>
        </w:rPr>
        <w:t>71</w:t>
      </w:r>
    </w:p>
    <w:p>
      <w:pPr>
        <w:spacing w:after="0" w:line="63" w:lineRule="exact"/>
        <w:rPr>
          <w:sz w:val="20"/>
          <w:szCs w:val="20"/>
          <w:color w:val="auto"/>
        </w:rPr>
      </w:pPr>
    </w:p>
    <w:p>
      <w:pPr>
        <w:jc w:val="both"/>
        <w:ind w:left="920"/>
        <w:spacing w:after="0"/>
        <w:tabs>
          <w:tab w:leader="none" w:pos="2700" w:val="left"/>
        </w:tabs>
        <w:rPr>
          <w:sz w:val="20"/>
          <w:szCs w:val="20"/>
          <w:color w:val="auto"/>
        </w:rPr>
      </w:pPr>
      <w:r>
        <w:rPr>
          <w:rFonts w:ascii="Arial" w:cs="Arial" w:eastAsia="Arial" w:hAnsi="Arial"/>
          <w:sz w:val="18"/>
          <w:szCs w:val="18"/>
          <w:color w:val="006098"/>
        </w:rPr>
        <w:t>2,083</w:t>
      </w:r>
      <w:r>
        <w:rPr>
          <w:sz w:val="20"/>
          <w:szCs w:val="20"/>
          <w:color w:val="auto"/>
        </w:rPr>
        <w:tab/>
      </w:r>
      <w:r>
        <w:rPr>
          <w:rFonts w:ascii="Arial" w:cs="Arial" w:eastAsia="Arial" w:hAnsi="Arial"/>
          <w:sz w:val="18"/>
          <w:szCs w:val="18"/>
          <w:color w:val="131E29"/>
        </w:rPr>
        <w:t>63</w:t>
      </w:r>
    </w:p>
    <w:p>
      <w:pPr>
        <w:spacing w:after="0" w:line="745" w:lineRule="exact"/>
        <w:rPr>
          <w:sz w:val="20"/>
          <w:szCs w:val="20"/>
          <w:color w:val="auto"/>
        </w:rPr>
      </w:pPr>
    </w:p>
    <w:p>
      <w:pPr>
        <w:sectPr>
          <w:pgSz w:w="11900" w:h="16838" w:orient="portrait"/>
          <w:cols w:equalWidth="0" w:num="2">
            <w:col w:w="7520" w:space="720"/>
            <w:col w:w="3000"/>
          </w:cols>
          <w:pgMar w:left="320" w:top="130" w:right="339" w:bottom="1440" w:gutter="0" w:footer="0" w:header="0"/>
        </w:sectPr>
      </w:pP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 Dutch Bros Foundation is a not-for-profit organization founded by our Company that provides grants to other not-for-profit organizations throughout the communities we serve. Our Vice Chair, Chief Financial Officer, Chief People Officer, Chief Legal Officer, and SVP of Brand Marketing serve on the board of directors, our Vice Chair serves as the President, and our Chief Legal Officer serves as the Secretary-Treasurer.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NOTE 18 — Segment Reporting</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coffee shop sales to end consumers. The Franchising and other segment includes bean and product sales to franchise partners, initial franchise fees, royalties, and marketing fees related to the franchise partners, as well as sales of products through our website.</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131E29"/>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No changes have been made to our segments during the three months ended March 31, 2026. In addition, no customer represented 10% or more of total revenue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131E29"/>
        </w:rPr>
        <w:t>Financial information for our reportable segments was as follows for the periods presented:</w:t>
      </w:r>
    </w:p>
    <w:p>
      <w:pPr>
        <w:spacing w:after="0" w:line="225" w:lineRule="exact"/>
        <w:rPr>
          <w:sz w:val="20"/>
          <w:szCs w:val="20"/>
          <w:color w:val="auto"/>
        </w:rPr>
      </w:pPr>
    </w:p>
    <w:p>
      <w:pPr>
        <w:jc w:val="right"/>
        <w:ind w:right="54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34925</wp:posOffset>
            </wp:positionV>
            <wp:extent cx="23742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27"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(in thousands)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Revenues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Company-operated shops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Franchising and other</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131E29"/>
        </w:rPr>
        <w:t>Total revenues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Cost of sales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Company-operated shops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7"/>
          <w:szCs w:val="17"/>
          <w:color w:val="131E29"/>
        </w:rPr>
        <w:t>Beverage, food &amp; packaging</w:t>
      </w:r>
    </w:p>
    <w:p>
      <w:pPr>
        <w:spacing w:after="0" w:line="75" w:lineRule="exact"/>
        <w:rPr>
          <w:sz w:val="20"/>
          <w:szCs w:val="20"/>
          <w:color w:val="auto"/>
        </w:rPr>
      </w:pPr>
    </w:p>
    <w:p>
      <w:pPr>
        <w:ind w:left="300"/>
        <w:spacing w:after="0"/>
        <w:rPr>
          <w:sz w:val="20"/>
          <w:szCs w:val="20"/>
          <w:color w:val="auto"/>
        </w:rPr>
      </w:pPr>
      <w:r>
        <w:rPr>
          <w:rFonts w:ascii="Arial" w:cs="Arial" w:eastAsia="Arial" w:hAnsi="Arial"/>
          <w:sz w:val="18"/>
          <w:szCs w:val="18"/>
          <w:color w:val="131E29"/>
        </w:rPr>
        <w:t>Labor costs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131E29"/>
        </w:rPr>
        <w:t>Occupancy &amp; other costs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131E29"/>
        </w:rPr>
        <w:t>Pre-opening costs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131E29"/>
        </w:rPr>
        <w:t>Franchising and other</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8"/>
          <w:szCs w:val="18"/>
          <w:color w:val="131E29"/>
        </w:rPr>
        <w:t>Segment cost of sales</w:t>
      </w:r>
      <w:r>
        <w:rPr>
          <w:rFonts w:ascii="Arial" w:cs="Arial" w:eastAsia="Arial" w:hAnsi="Arial"/>
          <w:sz w:val="23"/>
          <w:szCs w:val="23"/>
          <w:color w:val="131E29"/>
          <w:vertAlign w:val="superscript"/>
        </w:rPr>
        <w:t>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31E29"/>
        </w:rPr>
        <w:t>Segment contribution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42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10"/>
              <w:spacing w:after="0"/>
              <w:rPr>
                <w:sz w:val="20"/>
                <w:szCs w:val="20"/>
                <w:color w:val="auto"/>
              </w:rPr>
            </w:pPr>
            <w:r>
              <w:rPr>
                <w:rFonts w:ascii="Arial" w:cs="Arial" w:eastAsia="Arial" w:hAnsi="Arial"/>
                <w:sz w:val="18"/>
                <w:szCs w:val="18"/>
                <w:b w:val="1"/>
                <w:bCs w:val="1"/>
                <w:color w:val="131E29"/>
              </w:rPr>
              <w:t>2026</w:t>
            </w:r>
          </w:p>
        </w:tc>
        <w:tc>
          <w:tcPr>
            <w:tcW w:w="100" w:type="dxa"/>
            <w:vAlign w:val="bottom"/>
          </w:tcPr>
          <w:p>
            <w:pPr>
              <w:spacing w:after="0"/>
              <w:rPr>
                <w:sz w:val="22"/>
                <w:szCs w:val="22"/>
                <w:color w:val="auto"/>
              </w:rPr>
            </w:pPr>
          </w:p>
        </w:tc>
        <w:tc>
          <w:tcPr>
            <w:tcW w:w="420" w:type="dxa"/>
            <w:vAlign w:val="bottom"/>
            <w:tcBorders>
              <w:bottom w:val="single" w:sz="8" w:color="D7282F"/>
            </w:tcBorders>
          </w:tcPr>
          <w:p>
            <w:pPr>
              <w:spacing w:after="0"/>
              <w:rPr>
                <w:sz w:val="22"/>
                <w:szCs w:val="22"/>
                <w:color w:val="auto"/>
              </w:rPr>
            </w:pPr>
          </w:p>
        </w:tc>
        <w:tc>
          <w:tcPr>
            <w:tcW w:w="1400" w:type="dxa"/>
            <w:vAlign w:val="bottom"/>
            <w:tcBorders>
              <w:bottom w:val="single" w:sz="8" w:color="D7282F"/>
            </w:tcBorders>
          </w:tcPr>
          <w:p>
            <w:pPr>
              <w:jc w:val="right"/>
              <w:ind w:right="630"/>
              <w:spacing w:after="0"/>
              <w:rPr>
                <w:sz w:val="20"/>
                <w:szCs w:val="20"/>
                <w:color w:val="auto"/>
              </w:rPr>
            </w:pPr>
            <w:r>
              <w:rPr>
                <w:rFonts w:ascii="Arial" w:cs="Arial" w:eastAsia="Arial" w:hAnsi="Arial"/>
                <w:sz w:val="18"/>
                <w:szCs w:val="18"/>
                <w:b w:val="1"/>
                <w:bCs w:val="1"/>
                <w:color w:val="131E29"/>
              </w:rPr>
              <w:t>2025</w:t>
            </w:r>
          </w:p>
        </w:tc>
      </w:tr>
      <w:tr>
        <w:trPr>
          <w:trHeight w:val="544"/>
        </w:trPr>
        <w:tc>
          <w:tcPr>
            <w:tcW w:w="420" w:type="dxa"/>
            <w:vAlign w:val="bottom"/>
          </w:tcPr>
          <w:p>
            <w:pPr>
              <w:jc w:val="right"/>
              <w:ind w:right="210"/>
              <w:spacing w:after="0"/>
              <w:rPr>
                <w:sz w:val="20"/>
                <w:szCs w:val="20"/>
                <w:color w:val="auto"/>
              </w:rPr>
            </w:pPr>
            <w:r>
              <w:rPr>
                <w:rFonts w:ascii="Arial" w:cs="Arial" w:eastAsia="Arial" w:hAnsi="Arial"/>
                <w:sz w:val="18"/>
                <w:szCs w:val="18"/>
                <w:color w:val="006098"/>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006098"/>
              </w:rPr>
              <w:t>429,057</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131E29"/>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131E29"/>
              </w:rPr>
              <w:t>326,421</w:t>
            </w:r>
          </w:p>
        </w:tc>
      </w:tr>
      <w:tr>
        <w:trPr>
          <w:trHeight w:val="266"/>
        </w:trPr>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35,355</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28,731</w:t>
            </w:r>
          </w:p>
        </w:tc>
      </w:tr>
      <w:tr>
        <w:trPr>
          <w:trHeight w:val="250"/>
        </w:trPr>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464,412</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355,152</w:t>
            </w:r>
          </w:p>
        </w:tc>
      </w:tr>
      <w:tr>
        <w:trPr>
          <w:trHeight w:val="794"/>
        </w:trPr>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06098"/>
              </w:rPr>
              <w:t>112,322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81,379</w:t>
            </w:r>
          </w:p>
        </w:tc>
      </w:tr>
      <w:tr>
        <w:trPr>
          <w:trHeight w:val="270"/>
        </w:trPr>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06098"/>
              </w:rPr>
              <w:t>112,305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89,439</w:t>
            </w:r>
          </w:p>
        </w:tc>
      </w:tr>
      <w:tr>
        <w:trPr>
          <w:trHeight w:val="270"/>
        </w:trPr>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06098"/>
              </w:rPr>
              <w:t>76,785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53,927</w:t>
            </w:r>
          </w:p>
        </w:tc>
      </w:tr>
      <w:tr>
        <w:trPr>
          <w:trHeight w:val="270"/>
        </w:trPr>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06098"/>
              </w:rPr>
              <w:t>6,341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131E29"/>
              </w:rPr>
              <w:t>5,611</w:t>
            </w:r>
          </w:p>
        </w:tc>
      </w:tr>
      <w:tr>
        <w:trPr>
          <w:trHeight w:val="266"/>
        </w:trPr>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12,358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8,775</w:t>
            </w:r>
          </w:p>
        </w:tc>
      </w:tr>
      <w:tr>
        <w:trPr>
          <w:trHeight w:val="250"/>
        </w:trPr>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320,111</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239,131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-1722120</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-1379220</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-1036320</wp:posOffset>
            </wp:positionV>
            <wp:extent cx="71323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-693420</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-350520</wp:posOffset>
            </wp:positionV>
            <wp:extent cx="71323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-8255</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-4756785</wp:posOffset>
            </wp:positionH>
            <wp:positionV relativeFrom="paragraph">
              <wp:posOffset>-2073910</wp:posOffset>
            </wp:positionV>
            <wp:extent cx="7132320" cy="1797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6780" w:space="720"/>
            <w:col w:w="374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7500" w:type="dxa"/>
            <w:vAlign w:val="bottom"/>
          </w:tcPr>
          <w:p>
            <w:pPr>
              <w:ind w:left="140"/>
              <w:spacing w:after="0"/>
              <w:rPr>
                <w:sz w:val="20"/>
                <w:szCs w:val="20"/>
                <w:color w:val="auto"/>
              </w:rPr>
            </w:pPr>
            <w:r>
              <w:rPr>
                <w:rFonts w:ascii="Arial" w:cs="Arial" w:eastAsia="Arial" w:hAnsi="Arial"/>
                <w:sz w:val="18"/>
                <w:szCs w:val="18"/>
                <w:color w:val="131E29"/>
              </w:rPr>
              <w:t>Company-operated shops</w:t>
            </w:r>
          </w:p>
        </w:tc>
        <w:tc>
          <w:tcPr>
            <w:tcW w:w="6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121,304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96,065</w:t>
            </w:r>
          </w:p>
        </w:tc>
      </w:tr>
      <w:tr>
        <w:trPr>
          <w:trHeight w:val="270"/>
        </w:trPr>
        <w:tc>
          <w:tcPr>
            <w:tcW w:w="7500" w:type="dxa"/>
            <w:vAlign w:val="bottom"/>
            <w:shd w:val="clear" w:color="auto" w:fill="D2DCE5"/>
          </w:tcPr>
          <w:p>
            <w:pPr>
              <w:ind w:left="140"/>
              <w:spacing w:after="0"/>
              <w:rPr>
                <w:sz w:val="20"/>
                <w:szCs w:val="20"/>
                <w:color w:val="auto"/>
              </w:rPr>
            </w:pPr>
            <w:r>
              <w:rPr>
                <w:rFonts w:ascii="Arial" w:cs="Arial" w:eastAsia="Arial" w:hAnsi="Arial"/>
                <w:sz w:val="18"/>
                <w:szCs w:val="18"/>
                <w:color w:val="131E29"/>
              </w:rPr>
              <w:t>Franchising and other</w:t>
            </w:r>
          </w:p>
        </w:tc>
        <w:tc>
          <w:tcPr>
            <w:tcW w:w="60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22,997</w:t>
            </w:r>
          </w:p>
        </w:tc>
        <w:tc>
          <w:tcPr>
            <w:tcW w:w="100" w:type="dxa"/>
            <w:vAlign w:val="bottom"/>
            <w:shd w:val="clear" w:color="auto" w:fill="D2DCE5"/>
          </w:tcPr>
          <w:p>
            <w:pPr>
              <w:spacing w:after="0"/>
              <w:rPr>
                <w:sz w:val="23"/>
                <w:szCs w:val="23"/>
                <w:color w:val="auto"/>
              </w:rPr>
            </w:pPr>
          </w:p>
        </w:tc>
        <w:tc>
          <w:tcPr>
            <w:tcW w:w="600" w:type="dxa"/>
            <w:vAlign w:val="bottom"/>
            <w:tcBorders>
              <w:bottom w:val="single" w:sz="8" w:color="auto"/>
            </w:tcBorders>
            <w:shd w:val="clear" w:color="auto" w:fill="D2DCE5"/>
          </w:tcPr>
          <w:p>
            <w:pPr>
              <w:spacing w:after="0"/>
              <w:rPr>
                <w:sz w:val="23"/>
                <w:szCs w:val="23"/>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19,956</w:t>
            </w:r>
          </w:p>
        </w:tc>
      </w:tr>
      <w:tr>
        <w:trPr>
          <w:trHeight w:val="223"/>
        </w:trPr>
        <w:tc>
          <w:tcPr>
            <w:tcW w:w="7500" w:type="dxa"/>
            <w:vAlign w:val="bottom"/>
          </w:tcPr>
          <w:p>
            <w:pPr>
              <w:ind w:left="300"/>
              <w:spacing w:after="0"/>
              <w:rPr>
                <w:sz w:val="20"/>
                <w:szCs w:val="20"/>
                <w:color w:val="auto"/>
              </w:rPr>
            </w:pPr>
            <w:r>
              <w:rPr>
                <w:rFonts w:ascii="Arial" w:cs="Arial" w:eastAsia="Arial" w:hAnsi="Arial"/>
                <w:sz w:val="18"/>
                <w:szCs w:val="18"/>
                <w:b w:val="1"/>
                <w:bCs w:val="1"/>
                <w:color w:val="131E29"/>
              </w:rPr>
              <w:t>Total segment contribution</w:t>
            </w: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144,301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116,021</w:t>
            </w:r>
          </w:p>
        </w:tc>
      </w:tr>
      <w:tr>
        <w:trPr>
          <w:trHeight w:val="20"/>
        </w:trPr>
        <w:tc>
          <w:tcPr>
            <w:tcW w:w="7500" w:type="dxa"/>
            <w:vAlign w:val="bottom"/>
            <w:tcBorders>
              <w:bottom w:val="single" w:sz="8" w:color="D2DCE5"/>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500" w:type="dxa"/>
            <w:vAlign w:val="bottom"/>
            <w:shd w:val="clear" w:color="auto" w:fill="D2DCE5"/>
          </w:tcPr>
          <w:p>
            <w:pPr>
              <w:spacing w:after="0"/>
              <w:rPr>
                <w:sz w:val="20"/>
                <w:szCs w:val="20"/>
                <w:color w:val="auto"/>
              </w:rPr>
            </w:pPr>
          </w:p>
        </w:tc>
        <w:tc>
          <w:tcPr>
            <w:tcW w:w="600" w:type="dxa"/>
            <w:vAlign w:val="bottom"/>
            <w:shd w:val="clear" w:color="auto" w:fill="D2DCE5"/>
          </w:tcPr>
          <w:p>
            <w:pPr>
              <w:spacing w:after="0"/>
              <w:rPr>
                <w:sz w:val="20"/>
                <w:szCs w:val="20"/>
                <w:color w:val="auto"/>
              </w:rPr>
            </w:pPr>
          </w:p>
        </w:tc>
        <w:tc>
          <w:tcPr>
            <w:tcW w:w="12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600" w:type="dxa"/>
            <w:vAlign w:val="bottom"/>
            <w:shd w:val="clear" w:color="auto" w:fill="D2DCE5"/>
          </w:tcPr>
          <w:p>
            <w:pPr>
              <w:spacing w:after="0"/>
              <w:rPr>
                <w:sz w:val="20"/>
                <w:szCs w:val="20"/>
                <w:color w:val="auto"/>
              </w:rPr>
            </w:pPr>
          </w:p>
        </w:tc>
        <w:tc>
          <w:tcPr>
            <w:tcW w:w="1220" w:type="dxa"/>
            <w:vAlign w:val="bottom"/>
            <w:shd w:val="clear" w:color="auto" w:fill="D2DCE5"/>
          </w:tcPr>
          <w:p>
            <w:pPr>
              <w:spacing w:after="0"/>
              <w:rPr>
                <w:sz w:val="20"/>
                <w:szCs w:val="20"/>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131E29"/>
              </w:rPr>
              <w:t>Segment depreciation and amortization</w:t>
            </w: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(36,825)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(26,028)</w:t>
            </w:r>
          </w:p>
        </w:tc>
      </w:tr>
      <w:tr>
        <w:trPr>
          <w:trHeight w:val="270"/>
        </w:trPr>
        <w:tc>
          <w:tcPr>
            <w:tcW w:w="7500" w:type="dxa"/>
            <w:vAlign w:val="bottom"/>
            <w:shd w:val="clear" w:color="auto" w:fill="D2DCE5"/>
          </w:tcPr>
          <w:p>
            <w:pPr>
              <w:spacing w:after="0"/>
              <w:rPr>
                <w:sz w:val="23"/>
                <w:szCs w:val="23"/>
                <w:color w:val="auto"/>
              </w:rPr>
            </w:pPr>
          </w:p>
        </w:tc>
        <w:tc>
          <w:tcPr>
            <w:tcW w:w="60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600" w:type="dxa"/>
            <w:vAlign w:val="bottom"/>
            <w:shd w:val="clear" w:color="auto" w:fill="D2DCE5"/>
          </w:tcPr>
          <w:p>
            <w:pPr>
              <w:spacing w:after="0"/>
              <w:rPr>
                <w:sz w:val="23"/>
                <w:szCs w:val="23"/>
                <w:color w:val="auto"/>
              </w:rPr>
            </w:pPr>
          </w:p>
        </w:tc>
        <w:tc>
          <w:tcPr>
            <w:tcW w:w="1220" w:type="dxa"/>
            <w:vAlign w:val="bottom"/>
            <w:shd w:val="clear" w:color="auto" w:fill="D2DCE5"/>
          </w:tcPr>
          <w:p>
            <w:pPr>
              <w:spacing w:after="0"/>
              <w:rPr>
                <w:sz w:val="23"/>
                <w:szCs w:val="23"/>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131E29"/>
              </w:rPr>
              <w:t>Selling, general and administrative</w:t>
            </w: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6098"/>
              </w:rPr>
              <w:t>(73,176)</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131E29"/>
              </w:rPr>
              <w:t>(58,921)</w:t>
            </w:r>
          </w:p>
        </w:tc>
      </w:tr>
      <w:tr>
        <w:trPr>
          <w:trHeight w:val="270"/>
        </w:trPr>
        <w:tc>
          <w:tcPr>
            <w:tcW w:w="750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Interest expense, net</w:t>
            </w:r>
          </w:p>
        </w:tc>
        <w:tc>
          <w:tcPr>
            <w:tcW w:w="60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(7,220)</w:t>
            </w:r>
          </w:p>
        </w:tc>
        <w:tc>
          <w:tcPr>
            <w:tcW w:w="100" w:type="dxa"/>
            <w:vAlign w:val="bottom"/>
            <w:shd w:val="clear" w:color="auto" w:fill="D2DCE5"/>
          </w:tcPr>
          <w:p>
            <w:pPr>
              <w:spacing w:after="0"/>
              <w:rPr>
                <w:sz w:val="23"/>
                <w:szCs w:val="23"/>
                <w:color w:val="auto"/>
              </w:rPr>
            </w:pPr>
          </w:p>
        </w:tc>
        <w:tc>
          <w:tcPr>
            <w:tcW w:w="600" w:type="dxa"/>
            <w:vAlign w:val="bottom"/>
            <w:shd w:val="clear" w:color="auto" w:fill="D2DCE5"/>
          </w:tcPr>
          <w:p>
            <w:pPr>
              <w:spacing w:after="0"/>
              <w:rPr>
                <w:sz w:val="23"/>
                <w:szCs w:val="23"/>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(7,115)</w:t>
            </w:r>
          </w:p>
        </w:tc>
      </w:tr>
      <w:tr>
        <w:trPr>
          <w:trHeight w:val="270"/>
        </w:trPr>
        <w:tc>
          <w:tcPr>
            <w:tcW w:w="7500" w:type="dxa"/>
            <w:vAlign w:val="bottom"/>
            <w:tcBorders>
              <w:bottom w:val="single" w:sz="8" w:color="D2DCE5"/>
            </w:tcBorders>
          </w:tcPr>
          <w:p>
            <w:pPr>
              <w:ind w:left="20"/>
              <w:spacing w:after="0"/>
              <w:rPr>
                <w:sz w:val="20"/>
                <w:szCs w:val="20"/>
                <w:color w:val="auto"/>
              </w:rPr>
            </w:pPr>
            <w:r>
              <w:rPr>
                <w:rFonts w:ascii="Arial" w:cs="Arial" w:eastAsia="Arial" w:hAnsi="Arial"/>
                <w:sz w:val="18"/>
                <w:szCs w:val="18"/>
                <w:color w:val="131E29"/>
              </w:rPr>
              <w:t>Other expense, net</w:t>
            </w:r>
          </w:p>
        </w:tc>
        <w:tc>
          <w:tcPr>
            <w:tcW w:w="6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(75)</w:t>
            </w:r>
          </w:p>
        </w:tc>
        <w:tc>
          <w:tcPr>
            <w:tcW w:w="100" w:type="dxa"/>
            <w:vAlign w:val="bottom"/>
            <w:tcBorders>
              <w:bottom w:val="single" w:sz="8" w:color="D2DCE5"/>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(18)</w:t>
            </w:r>
          </w:p>
        </w:tc>
      </w:tr>
      <w:tr>
        <w:trPr>
          <w:trHeight w:val="248"/>
        </w:trPr>
        <w:tc>
          <w:tcPr>
            <w:tcW w:w="7500" w:type="dxa"/>
            <w:vAlign w:val="bottom"/>
            <w:tcBorders>
              <w:bottom w:val="single" w:sz="8" w:color="D2DCE5"/>
            </w:tcBorders>
            <w:shd w:val="clear" w:color="auto" w:fill="D2DCE5"/>
          </w:tcPr>
          <w:p>
            <w:pPr>
              <w:ind w:left="300"/>
              <w:spacing w:after="0"/>
              <w:rPr>
                <w:sz w:val="20"/>
                <w:szCs w:val="20"/>
                <w:color w:val="auto"/>
              </w:rPr>
            </w:pPr>
            <w:r>
              <w:rPr>
                <w:rFonts w:ascii="Arial" w:cs="Arial" w:eastAsia="Arial" w:hAnsi="Arial"/>
                <w:sz w:val="18"/>
                <w:szCs w:val="18"/>
                <w:b w:val="1"/>
                <w:bCs w:val="1"/>
                <w:color w:val="131E29"/>
              </w:rPr>
              <w:t>Income before income taxes</w:t>
            </w:r>
          </w:p>
        </w:tc>
        <w:tc>
          <w:tcPr>
            <w:tcW w:w="600" w:type="dxa"/>
            <w:vAlign w:val="bottom"/>
            <w:tcBorders>
              <w:bottom w:val="single" w:sz="8" w:color="auto"/>
            </w:tcBorders>
            <w:shd w:val="clear" w:color="auto" w:fill="D2DCE5"/>
          </w:tcPr>
          <w:p>
            <w:pPr>
              <w:jc w:val="right"/>
              <w:ind w:right="390"/>
              <w:spacing w:after="0"/>
              <w:rPr>
                <w:sz w:val="20"/>
                <w:szCs w:val="20"/>
                <w:color w:val="auto"/>
              </w:rPr>
            </w:pPr>
            <w:r>
              <w:rPr>
                <w:rFonts w:ascii="Arial" w:cs="Arial" w:eastAsia="Arial" w:hAnsi="Arial"/>
                <w:sz w:val="18"/>
                <w:szCs w:val="18"/>
                <w:b w:val="1"/>
                <w:bCs w:val="1"/>
                <w:color w:val="006098"/>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27,005</w:t>
            </w:r>
          </w:p>
        </w:tc>
        <w:tc>
          <w:tcPr>
            <w:tcW w:w="100" w:type="dxa"/>
            <w:vAlign w:val="bottom"/>
            <w:tcBorders>
              <w:bottom w:val="single" w:sz="8" w:color="D2DCE5"/>
            </w:tcBorders>
            <w:shd w:val="clear" w:color="auto" w:fill="D2DCE5"/>
          </w:tcPr>
          <w:p>
            <w:pPr>
              <w:spacing w:after="0"/>
              <w:rPr>
                <w:sz w:val="21"/>
                <w:szCs w:val="21"/>
                <w:color w:val="auto"/>
              </w:rPr>
            </w:pPr>
          </w:p>
        </w:tc>
        <w:tc>
          <w:tcPr>
            <w:tcW w:w="600" w:type="dxa"/>
            <w:vAlign w:val="bottom"/>
            <w:tcBorders>
              <w:bottom w:val="single" w:sz="8" w:color="auto"/>
            </w:tcBorders>
            <w:shd w:val="clear" w:color="auto" w:fill="D2DCE5"/>
          </w:tcPr>
          <w:p>
            <w:pPr>
              <w:jc w:val="right"/>
              <w:ind w:right="390"/>
              <w:spacing w:after="0"/>
              <w:rPr>
                <w:sz w:val="20"/>
                <w:szCs w:val="20"/>
                <w:color w:val="auto"/>
              </w:rPr>
            </w:pPr>
            <w:r>
              <w:rPr>
                <w:rFonts w:ascii="Arial" w:cs="Arial" w:eastAsia="Arial" w:hAnsi="Arial"/>
                <w:sz w:val="18"/>
                <w:szCs w:val="18"/>
                <w:b w:val="1"/>
                <w:bCs w:val="1"/>
                <w:color w:val="131E29"/>
                <w:w w:val="99"/>
              </w:rPr>
              <w:t>$</w:t>
            </w: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23,939</w:t>
            </w:r>
          </w:p>
        </w:tc>
      </w:tr>
      <w:tr>
        <w:trPr>
          <w:trHeight w:val="20"/>
        </w:trPr>
        <w:tc>
          <w:tcPr>
            <w:tcW w:w="750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00" w:type="dxa"/>
            <w:vAlign w:val="bottom"/>
            <w:tcBorders>
              <w:top w:val="single" w:sz="8" w:color="D2DCE5"/>
              <w:bottom w:val="single" w:sz="8" w:color="auto"/>
            </w:tcBorders>
          </w:tcPr>
          <w:p>
            <w:pPr>
              <w:spacing w:after="0" w:line="20" w:lineRule="exact"/>
              <w:rPr>
                <w:sz w:val="1"/>
                <w:szCs w:val="1"/>
                <w:color w:val="auto"/>
              </w:rPr>
            </w:pPr>
          </w:p>
        </w:tc>
        <w:tc>
          <w:tcPr>
            <w:tcW w:w="1220" w:type="dxa"/>
            <w:vAlign w:val="bottom"/>
            <w:tcBorders>
              <w:top w:val="single" w:sz="8" w:color="D2DCE5"/>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__________________</w:t>
      </w:r>
    </w:p>
    <w:p>
      <w:pPr>
        <w:ind w:left="80" w:hanging="72"/>
        <w:spacing w:after="0" w:line="229" w:lineRule="auto"/>
        <w:tabs>
          <w:tab w:leader="none" w:pos="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Segment cost of sales for this presentation excludes the impact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D7282F"/>
        </w:rPr>
        <w:t>ITEM 2. MANAGEMENT’S DISCUSSION AND ANALYSIS OF FINANCIAL CONDITION AND RESULTS OF OPERATIONS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131E29"/>
        </w:rPr>
        <w:t>Reconciliation of GAAP to non-GAAP results is provided in the section “Non-GAAP Financial Measures” in Part I, Item 2 “Management’s Discussion and Analysis of Financial Condition and Results of Operations”. Non-GAAP financial measures included herein are segment contribution. EBITDA, adjusted EBITDA, and adjusted selling, general and administrative.</w:t>
      </w:r>
    </w:p>
    <w:p>
      <w:pPr>
        <w:spacing w:after="0" w:line="112" w:lineRule="exact"/>
        <w:rPr>
          <w:sz w:val="20"/>
          <w:szCs w:val="20"/>
          <w:color w:val="auto"/>
        </w:rPr>
      </w:pPr>
    </w:p>
    <w:p>
      <w:pPr>
        <w:jc w:val="center"/>
        <w:ind w:left="340" w:right="440"/>
        <w:spacing w:after="0" w:line="301" w:lineRule="auto"/>
        <w:rPr>
          <w:sz w:val="20"/>
          <w:szCs w:val="20"/>
          <w:color w:val="auto"/>
        </w:rPr>
      </w:pPr>
      <w:r>
        <w:rPr>
          <w:rFonts w:ascii="Arial" w:cs="Arial" w:eastAsia="Arial" w:hAnsi="Arial"/>
          <w:sz w:val="25"/>
          <w:szCs w:val="25"/>
          <w:b w:val="1"/>
          <w:bCs w:val="1"/>
          <w:color w:val="00416B"/>
        </w:rPr>
        <w:t>Index to Management’s Discussion and Analysis of Financial Condition and Results of Operations</w:t>
      </w:r>
    </w:p>
    <w:tbl>
      <w:tblPr>
        <w:tblLayout w:type="fixed"/>
        <w:tblInd w:w="0" w:type="dxa"/>
        <w:tblCellMar>
          <w:top w:w="0" w:type="dxa"/>
          <w:left w:w="0" w:type="dxa"/>
          <w:bottom w:w="0" w:type="dxa"/>
          <w:right w:w="0" w:type="dxa"/>
        </w:tblCellMar>
      </w:tblPr>
      <w:tr>
        <w:trPr>
          <w:trHeight w:val="255"/>
        </w:trPr>
        <w:tc>
          <w:tcPr>
            <w:tcW w:w="10060" w:type="dxa"/>
            <w:vAlign w:val="bottom"/>
            <w:tcBorders>
              <w:bottom w:val="single" w:sz="8" w:color="D7282F"/>
            </w:tcBorders>
          </w:tcPr>
          <w:p>
            <w:pPr>
              <w:ind w:left="20"/>
              <w:spacing w:after="0"/>
              <w:rPr>
                <w:sz w:val="20"/>
                <w:szCs w:val="20"/>
                <w:color w:val="auto"/>
              </w:rPr>
            </w:pPr>
            <w:r>
              <w:rPr>
                <w:rFonts w:ascii="Arial" w:cs="Arial" w:eastAsia="Arial" w:hAnsi="Arial"/>
                <w:sz w:val="18"/>
                <w:szCs w:val="18"/>
                <w:b w:val="1"/>
                <w:bCs w:val="1"/>
                <w:color w:val="006098"/>
              </w:rPr>
              <w:t>Section</w:t>
            </w:r>
          </w:p>
        </w:tc>
        <w:tc>
          <w:tcPr>
            <w:tcW w:w="100" w:type="dxa"/>
            <w:vAlign w:val="bottom"/>
            <w:tcBorders>
              <w:bottom w:val="single" w:sz="8" w:color="D2DCE5"/>
            </w:tcBorders>
          </w:tcPr>
          <w:p>
            <w:pPr>
              <w:spacing w:after="0"/>
              <w:rPr>
                <w:sz w:val="22"/>
                <w:szCs w:val="22"/>
                <w:color w:val="auto"/>
              </w:rPr>
            </w:pPr>
          </w:p>
        </w:tc>
        <w:tc>
          <w:tcPr>
            <w:tcW w:w="1080" w:type="dxa"/>
            <w:vAlign w:val="bottom"/>
            <w:tcBorders>
              <w:bottom w:val="single" w:sz="8" w:color="D7282F"/>
            </w:tcBorders>
          </w:tcPr>
          <w:p>
            <w:pPr>
              <w:jc w:val="center"/>
              <w:spacing w:after="0"/>
              <w:rPr>
                <w:sz w:val="20"/>
                <w:szCs w:val="20"/>
                <w:color w:val="auto"/>
              </w:rPr>
            </w:pPr>
            <w:r>
              <w:rPr>
                <w:rFonts w:ascii="Arial" w:cs="Arial" w:eastAsia="Arial" w:hAnsi="Arial"/>
                <w:sz w:val="18"/>
                <w:szCs w:val="18"/>
                <w:b w:val="1"/>
                <w:bCs w:val="1"/>
                <w:color w:val="006098"/>
              </w:rPr>
              <w:t>Page</w:t>
            </w: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Overview</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29</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Impact of Global Events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Results of Operations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30</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Key Performance Indicators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Company-operated Shops Results</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33</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Franchising and Other Segment Performance</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35</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Other Expense</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35</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1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8"/>
                <w:szCs w:val="18"/>
                <w:color w:val="auto"/>
                <w:w w:val="99"/>
              </w:rPr>
              <w:t>35</w:t>
            </w:r>
          </w:p>
        </w:tc>
      </w:tr>
      <w:tr>
        <w:trPr>
          <w:trHeight w:val="247"/>
        </w:trPr>
        <w:tc>
          <w:tcPr>
            <w:tcW w:w="10160" w:type="dxa"/>
            <w:vAlign w:val="bottom"/>
            <w:gridSpan w:val="2"/>
          </w:tcPr>
          <w:p>
            <w:pPr>
              <w:ind w:left="20"/>
              <w:spacing w:after="0"/>
              <w:rPr>
                <w:sz w:val="20"/>
                <w:szCs w:val="20"/>
                <w:color w:val="auto"/>
              </w:rPr>
            </w:pPr>
            <w:r>
              <w:rPr>
                <w:rFonts w:ascii="Arial" w:cs="Arial" w:eastAsia="Arial" w:hAnsi="Arial"/>
                <w:sz w:val="18"/>
                <w:szCs w:val="18"/>
                <w:color w:val="auto"/>
              </w:rPr>
              <w:t>Liquidity and Capital Resources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3"/>
        </w:trPr>
        <w:tc>
          <w:tcPr>
            <w:tcW w:w="10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101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auto"/>
              </w:rPr>
              <w:t>Non-GAAP Financial Measures</w:t>
            </w:r>
          </w:p>
        </w:tc>
        <w:tc>
          <w:tcPr>
            <w:tcW w:w="1080" w:type="dxa"/>
            <w:vAlign w:val="bottom"/>
            <w:shd w:val="clear" w:color="auto" w:fill="D2DCE5"/>
          </w:tcPr>
          <w:p>
            <w:pPr>
              <w:jc w:val="center"/>
              <w:spacing w:after="0"/>
              <w:rPr>
                <w:sz w:val="20"/>
                <w:szCs w:val="20"/>
                <w:color w:val="auto"/>
              </w:rPr>
            </w:pPr>
            <w:r>
              <w:rPr>
                <w:rFonts w:ascii="Arial" w:cs="Arial" w:eastAsia="Arial" w:hAnsi="Arial"/>
                <w:sz w:val="18"/>
                <w:szCs w:val="18"/>
                <w:color w:val="auto"/>
                <w:w w:val="99"/>
              </w:rPr>
              <w:t>37</w:t>
            </w:r>
          </w:p>
        </w:tc>
      </w:tr>
      <w:tr>
        <w:trPr>
          <w:trHeight w:val="23"/>
        </w:trPr>
        <w:tc>
          <w:tcPr>
            <w:tcW w:w="1006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08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Overview</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Global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General Macroeconomic Uncertainties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a retailer that is dependent upon consumer discretionary spending, our results of operations are sensitive to changes in macroeconomic conditions. Inflation or consumer recession concerns, coupled with a rise in the U.S. unemployment rate, may have a material adverse effect on our business, financial condition or results of operations. Our customers may have or in the future may have less money available for discretionary purchases and may reduce or stop purchasing our products.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On a macro level, conditions, including changes in tariffs, tax laws, interest rates, inflation, commodity costs, geopolitical conflicts, and significant weather events,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Minimum Wage Increases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131E29"/>
        </w:rPr>
        <w:t>We expect pressures from minimum wage increases to continue to affect our operating results in the foreseeable future. Several states that we operate in have increased their minimum wage requirements in recent years or have enacted increases that will go into effect 2026.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Results of Operations</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of March 31, 2026, we had 1,177 systemwide shops in 25 states, an increase of approximately 16.3% from the same period in the prior year. For the three months ended March 31, 2026, we generated $464.4 million of revenue, $23.7 million of net income, and $0.13 of income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51435</wp:posOffset>
            </wp:positionV>
            <wp:extent cx="5143500" cy="4826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860" w:type="dxa"/>
            <w:vAlign w:val="bottom"/>
            <w:tcBorders>
              <w:bottom w:val="single" w:sz="8" w:color="D7282F"/>
            </w:tcBorders>
          </w:tcPr>
          <w:p>
            <w:pPr>
              <w:spacing w:after="0"/>
              <w:rPr>
                <w:sz w:val="22"/>
                <w:szCs w:val="22"/>
                <w:color w:val="auto"/>
              </w:rPr>
            </w:pPr>
          </w:p>
        </w:tc>
        <w:tc>
          <w:tcPr>
            <w:tcW w:w="80" w:type="dxa"/>
            <w:vAlign w:val="bottom"/>
            <w:tcBorders>
              <w:bottom w:val="single" w:sz="8" w:color="D2DCE5"/>
            </w:tcBorders>
          </w:tcPr>
          <w:p>
            <w:pPr>
              <w:spacing w:after="0"/>
              <w:rPr>
                <w:sz w:val="22"/>
                <w:szCs w:val="22"/>
                <w:color w:val="auto"/>
              </w:rPr>
            </w:pPr>
          </w:p>
        </w:tc>
        <w:tc>
          <w:tcPr>
            <w:tcW w:w="2300" w:type="dxa"/>
            <w:vAlign w:val="bottom"/>
            <w:tcBorders>
              <w:bottom w:val="single" w:sz="8" w:color="D7282F"/>
            </w:tcBorders>
          </w:tcPr>
          <w:p>
            <w:pPr>
              <w:jc w:val="right"/>
              <w:ind w:right="510"/>
              <w:spacing w:after="0"/>
              <w:rPr>
                <w:sz w:val="20"/>
                <w:szCs w:val="20"/>
                <w:color w:val="auto"/>
              </w:rPr>
            </w:pPr>
            <w:r>
              <w:rPr>
                <w:rFonts w:ascii="Arial" w:cs="Arial" w:eastAsia="Arial" w:hAnsi="Arial"/>
                <w:sz w:val="18"/>
                <w:szCs w:val="18"/>
                <w:b w:val="1"/>
                <w:bCs w:val="1"/>
                <w:color w:val="131E29"/>
              </w:rPr>
              <w:t>2026 vs 2025</w:t>
            </w:r>
          </w:p>
        </w:tc>
      </w:tr>
      <w:tr>
        <w:trPr>
          <w:trHeight w:val="270"/>
        </w:trPr>
        <w:tc>
          <w:tcPr>
            <w:tcW w:w="89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Increase in total shops</w:t>
            </w:r>
          </w:p>
        </w:tc>
        <w:tc>
          <w:tcPr>
            <w:tcW w:w="23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16.3 %</w:t>
            </w:r>
          </w:p>
        </w:tc>
      </w:tr>
      <w:tr>
        <w:trPr>
          <w:trHeight w:val="274"/>
        </w:trPr>
        <w:tc>
          <w:tcPr>
            <w:tcW w:w="8940" w:type="dxa"/>
            <w:vAlign w:val="bottom"/>
            <w:gridSpan w:val="2"/>
          </w:tcPr>
          <w:p>
            <w:pPr>
              <w:ind w:left="20"/>
              <w:spacing w:after="0"/>
              <w:rPr>
                <w:sz w:val="20"/>
                <w:szCs w:val="20"/>
                <w:color w:val="auto"/>
              </w:rPr>
            </w:pPr>
            <w:r>
              <w:rPr>
                <w:rFonts w:ascii="Arial" w:cs="Arial" w:eastAsia="Arial" w:hAnsi="Arial"/>
                <w:sz w:val="18"/>
                <w:szCs w:val="18"/>
                <w:color w:val="131E29"/>
              </w:rPr>
              <w:t>Increase in total revenue</w:t>
            </w:r>
          </w:p>
        </w:tc>
        <w:tc>
          <w:tcPr>
            <w:tcW w:w="2300" w:type="dxa"/>
            <w:vAlign w:val="bottom"/>
          </w:tcPr>
          <w:p>
            <w:pPr>
              <w:jc w:val="right"/>
              <w:spacing w:after="0"/>
              <w:rPr>
                <w:sz w:val="20"/>
                <w:szCs w:val="20"/>
                <w:color w:val="auto"/>
              </w:rPr>
            </w:pPr>
            <w:r>
              <w:rPr>
                <w:rFonts w:ascii="Arial" w:cs="Arial" w:eastAsia="Arial" w:hAnsi="Arial"/>
                <w:sz w:val="18"/>
                <w:szCs w:val="18"/>
                <w:color w:val="131E29"/>
              </w:rPr>
              <w:t>30.8 %</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Key Performance Indicators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The key performance indicators that we use to effectively manage and evaluate our business are as follows:</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34925</wp:posOffset>
            </wp:positionV>
            <wp:extent cx="25285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5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c>
          <w:tcPr>
            <w:tcW w:w="1500" w:type="dxa"/>
            <w:vAlign w:val="bottom"/>
            <w:tcBorders>
              <w:bottom w:val="single" w:sz="8" w:color="D7282F"/>
            </w:tcBorders>
          </w:tcPr>
          <w:p>
            <w:pPr>
              <w:jc w:val="right"/>
              <w:ind w:right="690"/>
              <w:spacing w:after="0"/>
              <w:rPr>
                <w:sz w:val="20"/>
                <w:szCs w:val="20"/>
                <w:color w:val="auto"/>
              </w:rPr>
            </w:pPr>
            <w:r>
              <w:rPr>
                <w:rFonts w:ascii="Arial" w:cs="Arial" w:eastAsia="Arial" w:hAnsi="Arial"/>
                <w:sz w:val="18"/>
                <w:szCs w:val="18"/>
                <w:b w:val="1"/>
                <w:bCs w:val="1"/>
                <w:color w:val="131E29"/>
              </w:rPr>
              <w:t>2025</w:t>
            </w:r>
          </w:p>
        </w:tc>
      </w:tr>
      <w:tr>
        <w:trPr>
          <w:trHeight w:val="27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beginning of period</w:t>
            </w: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r>
      <w:tr>
        <w:trPr>
          <w:trHeight w:val="270"/>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44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006098"/>
              </w:rPr>
              <w:t>811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131E29"/>
              </w:rPr>
              <w:t>670</w:t>
            </w: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006098"/>
              </w:rPr>
              <w:t>325</w:t>
            </w:r>
          </w:p>
        </w:tc>
        <w:tc>
          <w:tcPr>
            <w:tcW w:w="100" w:type="dxa"/>
            <w:vAlign w:val="bottom"/>
            <w:shd w:val="clear" w:color="auto" w:fill="D2DCE5"/>
          </w:tcPr>
          <w:p>
            <w:pPr>
              <w:spacing w:after="0"/>
              <w:rPr>
                <w:sz w:val="23"/>
                <w:szCs w:val="23"/>
                <w:color w:val="auto"/>
              </w:rPr>
            </w:pP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rPr>
              <w:t>312</w:t>
            </w:r>
          </w:p>
        </w:tc>
      </w:tr>
      <w:tr>
        <w:trPr>
          <w:trHeight w:val="223"/>
        </w:trPr>
        <w:tc>
          <w:tcPr>
            <w:tcW w:w="7260" w:type="dxa"/>
            <w:vAlign w:val="bottom"/>
            <w:gridSpan w:val="2"/>
          </w:tcPr>
          <w:p>
            <w:pPr>
              <w:ind w:left="360"/>
              <w:spacing w:after="0"/>
              <w:rPr>
                <w:sz w:val="20"/>
                <w:szCs w:val="20"/>
                <w:color w:val="auto"/>
              </w:rPr>
            </w:pPr>
            <w:r>
              <w:rPr>
                <w:rFonts w:ascii="Arial" w:cs="Arial" w:eastAsia="Arial" w:hAnsi="Arial"/>
                <w:sz w:val="18"/>
                <w:szCs w:val="18"/>
                <w:b w:val="1"/>
                <w:bCs w:val="1"/>
                <w:color w:val="131E29"/>
              </w:rPr>
              <w:t>Total shop count</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6098"/>
              </w:rPr>
              <w:t>1,136</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rPr>
              <w:t>982</w:t>
            </w:r>
          </w:p>
        </w:tc>
      </w:tr>
      <w:tr>
        <w:trPr>
          <w:trHeight w:val="20"/>
        </w:trPr>
        <w:tc>
          <w:tcPr>
            <w:tcW w:w="71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40" w:type="dxa"/>
            <w:vAlign w:val="bottom"/>
            <w:shd w:val="clear" w:color="auto" w:fill="D2DCE5"/>
          </w:tcPr>
          <w:p>
            <w:pPr>
              <w:spacing w:after="0"/>
              <w:rPr>
                <w:sz w:val="20"/>
                <w:szCs w:val="20"/>
                <w:color w:val="auto"/>
              </w:rPr>
            </w:pPr>
          </w:p>
        </w:tc>
        <w:tc>
          <w:tcPr>
            <w:tcW w:w="15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40" w:type="dxa"/>
            <w:vAlign w:val="bottom"/>
            <w:shd w:val="clear" w:color="auto" w:fill="D2DCE5"/>
          </w:tcPr>
          <w:p>
            <w:pPr>
              <w:spacing w:after="0"/>
              <w:rPr>
                <w:sz w:val="20"/>
                <w:szCs w:val="20"/>
                <w:color w:val="auto"/>
              </w:rPr>
            </w:pPr>
          </w:p>
        </w:tc>
        <w:tc>
          <w:tcPr>
            <w:tcW w:w="1500" w:type="dxa"/>
            <w:vAlign w:val="bottom"/>
            <w:shd w:val="clear" w:color="auto" w:fill="D2DCE5"/>
          </w:tcPr>
          <w:p>
            <w:pPr>
              <w:spacing w:after="0"/>
              <w:rPr>
                <w:sz w:val="20"/>
                <w:szCs w:val="20"/>
                <w:color w:val="auto"/>
              </w:rPr>
            </w:pPr>
          </w:p>
        </w:tc>
      </w:tr>
      <w:tr>
        <w:trPr>
          <w:trHeight w:val="270"/>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Company-operated new openings</w:t>
            </w:r>
          </w:p>
        </w:tc>
        <w:tc>
          <w:tcPr>
            <w:tcW w:w="44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006098"/>
              </w:rPr>
              <w:t>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131E29"/>
              </w:rPr>
              <w:t>25</w:t>
            </w:r>
          </w:p>
        </w:tc>
      </w:tr>
      <w:tr>
        <w:trPr>
          <w:trHeight w:val="27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Franchised new openings</w:t>
            </w: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rPr>
              <w:t>8</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5</w:t>
            </w:r>
          </w:p>
        </w:tc>
      </w:tr>
      <w:tr>
        <w:trPr>
          <w:trHeight w:val="270"/>
        </w:trPr>
        <w:tc>
          <w:tcPr>
            <w:tcW w:w="7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726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Shop count, end of period</w:t>
            </w: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spacing w:after="0"/>
              <w:rPr>
                <w:sz w:val="23"/>
                <w:szCs w:val="23"/>
                <w:color w:val="auto"/>
              </w:rPr>
            </w:pPr>
          </w:p>
        </w:tc>
        <w:tc>
          <w:tcPr>
            <w:tcW w:w="1500" w:type="dxa"/>
            <w:vAlign w:val="bottom"/>
            <w:shd w:val="clear" w:color="auto" w:fill="D2DCE5"/>
          </w:tcPr>
          <w:p>
            <w:pPr>
              <w:spacing w:after="0"/>
              <w:rPr>
                <w:sz w:val="23"/>
                <w:szCs w:val="23"/>
                <w:color w:val="auto"/>
              </w:rPr>
            </w:pPr>
          </w:p>
        </w:tc>
      </w:tr>
      <w:tr>
        <w:trPr>
          <w:trHeight w:val="270"/>
        </w:trPr>
        <w:tc>
          <w:tcPr>
            <w:tcW w:w="7260" w:type="dxa"/>
            <w:vAlign w:val="bottom"/>
            <w:gridSpan w:val="2"/>
          </w:tcPr>
          <w:p>
            <w:pPr>
              <w:ind w:left="180"/>
              <w:spacing w:after="0"/>
              <w:rPr>
                <w:sz w:val="20"/>
                <w:szCs w:val="20"/>
                <w:color w:val="auto"/>
              </w:rPr>
            </w:pPr>
            <w:r>
              <w:rPr>
                <w:rFonts w:ascii="Arial" w:cs="Arial" w:eastAsia="Arial" w:hAnsi="Arial"/>
                <w:sz w:val="18"/>
                <w:szCs w:val="18"/>
                <w:color w:val="131E29"/>
              </w:rPr>
              <w:t>Company-operated</w:t>
            </w:r>
          </w:p>
        </w:tc>
        <w:tc>
          <w:tcPr>
            <w:tcW w:w="44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006098"/>
              </w:rPr>
              <w:t>844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131E29"/>
              </w:rPr>
              <w:t>695</w:t>
            </w: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Franchised</w:t>
            </w: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006098"/>
              </w:rPr>
              <w:t>333</w:t>
            </w:r>
          </w:p>
        </w:tc>
        <w:tc>
          <w:tcPr>
            <w:tcW w:w="100" w:type="dxa"/>
            <w:vAlign w:val="bottom"/>
            <w:shd w:val="clear" w:color="auto" w:fill="D2DCE5"/>
          </w:tcPr>
          <w:p>
            <w:pPr>
              <w:spacing w:after="0"/>
              <w:rPr>
                <w:sz w:val="23"/>
                <w:szCs w:val="23"/>
                <w:color w:val="auto"/>
              </w:rPr>
            </w:pPr>
          </w:p>
        </w:tc>
        <w:tc>
          <w:tcPr>
            <w:tcW w:w="440" w:type="dxa"/>
            <w:vAlign w:val="bottom"/>
            <w:tcBorders>
              <w:bottom w:val="single" w:sz="8" w:color="auto"/>
            </w:tcBorders>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ind w:right="150"/>
              <w:spacing w:after="0"/>
              <w:rPr>
                <w:sz w:val="20"/>
                <w:szCs w:val="20"/>
                <w:color w:val="auto"/>
              </w:rPr>
            </w:pPr>
            <w:r>
              <w:rPr>
                <w:rFonts w:ascii="Arial" w:cs="Arial" w:eastAsia="Arial" w:hAnsi="Arial"/>
                <w:sz w:val="18"/>
                <w:szCs w:val="18"/>
                <w:color w:val="131E29"/>
              </w:rPr>
              <w:t>317</w:t>
            </w:r>
          </w:p>
        </w:tc>
      </w:tr>
      <w:tr>
        <w:trPr>
          <w:trHeight w:val="223"/>
        </w:trPr>
        <w:tc>
          <w:tcPr>
            <w:tcW w:w="7260" w:type="dxa"/>
            <w:vAlign w:val="bottom"/>
            <w:gridSpan w:val="2"/>
          </w:tcPr>
          <w:p>
            <w:pPr>
              <w:ind w:left="360"/>
              <w:spacing w:after="0"/>
              <w:rPr>
                <w:sz w:val="20"/>
                <w:szCs w:val="20"/>
                <w:color w:val="auto"/>
              </w:rPr>
            </w:pPr>
            <w:r>
              <w:rPr>
                <w:rFonts w:ascii="Arial" w:cs="Arial" w:eastAsia="Arial" w:hAnsi="Arial"/>
                <w:sz w:val="18"/>
                <w:szCs w:val="18"/>
                <w:b w:val="1"/>
                <w:bCs w:val="1"/>
                <w:color w:val="131E29"/>
              </w:rPr>
              <w:t>Total shop count</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006098"/>
              </w:rPr>
              <w:t>1,177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rPr>
              <w:t>1,012</w:t>
            </w:r>
          </w:p>
        </w:tc>
      </w:tr>
      <w:tr>
        <w:trPr>
          <w:trHeight w:val="20"/>
        </w:trPr>
        <w:tc>
          <w:tcPr>
            <w:tcW w:w="716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16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40" w:type="dxa"/>
            <w:vAlign w:val="bottom"/>
            <w:shd w:val="clear" w:color="auto" w:fill="D2DCE5"/>
          </w:tcPr>
          <w:p>
            <w:pPr>
              <w:spacing w:after="0"/>
              <w:rPr>
                <w:sz w:val="20"/>
                <w:szCs w:val="20"/>
                <w:color w:val="auto"/>
              </w:rPr>
            </w:pPr>
          </w:p>
        </w:tc>
        <w:tc>
          <w:tcPr>
            <w:tcW w:w="150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40" w:type="dxa"/>
            <w:vAlign w:val="bottom"/>
            <w:shd w:val="clear" w:color="auto" w:fill="D2DCE5"/>
          </w:tcPr>
          <w:p>
            <w:pPr>
              <w:spacing w:after="0"/>
              <w:rPr>
                <w:sz w:val="20"/>
                <w:szCs w:val="20"/>
                <w:color w:val="auto"/>
              </w:rPr>
            </w:pPr>
          </w:p>
        </w:tc>
        <w:tc>
          <w:tcPr>
            <w:tcW w:w="1500" w:type="dxa"/>
            <w:vAlign w:val="bottom"/>
            <w:shd w:val="clear" w:color="auto" w:fill="D2DCE5"/>
          </w:tcPr>
          <w:p>
            <w:pPr>
              <w:spacing w:after="0"/>
              <w:rPr>
                <w:sz w:val="20"/>
                <w:szCs w:val="20"/>
                <w:color w:val="auto"/>
              </w:rPr>
            </w:pPr>
          </w:p>
        </w:tc>
      </w:tr>
      <w:tr>
        <w:trPr>
          <w:trHeight w:val="270"/>
        </w:trPr>
        <w:tc>
          <w:tcPr>
            <w:tcW w:w="7260" w:type="dxa"/>
            <w:vAlign w:val="bottom"/>
            <w:gridSpan w:val="2"/>
          </w:tcPr>
          <w:p>
            <w:pPr>
              <w:ind w:left="20"/>
              <w:spacing w:after="0"/>
              <w:rPr>
                <w:sz w:val="20"/>
                <w:szCs w:val="20"/>
                <w:color w:val="auto"/>
              </w:rPr>
            </w:pPr>
            <w:r>
              <w:rPr>
                <w:rFonts w:ascii="Arial" w:cs="Arial" w:eastAsia="Arial" w:hAnsi="Arial"/>
                <w:sz w:val="18"/>
                <w:szCs w:val="18"/>
                <w:color w:val="131E29"/>
              </w:rPr>
              <w:t xml:space="preserve">Systemwide AUV </w:t>
            </w:r>
            <w:r>
              <w:rPr>
                <w:rFonts w:ascii="Arial" w:cs="Arial" w:eastAsia="Arial" w:hAnsi="Arial"/>
                <w:sz w:val="23"/>
                <w:szCs w:val="23"/>
                <w:color w:val="131E29"/>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006098"/>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006098"/>
              </w:rPr>
              <w:t>2,160</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131E29"/>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131E29"/>
              </w:rPr>
              <w:t>2,026</w:t>
            </w:r>
          </w:p>
        </w:tc>
      </w:tr>
      <w:tr>
        <w:trPr>
          <w:trHeight w:val="270"/>
        </w:trPr>
        <w:tc>
          <w:tcPr>
            <w:tcW w:w="726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 xml:space="preserve">Company-operated shops AUV </w:t>
            </w:r>
            <w:r>
              <w:rPr>
                <w:rFonts w:ascii="Arial" w:cs="Arial" w:eastAsia="Arial" w:hAnsi="Arial"/>
                <w:sz w:val="23"/>
                <w:szCs w:val="23"/>
                <w:color w:val="131E29"/>
                <w:vertAlign w:val="superscript"/>
              </w:rPr>
              <w:t>1</w:t>
            </w: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006098"/>
                <w:w w:val="99"/>
              </w:rPr>
              <w:t>$</w:t>
            </w:r>
          </w:p>
        </w:tc>
        <w:tc>
          <w:tcPr>
            <w:tcW w:w="15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006098"/>
              </w:rPr>
              <w:t>2,121</w:t>
            </w:r>
          </w:p>
        </w:tc>
        <w:tc>
          <w:tcPr>
            <w:tcW w:w="100" w:type="dxa"/>
            <w:vAlign w:val="bottom"/>
            <w:shd w:val="clear" w:color="auto" w:fill="D2DCE5"/>
          </w:tcPr>
          <w:p>
            <w:pPr>
              <w:spacing w:after="0"/>
              <w:rPr>
                <w:sz w:val="23"/>
                <w:szCs w:val="23"/>
                <w:color w:val="auto"/>
              </w:rPr>
            </w:pPr>
          </w:p>
        </w:tc>
        <w:tc>
          <w:tcPr>
            <w:tcW w:w="440" w:type="dxa"/>
            <w:vAlign w:val="bottom"/>
            <w:shd w:val="clear" w:color="auto" w:fill="D2DCE5"/>
          </w:tcPr>
          <w:p>
            <w:pPr>
              <w:jc w:val="right"/>
              <w:ind w:right="230"/>
              <w:spacing w:after="0"/>
              <w:rPr>
                <w:sz w:val="20"/>
                <w:szCs w:val="20"/>
                <w:color w:val="auto"/>
              </w:rPr>
            </w:pPr>
            <w:r>
              <w:rPr>
                <w:rFonts w:ascii="Arial" w:cs="Arial" w:eastAsia="Arial" w:hAnsi="Arial"/>
                <w:sz w:val="18"/>
                <w:szCs w:val="18"/>
                <w:color w:val="131E29"/>
                <w:w w:val="99"/>
              </w:rPr>
              <w:t>$</w:t>
            </w:r>
          </w:p>
        </w:tc>
        <w:tc>
          <w:tcPr>
            <w:tcW w:w="150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1,950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131E29"/>
        </w:rPr>
        <w:t xml:space="preserve">Systemwide same shop sales </w:t>
      </w:r>
      <w:r>
        <w:rPr>
          <w:rFonts w:ascii="Arial" w:cs="Arial" w:eastAsia="Arial" w:hAnsi="Arial"/>
          <w:sz w:val="23"/>
          <w:szCs w:val="23"/>
          <w:color w:val="131E29"/>
          <w:vertAlign w:val="superscript"/>
        </w:rPr>
        <w:t>1, 2</w:t>
      </w:r>
    </w:p>
    <w:p>
      <w:pPr>
        <w:spacing w:after="0" w:line="24"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Transactions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131E29"/>
        </w:rPr>
        <w:t xml:space="preserve">Company-operated same shop sales </w:t>
      </w:r>
      <w:r>
        <w:rPr>
          <w:rFonts w:ascii="Arial" w:cs="Arial" w:eastAsia="Arial" w:hAnsi="Arial"/>
          <w:sz w:val="22"/>
          <w:szCs w:val="22"/>
          <w:color w:val="131E2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Ticket</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131E29"/>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jc w:val="right"/>
              <w:ind w:right="690"/>
              <w:spacing w:after="0"/>
              <w:rPr>
                <w:sz w:val="20"/>
                <w:szCs w:val="20"/>
                <w:color w:val="auto"/>
              </w:rPr>
            </w:pPr>
            <w:r>
              <w:rPr>
                <w:rFonts w:ascii="Arial" w:cs="Arial" w:eastAsia="Arial" w:hAnsi="Arial"/>
                <w:sz w:val="18"/>
                <w:szCs w:val="18"/>
                <w:color w:val="006098"/>
              </w:rPr>
              <w:t>8.3 %</w:t>
            </w:r>
          </w:p>
        </w:tc>
        <w:tc>
          <w:tcPr>
            <w:tcW w:w="1260" w:type="dxa"/>
            <w:vAlign w:val="bottom"/>
          </w:tcPr>
          <w:p>
            <w:pPr>
              <w:jc w:val="right"/>
              <w:spacing w:after="0"/>
              <w:rPr>
                <w:sz w:val="20"/>
                <w:szCs w:val="20"/>
                <w:color w:val="auto"/>
              </w:rPr>
            </w:pPr>
            <w:r>
              <w:rPr>
                <w:rFonts w:ascii="Arial" w:cs="Arial" w:eastAsia="Arial" w:hAnsi="Arial"/>
                <w:sz w:val="18"/>
                <w:szCs w:val="18"/>
                <w:color w:val="131E29"/>
              </w:rPr>
              <w:t>4.7 %</w:t>
            </w:r>
          </w:p>
        </w:tc>
      </w:tr>
      <w:tr>
        <w:trPr>
          <w:trHeight w:val="270"/>
        </w:trPr>
        <w:tc>
          <w:tcPr>
            <w:tcW w:w="1340" w:type="dxa"/>
            <w:vAlign w:val="bottom"/>
          </w:tcPr>
          <w:p>
            <w:pPr>
              <w:jc w:val="right"/>
              <w:ind w:right="690"/>
              <w:spacing w:after="0"/>
              <w:rPr>
                <w:sz w:val="20"/>
                <w:szCs w:val="20"/>
                <w:color w:val="auto"/>
              </w:rPr>
            </w:pPr>
            <w:r>
              <w:rPr>
                <w:rFonts w:ascii="Arial" w:cs="Arial" w:eastAsia="Arial" w:hAnsi="Arial"/>
                <w:sz w:val="18"/>
                <w:szCs w:val="18"/>
                <w:color w:val="006098"/>
              </w:rPr>
              <w:t>3.2 %</w:t>
            </w:r>
          </w:p>
        </w:tc>
        <w:tc>
          <w:tcPr>
            <w:tcW w:w="1260" w:type="dxa"/>
            <w:vAlign w:val="bottom"/>
          </w:tcPr>
          <w:p>
            <w:pPr>
              <w:jc w:val="right"/>
              <w:spacing w:after="0"/>
              <w:rPr>
                <w:sz w:val="20"/>
                <w:szCs w:val="20"/>
                <w:color w:val="auto"/>
              </w:rPr>
            </w:pPr>
            <w:r>
              <w:rPr>
                <w:rFonts w:ascii="Arial" w:cs="Arial" w:eastAsia="Arial" w:hAnsi="Arial"/>
                <w:sz w:val="18"/>
                <w:szCs w:val="18"/>
                <w:color w:val="131E29"/>
              </w:rPr>
              <w:t>3.4 %</w:t>
            </w:r>
          </w:p>
        </w:tc>
      </w:tr>
      <w:tr>
        <w:trPr>
          <w:trHeight w:val="270"/>
        </w:trPr>
        <w:tc>
          <w:tcPr>
            <w:tcW w:w="1340" w:type="dxa"/>
            <w:vAlign w:val="bottom"/>
          </w:tcPr>
          <w:p>
            <w:pPr>
              <w:jc w:val="right"/>
              <w:ind w:right="690"/>
              <w:spacing w:after="0"/>
              <w:rPr>
                <w:sz w:val="20"/>
                <w:szCs w:val="20"/>
                <w:color w:val="auto"/>
              </w:rPr>
            </w:pPr>
            <w:r>
              <w:rPr>
                <w:rFonts w:ascii="Arial" w:cs="Arial" w:eastAsia="Arial" w:hAnsi="Arial"/>
                <w:sz w:val="18"/>
                <w:szCs w:val="18"/>
                <w:color w:val="006098"/>
              </w:rPr>
              <w:t>5.1 %</w:t>
            </w:r>
          </w:p>
        </w:tc>
        <w:tc>
          <w:tcPr>
            <w:tcW w:w="1260" w:type="dxa"/>
            <w:vAlign w:val="bottom"/>
          </w:tcPr>
          <w:p>
            <w:pPr>
              <w:jc w:val="right"/>
              <w:spacing w:after="0"/>
              <w:rPr>
                <w:sz w:val="20"/>
                <w:szCs w:val="20"/>
                <w:color w:val="auto"/>
              </w:rPr>
            </w:pPr>
            <w:r>
              <w:rPr>
                <w:rFonts w:ascii="Arial" w:cs="Arial" w:eastAsia="Arial" w:hAnsi="Arial"/>
                <w:sz w:val="18"/>
                <w:szCs w:val="18"/>
                <w:color w:val="131E29"/>
              </w:rPr>
              <w:t>1.3 %</w:t>
            </w:r>
          </w:p>
        </w:tc>
      </w:tr>
      <w:tr>
        <w:trPr>
          <w:trHeight w:val="270"/>
        </w:trPr>
        <w:tc>
          <w:tcPr>
            <w:tcW w:w="1340" w:type="dxa"/>
            <w:vAlign w:val="bottom"/>
          </w:tcPr>
          <w:p>
            <w:pPr>
              <w:jc w:val="right"/>
              <w:ind w:right="690"/>
              <w:spacing w:after="0"/>
              <w:rPr>
                <w:sz w:val="20"/>
                <w:szCs w:val="20"/>
                <w:color w:val="auto"/>
              </w:rPr>
            </w:pPr>
            <w:r>
              <w:rPr>
                <w:rFonts w:ascii="Arial" w:cs="Arial" w:eastAsia="Arial" w:hAnsi="Arial"/>
                <w:sz w:val="18"/>
                <w:szCs w:val="18"/>
                <w:color w:val="006098"/>
                <w:w w:val="96"/>
              </w:rPr>
              <w:t>10.6 %</w:t>
            </w:r>
          </w:p>
        </w:tc>
        <w:tc>
          <w:tcPr>
            <w:tcW w:w="1260" w:type="dxa"/>
            <w:vAlign w:val="bottom"/>
          </w:tcPr>
          <w:p>
            <w:pPr>
              <w:jc w:val="right"/>
              <w:spacing w:after="0"/>
              <w:rPr>
                <w:sz w:val="20"/>
                <w:szCs w:val="20"/>
                <w:color w:val="auto"/>
              </w:rPr>
            </w:pPr>
            <w:r>
              <w:rPr>
                <w:rFonts w:ascii="Arial" w:cs="Arial" w:eastAsia="Arial" w:hAnsi="Arial"/>
                <w:sz w:val="18"/>
                <w:szCs w:val="18"/>
                <w:color w:val="131E29"/>
              </w:rPr>
              <w:t>6.9 %</w:t>
            </w:r>
          </w:p>
        </w:tc>
      </w:tr>
      <w:tr>
        <w:trPr>
          <w:trHeight w:val="270"/>
        </w:trPr>
        <w:tc>
          <w:tcPr>
            <w:tcW w:w="1340" w:type="dxa"/>
            <w:vAlign w:val="bottom"/>
          </w:tcPr>
          <w:p>
            <w:pPr>
              <w:jc w:val="right"/>
              <w:ind w:right="690"/>
              <w:spacing w:after="0"/>
              <w:rPr>
                <w:sz w:val="20"/>
                <w:szCs w:val="20"/>
                <w:color w:val="auto"/>
              </w:rPr>
            </w:pPr>
            <w:r>
              <w:rPr>
                <w:rFonts w:ascii="Arial" w:cs="Arial" w:eastAsia="Arial" w:hAnsi="Arial"/>
                <w:sz w:val="18"/>
                <w:szCs w:val="18"/>
                <w:color w:val="006098"/>
              </w:rPr>
              <w:t>3.7 %</w:t>
            </w:r>
          </w:p>
        </w:tc>
        <w:tc>
          <w:tcPr>
            <w:tcW w:w="1260" w:type="dxa"/>
            <w:vAlign w:val="bottom"/>
          </w:tcPr>
          <w:p>
            <w:pPr>
              <w:jc w:val="right"/>
              <w:spacing w:after="0"/>
              <w:rPr>
                <w:sz w:val="20"/>
                <w:szCs w:val="20"/>
                <w:color w:val="auto"/>
              </w:rPr>
            </w:pPr>
            <w:r>
              <w:rPr>
                <w:rFonts w:ascii="Arial" w:cs="Arial" w:eastAsia="Arial" w:hAnsi="Arial"/>
                <w:sz w:val="18"/>
                <w:szCs w:val="18"/>
                <w:color w:val="131E29"/>
              </w:rPr>
              <w:t>3.2 %</w:t>
            </w:r>
          </w:p>
        </w:tc>
      </w:tr>
      <w:tr>
        <w:trPr>
          <w:trHeight w:val="270"/>
        </w:trPr>
        <w:tc>
          <w:tcPr>
            <w:tcW w:w="1340" w:type="dxa"/>
            <w:vAlign w:val="bottom"/>
          </w:tcPr>
          <w:p>
            <w:pPr>
              <w:jc w:val="right"/>
              <w:ind w:right="690"/>
              <w:spacing w:after="0"/>
              <w:rPr>
                <w:sz w:val="20"/>
                <w:szCs w:val="20"/>
                <w:color w:val="auto"/>
              </w:rPr>
            </w:pPr>
            <w:r>
              <w:rPr>
                <w:rFonts w:ascii="Arial" w:cs="Arial" w:eastAsia="Arial" w:hAnsi="Arial"/>
                <w:sz w:val="18"/>
                <w:szCs w:val="18"/>
                <w:color w:val="006098"/>
              </w:rPr>
              <w:t>6.9 %</w:t>
            </w:r>
          </w:p>
        </w:tc>
        <w:tc>
          <w:tcPr>
            <w:tcW w:w="1260" w:type="dxa"/>
            <w:vAlign w:val="bottom"/>
          </w:tcPr>
          <w:p>
            <w:pPr>
              <w:jc w:val="right"/>
              <w:spacing w:after="0"/>
              <w:rPr>
                <w:sz w:val="20"/>
                <w:szCs w:val="20"/>
                <w:color w:val="auto"/>
              </w:rPr>
            </w:pPr>
            <w:r>
              <w:rPr>
                <w:rFonts w:ascii="Arial" w:cs="Arial" w:eastAsia="Arial" w:hAnsi="Arial"/>
                <w:sz w:val="18"/>
                <w:szCs w:val="18"/>
                <w:color w:val="131E29"/>
              </w:rPr>
              <w:t>3.7 %</w:t>
            </w:r>
          </w:p>
        </w:tc>
      </w:tr>
    </w:tbl>
    <w:p>
      <w:pPr>
        <w:spacing w:after="0" w:line="200" w:lineRule="exact"/>
        <w:rPr>
          <w:sz w:val="20"/>
          <w:szCs w:val="20"/>
          <w:color w:val="auto"/>
        </w:rPr>
      </w:pPr>
    </w:p>
    <w:p>
      <w:pPr>
        <w:sectPr>
          <w:pgSz w:w="11900" w:h="16838" w:orient="portrait"/>
          <w:cols w:equalWidth="0" w:num="2">
            <w:col w:w="7900" w:space="720"/>
            <w:col w:w="2620"/>
          </w:cols>
          <w:pgMar w:left="320" w:top="130" w:right="339" w:bottom="1440" w:gutter="0" w:footer="0" w:header="0"/>
          <w:type w:val="continuous"/>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ind w:left="20"/>
              <w:spacing w:after="0"/>
              <w:rPr>
                <w:sz w:val="20"/>
                <w:szCs w:val="20"/>
                <w:color w:val="auto"/>
              </w:rPr>
            </w:pPr>
            <w:r>
              <w:rPr>
                <w:rFonts w:ascii="Arial" w:cs="Arial" w:eastAsia="Arial" w:hAnsi="Arial"/>
                <w:sz w:val="18"/>
                <w:szCs w:val="18"/>
                <w:color w:val="131E29"/>
              </w:rPr>
              <w:t xml:space="preserve">Systemwide sales </w:t>
            </w:r>
            <w:r>
              <w:rPr>
                <w:rFonts w:ascii="Arial" w:cs="Arial" w:eastAsia="Arial" w:hAnsi="Arial"/>
                <w:sz w:val="23"/>
                <w:szCs w:val="23"/>
                <w:color w:val="131E29"/>
                <w:vertAlign w:val="superscript"/>
              </w:rPr>
              <w:t>2</w:t>
            </w:r>
          </w:p>
        </w:tc>
        <w:tc>
          <w:tcPr>
            <w:tcW w:w="1540" w:type="dxa"/>
            <w:vAlign w:val="bottom"/>
          </w:tcPr>
          <w:p>
            <w:pPr>
              <w:jc w:val="right"/>
              <w:ind w:right="370"/>
              <w:spacing w:after="0"/>
              <w:rPr>
                <w:sz w:val="20"/>
                <w:szCs w:val="20"/>
                <w:color w:val="auto"/>
              </w:rPr>
            </w:pPr>
            <w:r>
              <w:rPr>
                <w:rFonts w:ascii="Arial" w:cs="Arial" w:eastAsia="Arial" w:hAnsi="Arial"/>
                <w:sz w:val="18"/>
                <w:szCs w:val="18"/>
                <w:color w:val="006098"/>
              </w:rPr>
              <w:t>$</w:t>
            </w:r>
          </w:p>
        </w:tc>
        <w:tc>
          <w:tcPr>
            <w:tcW w:w="1400" w:type="dxa"/>
            <w:vAlign w:val="bottom"/>
          </w:tcPr>
          <w:p>
            <w:pPr>
              <w:jc w:val="right"/>
              <w:ind w:right="190"/>
              <w:spacing w:after="0"/>
              <w:rPr>
                <w:sz w:val="20"/>
                <w:szCs w:val="20"/>
                <w:color w:val="auto"/>
              </w:rPr>
            </w:pPr>
            <w:r>
              <w:rPr>
                <w:rFonts w:ascii="Arial" w:cs="Arial" w:eastAsia="Arial" w:hAnsi="Arial"/>
                <w:sz w:val="18"/>
                <w:szCs w:val="18"/>
                <w:color w:val="006098"/>
              </w:rPr>
              <w:t>609,559</w:t>
            </w:r>
          </w:p>
        </w:tc>
        <w:tc>
          <w:tcPr>
            <w:tcW w:w="640" w:type="dxa"/>
            <w:vAlign w:val="bottom"/>
          </w:tcPr>
          <w:p>
            <w:pPr>
              <w:jc w:val="right"/>
              <w:ind w:right="370"/>
              <w:spacing w:after="0"/>
              <w:rPr>
                <w:sz w:val="20"/>
                <w:szCs w:val="20"/>
                <w:color w:val="auto"/>
              </w:rPr>
            </w:pPr>
            <w:r>
              <w:rPr>
                <w:rFonts w:ascii="Arial" w:cs="Arial" w:eastAsia="Arial" w:hAnsi="Arial"/>
                <w:sz w:val="18"/>
                <w:szCs w:val="18"/>
                <w:color w:val="131E2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131E29"/>
              </w:rPr>
              <w:t>489,672</w:t>
            </w:r>
          </w:p>
        </w:tc>
      </w:tr>
      <w:tr>
        <w:trPr>
          <w:trHeight w:val="270"/>
        </w:trPr>
        <w:tc>
          <w:tcPr>
            <w:tcW w:w="6300" w:type="dxa"/>
            <w:vAlign w:val="bottom"/>
            <w:shd w:val="clear" w:color="auto" w:fill="D2DCE5"/>
          </w:tcPr>
          <w:p>
            <w:pPr>
              <w:ind w:left="20"/>
              <w:spacing w:after="0"/>
              <w:rPr>
                <w:sz w:val="20"/>
                <w:szCs w:val="20"/>
                <w:color w:val="auto"/>
              </w:rPr>
            </w:pPr>
            <w:r>
              <w:rPr>
                <w:rFonts w:ascii="Arial" w:cs="Arial" w:eastAsia="Arial" w:hAnsi="Arial"/>
                <w:sz w:val="18"/>
                <w:szCs w:val="18"/>
                <w:color w:val="131E29"/>
              </w:rPr>
              <w:t xml:space="preserve">Company-operated shops operating weeks </w:t>
            </w:r>
            <w:r>
              <w:rPr>
                <w:rFonts w:ascii="Arial" w:cs="Arial" w:eastAsia="Arial" w:hAnsi="Arial"/>
                <w:sz w:val="23"/>
                <w:szCs w:val="23"/>
                <w:color w:val="131E29"/>
                <w:vertAlign w:val="superscript"/>
              </w:rPr>
              <w:t>3</w:t>
            </w:r>
          </w:p>
        </w:tc>
        <w:tc>
          <w:tcPr>
            <w:tcW w:w="1540" w:type="dxa"/>
            <w:vAlign w:val="bottom"/>
            <w:shd w:val="clear" w:color="auto" w:fill="D2DCE5"/>
          </w:tcPr>
          <w:p>
            <w:pPr>
              <w:spacing w:after="0"/>
              <w:rPr>
                <w:sz w:val="23"/>
                <w:szCs w:val="23"/>
                <w:color w:val="auto"/>
              </w:rPr>
            </w:pPr>
          </w:p>
        </w:tc>
        <w:tc>
          <w:tcPr>
            <w:tcW w:w="1400" w:type="dxa"/>
            <w:vAlign w:val="bottom"/>
            <w:shd w:val="clear" w:color="auto" w:fill="D2DCE5"/>
          </w:tcPr>
          <w:p>
            <w:pPr>
              <w:jc w:val="right"/>
              <w:ind w:right="190"/>
              <w:spacing w:after="0"/>
              <w:rPr>
                <w:sz w:val="20"/>
                <w:szCs w:val="20"/>
                <w:color w:val="auto"/>
              </w:rPr>
            </w:pPr>
            <w:r>
              <w:rPr>
                <w:rFonts w:ascii="Arial" w:cs="Arial" w:eastAsia="Arial" w:hAnsi="Arial"/>
                <w:sz w:val="18"/>
                <w:szCs w:val="18"/>
                <w:color w:val="006098"/>
              </w:rPr>
              <w:t>10,493</w:t>
            </w:r>
          </w:p>
        </w:tc>
        <w:tc>
          <w:tcPr>
            <w:tcW w:w="640" w:type="dxa"/>
            <w:vAlign w:val="bottom"/>
            <w:shd w:val="clear" w:color="auto" w:fill="D2DCE5"/>
          </w:tcPr>
          <w:p>
            <w:pPr>
              <w:spacing w:after="0"/>
              <w:rPr>
                <w:sz w:val="23"/>
                <w:szCs w:val="23"/>
                <w:color w:val="auto"/>
              </w:rPr>
            </w:pPr>
          </w:p>
        </w:tc>
        <w:tc>
          <w:tcPr>
            <w:tcW w:w="1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rPr>
              <w:t>8,737</w:t>
            </w:r>
          </w:p>
        </w:tc>
      </w:tr>
      <w:tr>
        <w:trPr>
          <w:trHeight w:val="270"/>
        </w:trPr>
        <w:tc>
          <w:tcPr>
            <w:tcW w:w="6300" w:type="dxa"/>
            <w:vAlign w:val="bottom"/>
          </w:tcPr>
          <w:p>
            <w:pPr>
              <w:ind w:left="20"/>
              <w:spacing w:after="0"/>
              <w:rPr>
                <w:sz w:val="20"/>
                <w:szCs w:val="20"/>
                <w:color w:val="auto"/>
              </w:rPr>
            </w:pPr>
            <w:r>
              <w:rPr>
                <w:rFonts w:ascii="Arial" w:cs="Arial" w:eastAsia="Arial" w:hAnsi="Arial"/>
                <w:sz w:val="18"/>
                <w:szCs w:val="18"/>
                <w:color w:val="131E29"/>
              </w:rPr>
              <w:t xml:space="preserve">Franchising shops operating weeks </w:t>
            </w:r>
            <w:r>
              <w:rPr>
                <w:rFonts w:ascii="Arial" w:cs="Arial" w:eastAsia="Arial" w:hAnsi="Arial"/>
                <w:sz w:val="23"/>
                <w:szCs w:val="23"/>
                <w:color w:val="131E29"/>
                <w:vertAlign w:val="superscript"/>
              </w:rPr>
              <w:t>3</w:t>
            </w:r>
          </w:p>
        </w:tc>
        <w:tc>
          <w:tcPr>
            <w:tcW w:w="1540" w:type="dxa"/>
            <w:vAlign w:val="bottom"/>
          </w:tcPr>
          <w:p>
            <w:pPr>
              <w:spacing w:after="0"/>
              <w:rPr>
                <w:sz w:val="23"/>
                <w:szCs w:val="23"/>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006098"/>
              </w:rPr>
              <w:t>4,230</w:t>
            </w:r>
          </w:p>
        </w:tc>
        <w:tc>
          <w:tcPr>
            <w:tcW w:w="64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131E29"/>
              </w:rPr>
              <w:t>4,011</w:t>
            </w:r>
          </w:p>
        </w:tc>
      </w:tr>
      <w:tr>
        <w:trPr>
          <w:trHeight w:val="270"/>
        </w:trPr>
        <w:tc>
          <w:tcPr>
            <w:tcW w:w="6300" w:type="dxa"/>
            <w:vAlign w:val="bottom"/>
            <w:shd w:val="clear" w:color="auto" w:fill="D2DCE5"/>
          </w:tcPr>
          <w:p>
            <w:pPr>
              <w:spacing w:after="0"/>
              <w:rPr>
                <w:sz w:val="23"/>
                <w:szCs w:val="23"/>
                <w:color w:val="auto"/>
              </w:rPr>
            </w:pPr>
          </w:p>
        </w:tc>
        <w:tc>
          <w:tcPr>
            <w:tcW w:w="1540" w:type="dxa"/>
            <w:vAlign w:val="bottom"/>
            <w:shd w:val="clear" w:color="auto" w:fill="D2DCE5"/>
          </w:tcPr>
          <w:p>
            <w:pPr>
              <w:spacing w:after="0"/>
              <w:rPr>
                <w:sz w:val="23"/>
                <w:szCs w:val="23"/>
                <w:color w:val="auto"/>
              </w:rPr>
            </w:pPr>
          </w:p>
        </w:tc>
        <w:tc>
          <w:tcPr>
            <w:tcW w:w="1400" w:type="dxa"/>
            <w:vAlign w:val="bottom"/>
            <w:shd w:val="clear" w:color="auto" w:fill="D2DCE5"/>
          </w:tcPr>
          <w:p>
            <w:pPr>
              <w:spacing w:after="0"/>
              <w:rPr>
                <w:sz w:val="23"/>
                <w:szCs w:val="23"/>
                <w:color w:val="auto"/>
              </w:rPr>
            </w:pPr>
          </w:p>
        </w:tc>
        <w:tc>
          <w:tcPr>
            <w:tcW w:w="640" w:type="dxa"/>
            <w:vAlign w:val="bottom"/>
            <w:shd w:val="clear" w:color="auto" w:fill="D2DCE5"/>
          </w:tcPr>
          <w:p>
            <w:pPr>
              <w:spacing w:after="0"/>
              <w:rPr>
                <w:sz w:val="23"/>
                <w:szCs w:val="23"/>
                <w:color w:val="auto"/>
              </w:rPr>
            </w:pPr>
          </w:p>
        </w:tc>
        <w:tc>
          <w:tcPr>
            <w:tcW w:w="1360" w:type="dxa"/>
            <w:vAlign w:val="bottom"/>
            <w:shd w:val="clear" w:color="auto" w:fill="D2DCE5"/>
          </w:tcPr>
          <w:p>
            <w:pPr>
              <w:spacing w:after="0"/>
              <w:rPr>
                <w:sz w:val="23"/>
                <w:szCs w:val="23"/>
                <w:color w:val="auto"/>
              </w:rPr>
            </w:pPr>
          </w:p>
        </w:tc>
      </w:tr>
      <w:tr>
        <w:trPr>
          <w:trHeight w:val="330"/>
        </w:trPr>
        <w:tc>
          <w:tcPr>
            <w:tcW w:w="6300" w:type="dxa"/>
            <w:vAlign w:val="bottom"/>
          </w:tcPr>
          <w:p>
            <w:pPr>
              <w:ind w:left="20"/>
              <w:spacing w:after="0"/>
              <w:rPr>
                <w:sz w:val="20"/>
                <w:szCs w:val="20"/>
                <w:color w:val="auto"/>
              </w:rPr>
            </w:pPr>
            <w:r>
              <w:rPr>
                <w:rFonts w:ascii="Arial" w:cs="Arial" w:eastAsia="Arial" w:hAnsi="Arial"/>
                <w:sz w:val="18"/>
                <w:szCs w:val="18"/>
                <w:color w:val="131E29"/>
              </w:rPr>
              <w:t xml:space="preserve">Dutch Rewards transactions as a percentage of total transactions </w:t>
            </w:r>
            <w:r>
              <w:rPr>
                <w:rFonts w:ascii="Arial" w:cs="Arial" w:eastAsia="Arial" w:hAnsi="Arial"/>
                <w:sz w:val="23"/>
                <w:szCs w:val="23"/>
                <w:color w:val="131E29"/>
                <w:vertAlign w:val="superscript"/>
              </w:rPr>
              <w:t>4</w:t>
            </w:r>
          </w:p>
        </w:tc>
        <w:tc>
          <w:tcPr>
            <w:tcW w:w="15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006098"/>
              </w:rPr>
              <w:t>74 %</w:t>
            </w:r>
          </w:p>
        </w:tc>
        <w:tc>
          <w:tcPr>
            <w:tcW w:w="6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131E29"/>
              </w:rPr>
              <w:t>72 %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40" w:type="dxa"/>
            <w:vAlign w:val="bottom"/>
            <w:tcBorders>
              <w:bottom w:val="single" w:sz="8" w:color="D7282F"/>
            </w:tcBorders>
            <w:gridSpan w:val="6"/>
          </w:tcPr>
          <w:p>
            <w:pPr>
              <w:ind w:left="1120"/>
              <w:spacing w:after="0"/>
              <w:rPr>
                <w:sz w:val="20"/>
                <w:szCs w:val="20"/>
                <w:color w:val="auto"/>
              </w:rPr>
            </w:pPr>
            <w:r>
              <w:rPr>
                <w:rFonts w:ascii="Arial" w:cs="Arial" w:eastAsia="Arial" w:hAnsi="Arial"/>
                <w:sz w:val="18"/>
                <w:szCs w:val="18"/>
                <w:b w:val="1"/>
                <w:bCs w:val="1"/>
                <w:color w:val="131E29"/>
              </w:rPr>
              <w:t>Three Months Ended March 31,</w:t>
            </w:r>
          </w:p>
        </w:tc>
        <w:tc>
          <w:tcPr>
            <w:tcW w:w="860" w:type="dxa"/>
            <w:vAlign w:val="bottom"/>
            <w:tcBorders>
              <w:bottom w:val="single" w:sz="8" w:color="D7282F"/>
            </w:tcBorders>
          </w:tcPr>
          <w:p>
            <w:pPr>
              <w:spacing w:after="0"/>
              <w:rPr>
                <w:sz w:val="22"/>
                <w:szCs w:val="22"/>
                <w:color w:val="auto"/>
              </w:rPr>
            </w:pPr>
          </w:p>
        </w:tc>
      </w:tr>
      <w:tr>
        <w:trPr>
          <w:trHeight w:val="263"/>
        </w:trPr>
        <w:tc>
          <w:tcPr>
            <w:tcW w:w="6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7282F"/>
            </w:tcBorders>
          </w:tcPr>
          <w:p>
            <w:pPr>
              <w:spacing w:after="0"/>
              <w:rPr>
                <w:sz w:val="22"/>
                <w:szCs w:val="22"/>
                <w:color w:val="auto"/>
              </w:rPr>
            </w:pPr>
          </w:p>
        </w:tc>
        <w:tc>
          <w:tcPr>
            <w:tcW w:w="86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7282F"/>
            </w:tcBorders>
          </w:tcPr>
          <w:p>
            <w:pPr>
              <w:spacing w:after="0"/>
              <w:rPr>
                <w:sz w:val="22"/>
                <w:szCs w:val="22"/>
                <w:color w:val="auto"/>
              </w:rPr>
            </w:pPr>
          </w:p>
        </w:tc>
        <w:tc>
          <w:tcPr>
            <w:tcW w:w="860" w:type="dxa"/>
            <w:vAlign w:val="bottom"/>
            <w:tcBorders>
              <w:bottom w:val="single" w:sz="8" w:color="D7282F"/>
            </w:tcBorders>
          </w:tcPr>
          <w:p>
            <w:pPr>
              <w:spacing w:after="0"/>
              <w:rPr>
                <w:sz w:val="22"/>
                <w:szCs w:val="22"/>
                <w:color w:val="auto"/>
              </w:rPr>
            </w:pPr>
          </w:p>
        </w:tc>
      </w:tr>
      <w:tr>
        <w:trPr>
          <w:trHeight w:val="264"/>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440" w:type="dxa"/>
            <w:vAlign w:val="bottom"/>
            <w:tcBorders>
              <w:bottom w:val="single" w:sz="8" w:color="D7282F"/>
            </w:tcBorders>
          </w:tcPr>
          <w:p>
            <w:pPr>
              <w:jc w:val="right"/>
              <w:ind w:right="5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86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440" w:type="dxa"/>
            <w:vAlign w:val="bottom"/>
            <w:tcBorders>
              <w:bottom w:val="single" w:sz="8" w:color="D7282F"/>
            </w:tcBorders>
          </w:tcPr>
          <w:p>
            <w:pPr>
              <w:jc w:val="right"/>
              <w:ind w:right="5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86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 revenues</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429,057</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100.0</w:t>
            </w:r>
          </w:p>
        </w:tc>
        <w:tc>
          <w:tcPr>
            <w:tcW w:w="100" w:type="dxa"/>
            <w:vAlign w:val="bottom"/>
            <w:shd w:val="clear" w:color="auto" w:fill="D2DCE5"/>
          </w:tcPr>
          <w:p>
            <w:pPr>
              <w:spacing w:after="0"/>
              <w:rPr>
                <w:sz w:val="23"/>
                <w:szCs w:val="23"/>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326,421</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100.0</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8"/>
                <w:szCs w:val="18"/>
                <w:color w:val="131E29"/>
              </w:rPr>
              <w:t>Company-operated shops gross profit</w:t>
            </w:r>
          </w:p>
        </w:tc>
        <w:tc>
          <w:tcPr>
            <w:tcW w:w="1440" w:type="dxa"/>
            <w:vAlign w:val="bottom"/>
          </w:tcPr>
          <w:p>
            <w:pPr>
              <w:jc w:val="right"/>
              <w:spacing w:after="0"/>
              <w:rPr>
                <w:sz w:val="20"/>
                <w:szCs w:val="20"/>
                <w:color w:val="auto"/>
              </w:rPr>
            </w:pPr>
            <w:r>
              <w:rPr>
                <w:rFonts w:ascii="Arial" w:cs="Arial" w:eastAsia="Arial" w:hAnsi="Arial"/>
                <w:sz w:val="18"/>
                <w:szCs w:val="18"/>
                <w:color w:val="006098"/>
              </w:rPr>
              <w:t>85,782</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6098"/>
              </w:rPr>
              <w:t>20.0</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71,498</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21.9</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Company-operated shops contribution</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121,304</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28.3</w:t>
            </w:r>
          </w:p>
        </w:tc>
        <w:tc>
          <w:tcPr>
            <w:tcW w:w="100" w:type="dxa"/>
            <w:vAlign w:val="bottom"/>
            <w:shd w:val="clear" w:color="auto" w:fill="D2DCE5"/>
          </w:tcPr>
          <w:p>
            <w:pPr>
              <w:spacing w:after="0"/>
              <w:rPr>
                <w:sz w:val="23"/>
                <w:szCs w:val="23"/>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96,065</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29.4</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8"/>
                <w:szCs w:val="18"/>
                <w:color w:val="131E29"/>
              </w:rPr>
              <w:t>Selling, general, and administrative expenses</w:t>
            </w:r>
          </w:p>
        </w:tc>
        <w:tc>
          <w:tcPr>
            <w:tcW w:w="1440" w:type="dxa"/>
            <w:vAlign w:val="bottom"/>
          </w:tcPr>
          <w:p>
            <w:pPr>
              <w:jc w:val="right"/>
              <w:spacing w:after="0"/>
              <w:rPr>
                <w:sz w:val="20"/>
                <w:szCs w:val="20"/>
                <w:color w:val="auto"/>
              </w:rPr>
            </w:pPr>
            <w:r>
              <w:rPr>
                <w:rFonts w:ascii="Arial" w:cs="Arial" w:eastAsia="Arial" w:hAnsi="Arial"/>
                <w:sz w:val="18"/>
                <w:szCs w:val="18"/>
                <w:color w:val="006098"/>
              </w:rPr>
              <w:t>73,176</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6098"/>
              </w:rPr>
              <w:t>15.8</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58,921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16.6</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Adjusted selling, general, and administrative expenses</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65,512</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14.1</w:t>
            </w:r>
          </w:p>
        </w:tc>
        <w:tc>
          <w:tcPr>
            <w:tcW w:w="100" w:type="dxa"/>
            <w:vAlign w:val="bottom"/>
            <w:shd w:val="clear" w:color="auto" w:fill="D2DCE5"/>
          </w:tcPr>
          <w:p>
            <w:pPr>
              <w:spacing w:after="0"/>
              <w:rPr>
                <w:sz w:val="23"/>
                <w:szCs w:val="23"/>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53,497</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15.1</w:t>
            </w:r>
          </w:p>
        </w:tc>
      </w:tr>
      <w:tr>
        <w:trPr>
          <w:trHeight w:val="270"/>
        </w:trPr>
        <w:tc>
          <w:tcPr>
            <w:tcW w:w="6340" w:type="dxa"/>
            <w:vAlign w:val="bottom"/>
            <w:gridSpan w:val="2"/>
          </w:tcPr>
          <w:p>
            <w:pPr>
              <w:ind w:left="20"/>
              <w:spacing w:after="0"/>
              <w:rPr>
                <w:sz w:val="20"/>
                <w:szCs w:val="20"/>
                <w:color w:val="auto"/>
              </w:rPr>
            </w:pPr>
            <w:r>
              <w:rPr>
                <w:rFonts w:ascii="Arial" w:cs="Arial" w:eastAsia="Arial" w:hAnsi="Arial"/>
                <w:sz w:val="18"/>
                <w:szCs w:val="18"/>
                <w:color w:val="131E29"/>
              </w:rPr>
              <w:t>Net income</w:t>
            </w:r>
          </w:p>
        </w:tc>
        <w:tc>
          <w:tcPr>
            <w:tcW w:w="1440" w:type="dxa"/>
            <w:vAlign w:val="bottom"/>
          </w:tcPr>
          <w:p>
            <w:pPr>
              <w:jc w:val="right"/>
              <w:spacing w:after="0"/>
              <w:rPr>
                <w:sz w:val="20"/>
                <w:szCs w:val="20"/>
                <w:color w:val="auto"/>
              </w:rPr>
            </w:pPr>
            <w:r>
              <w:rPr>
                <w:rFonts w:ascii="Arial" w:cs="Arial" w:eastAsia="Arial" w:hAnsi="Arial"/>
                <w:sz w:val="18"/>
                <w:szCs w:val="18"/>
                <w:color w:val="006098"/>
              </w:rPr>
              <w:t>23,664</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6098"/>
              </w:rPr>
              <w:t>5.1</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131E29"/>
              </w:rPr>
              <w:t>22,480</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6.3</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Adjusted EBITDA</w:t>
            </w: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79,373</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17.1</w:t>
            </w:r>
          </w:p>
        </w:tc>
        <w:tc>
          <w:tcPr>
            <w:tcW w:w="100" w:type="dxa"/>
            <w:vAlign w:val="bottom"/>
            <w:shd w:val="clear" w:color="auto" w:fill="D2DCE5"/>
          </w:tcPr>
          <w:p>
            <w:pPr>
              <w:spacing w:after="0"/>
              <w:rPr>
                <w:sz w:val="23"/>
                <w:szCs w:val="23"/>
                <w:color w:val="auto"/>
              </w:rPr>
            </w:pPr>
          </w:p>
        </w:tc>
        <w:tc>
          <w:tcPr>
            <w:tcW w:w="14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62,906</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17.7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131E29"/>
        </w:rPr>
        <w:t>_________________</w:t>
      </w:r>
    </w:p>
    <w:p>
      <w:pPr>
        <w:spacing w:after="0" w:line="11" w:lineRule="exact"/>
        <w:rPr>
          <w:sz w:val="20"/>
          <w:szCs w:val="20"/>
          <w:color w:val="auto"/>
        </w:rPr>
      </w:pPr>
    </w:p>
    <w:p>
      <w:pPr>
        <w:jc w:val="both"/>
        <w:ind w:left="180" w:hanging="172"/>
        <w:spacing w:after="0" w:line="231" w:lineRule="auto"/>
        <w:tabs>
          <w:tab w:leader="none" w:pos="228" w:val="left"/>
        </w:tabs>
        <w:numPr>
          <w:ilvl w:val="0"/>
          <w:numId w:val="19"/>
        </w:numPr>
        <w:rPr>
          <w:rFonts w:ascii="Arial" w:cs="Arial" w:eastAsia="Arial" w:hAnsi="Arial"/>
          <w:sz w:val="19"/>
          <w:szCs w:val="19"/>
          <w:color w:val="131E29"/>
          <w:vertAlign w:val="superscript"/>
        </w:rPr>
      </w:pPr>
      <w:r>
        <w:rPr>
          <w:rFonts w:ascii="Arial" w:cs="Arial" w:eastAsia="Arial" w:hAnsi="Arial"/>
          <w:sz w:val="14"/>
          <w:szCs w:val="14"/>
          <w:color w:val="131E29"/>
        </w:rPr>
        <w:t>Starting in 2026, AUVs are determined based on the net sales for any trailing twelve-month period for systemwide and company-operated shops, and same shop sales represent the percentage change in year-over-year sales, for the comparable shop base, that have been open at least 15 complete months as of the first day of the quarterly reporting period. Prior to 2026, AUVs were determined based on shops that had been open a minimum of 15 months, and same shop base was defined as shops open for 15 complete months or longer as of the first day of the reporting period. Prior period numbers have not been adjusted to conform to the new definition as the changes did not have a material impact. AUVs are calculated by dividing the systemwide and company-operated shops net sales by the total number of systemwide and company-operated shops, respectively. Management uses these metrics as an indicator of shop growth, expectations of mature locations, and future expansion strategy. The number of shops included in the systemwide and company-operated comparable bases for the respective periods are presented in the following table.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Borders>
              <w:bottom w:val="single" w:sz="8" w:color="D7282F"/>
            </w:tcBorders>
            <w:gridSpan w:val="3"/>
          </w:tcPr>
          <w:p>
            <w:pPr>
              <w:jc w:val="right"/>
              <w:ind w:right="368"/>
              <w:spacing w:after="0"/>
              <w:rPr>
                <w:sz w:val="20"/>
                <w:szCs w:val="20"/>
                <w:color w:val="auto"/>
              </w:rPr>
            </w:pPr>
            <w:r>
              <w:rPr>
                <w:rFonts w:ascii="Arial" w:cs="Arial" w:eastAsia="Arial" w:hAnsi="Arial"/>
                <w:sz w:val="14"/>
                <w:szCs w:val="14"/>
                <w:b w:val="1"/>
                <w:bCs w:val="1"/>
                <w:color w:val="131E29"/>
              </w:rPr>
              <w:t>Three Months Ended March 31,</w:t>
            </w:r>
          </w:p>
        </w:tc>
      </w:tr>
      <w:tr>
        <w:trPr>
          <w:trHeight w:val="223"/>
        </w:trPr>
        <w:tc>
          <w:tcPr>
            <w:tcW w:w="75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(unaudited)</w:t>
            </w:r>
          </w:p>
        </w:tc>
        <w:tc>
          <w:tcPr>
            <w:tcW w:w="100" w:type="dxa"/>
            <w:vAlign w:val="bottom"/>
            <w:tcBorders>
              <w:bottom w:val="single" w:sz="8" w:color="D2DCE5"/>
            </w:tcBorders>
          </w:tcPr>
          <w:p>
            <w:pPr>
              <w:spacing w:after="0"/>
              <w:rPr>
                <w:sz w:val="19"/>
                <w:szCs w:val="19"/>
                <w:color w:val="auto"/>
              </w:rPr>
            </w:pPr>
          </w:p>
        </w:tc>
        <w:tc>
          <w:tcPr>
            <w:tcW w:w="146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1460" w:type="dxa"/>
            <w:vAlign w:val="bottom"/>
            <w:tcBorders>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131E29"/>
              </w:rPr>
              <w:t>2025</w:t>
            </w:r>
          </w:p>
        </w:tc>
      </w:tr>
      <w:tr>
        <w:trPr>
          <w:trHeight w:val="229"/>
        </w:trPr>
        <w:tc>
          <w:tcPr>
            <w:tcW w:w="76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Systemwide shop base</w:t>
            </w:r>
          </w:p>
        </w:tc>
        <w:tc>
          <w:tcPr>
            <w:tcW w:w="1460" w:type="dxa"/>
            <w:vAlign w:val="bottom"/>
            <w:shd w:val="clear" w:color="auto" w:fill="D2DCE5"/>
          </w:tcPr>
          <w:p>
            <w:pPr>
              <w:jc w:val="right"/>
              <w:spacing w:after="0"/>
              <w:rPr>
                <w:sz w:val="20"/>
                <w:szCs w:val="20"/>
                <w:color w:val="auto"/>
              </w:rPr>
            </w:pPr>
            <w:r>
              <w:rPr>
                <w:rFonts w:ascii="Arial" w:cs="Arial" w:eastAsia="Arial" w:hAnsi="Arial"/>
                <w:sz w:val="14"/>
                <w:szCs w:val="14"/>
                <w:color w:val="006098"/>
              </w:rPr>
              <w:t>950</w:t>
            </w:r>
          </w:p>
        </w:tc>
        <w:tc>
          <w:tcPr>
            <w:tcW w:w="100" w:type="dxa"/>
            <w:vAlign w:val="bottom"/>
            <w:shd w:val="clear" w:color="auto" w:fill="D2DCE5"/>
          </w:tcPr>
          <w:p>
            <w:pPr>
              <w:spacing w:after="0"/>
              <w:rPr>
                <w:sz w:val="19"/>
                <w:szCs w:val="19"/>
                <w:color w:val="auto"/>
              </w:rPr>
            </w:pPr>
          </w:p>
        </w:tc>
        <w:tc>
          <w:tcPr>
            <w:tcW w:w="14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794</w:t>
            </w:r>
          </w:p>
        </w:tc>
      </w:tr>
      <w:tr>
        <w:trPr>
          <w:trHeight w:val="222"/>
        </w:trPr>
        <w:tc>
          <w:tcPr>
            <w:tcW w:w="7660" w:type="dxa"/>
            <w:vAlign w:val="bottom"/>
            <w:gridSpan w:val="2"/>
          </w:tcPr>
          <w:p>
            <w:pPr>
              <w:ind w:left="20"/>
              <w:spacing w:after="0"/>
              <w:rPr>
                <w:sz w:val="20"/>
                <w:szCs w:val="20"/>
                <w:color w:val="auto"/>
              </w:rPr>
            </w:pPr>
            <w:r>
              <w:rPr>
                <w:rFonts w:ascii="Arial" w:cs="Arial" w:eastAsia="Arial" w:hAnsi="Arial"/>
                <w:sz w:val="14"/>
                <w:szCs w:val="14"/>
                <w:color w:val="131E29"/>
              </w:rPr>
              <w:t>Company-operated shops base</w:t>
            </w:r>
          </w:p>
        </w:tc>
        <w:tc>
          <w:tcPr>
            <w:tcW w:w="1460" w:type="dxa"/>
            <w:vAlign w:val="bottom"/>
          </w:tcPr>
          <w:p>
            <w:pPr>
              <w:jc w:val="right"/>
              <w:spacing w:after="0"/>
              <w:rPr>
                <w:sz w:val="20"/>
                <w:szCs w:val="20"/>
                <w:color w:val="auto"/>
              </w:rPr>
            </w:pPr>
            <w:r>
              <w:rPr>
                <w:rFonts w:ascii="Arial" w:cs="Arial" w:eastAsia="Arial" w:hAnsi="Arial"/>
                <w:sz w:val="14"/>
                <w:szCs w:val="14"/>
                <w:color w:val="006098"/>
              </w:rPr>
              <w:t>645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131E29"/>
              </w:rPr>
              <w:t>510</w:t>
            </w:r>
          </w:p>
        </w:tc>
      </w:tr>
    </w:tbl>
    <w:p>
      <w:pPr>
        <w:spacing w:after="0" w:line="147" w:lineRule="exact"/>
        <w:rPr>
          <w:sz w:val="20"/>
          <w:szCs w:val="20"/>
          <w:color w:val="auto"/>
        </w:rPr>
      </w:pPr>
    </w:p>
    <w:p>
      <w:pPr>
        <w:jc w:val="both"/>
        <w:ind w:left="180" w:right="80" w:hanging="172"/>
        <w:spacing w:after="0" w:line="245" w:lineRule="auto"/>
        <w:tabs>
          <w:tab w:leader="none" w:pos="241" w:val="left"/>
        </w:tabs>
        <w:numPr>
          <w:ilvl w:val="0"/>
          <w:numId w:val="20"/>
        </w:numPr>
        <w:rPr>
          <w:rFonts w:ascii="Arial" w:cs="Arial" w:eastAsia="Arial" w:hAnsi="Arial"/>
          <w:sz w:val="19"/>
          <w:szCs w:val="19"/>
          <w:color w:val="131E29"/>
          <w:vertAlign w:val="superscript"/>
        </w:rPr>
      </w:pPr>
      <w:r>
        <w:rPr>
          <w:rFonts w:ascii="Arial" w:cs="Arial" w:eastAsia="Arial" w:hAnsi="Arial"/>
          <w:sz w:val="14"/>
          <w:szCs w:val="14"/>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38" w:lineRule="exact"/>
        <w:rPr>
          <w:sz w:val="20"/>
          <w:szCs w:val="20"/>
          <w:color w:val="auto"/>
        </w:rPr>
      </w:pPr>
    </w:p>
    <w:p>
      <w:pPr>
        <w:jc w:val="both"/>
        <w:ind w:left="180" w:hanging="172"/>
        <w:spacing w:after="0"/>
        <w:tabs>
          <w:tab w:leader="none" w:pos="289" w:val="left"/>
        </w:tabs>
        <w:numPr>
          <w:ilvl w:val="0"/>
          <w:numId w:val="21"/>
        </w:numPr>
        <w:rPr>
          <w:rFonts w:ascii="Arial" w:cs="Arial" w:eastAsia="Arial" w:hAnsi="Arial"/>
          <w:sz w:val="19"/>
          <w:szCs w:val="19"/>
          <w:color w:val="131E29"/>
          <w:vertAlign w:val="superscript"/>
        </w:rPr>
      </w:pPr>
      <w:r>
        <w:rPr>
          <w:rFonts w:ascii="Arial" w:cs="Arial" w:eastAsia="Arial" w:hAnsi="Arial"/>
          <w:sz w:val="14"/>
          <w:szCs w:val="14"/>
          <w:color w:val="131E29"/>
        </w:rPr>
        <w:t>Company-operated and franchise shops operating weeks are calculated based on the number of operating days for the shop base and dividing by 7. Our shop base is defined as shops opened as of the period end date. Management uses these metrics as indicators of our system’s overall financial health, growth and future expansion prospects.</w:t>
      </w:r>
    </w:p>
    <w:p>
      <w:pPr>
        <w:spacing w:after="0" w:line="215" w:lineRule="exact"/>
        <w:rPr>
          <w:sz w:val="20"/>
          <w:szCs w:val="20"/>
          <w:color w:val="auto"/>
        </w:rPr>
      </w:pPr>
    </w:p>
    <w:p>
      <w:pPr>
        <w:ind w:left="180" w:hanging="172"/>
        <w:spacing w:after="0" w:line="325" w:lineRule="auto"/>
        <w:tabs>
          <w:tab w:leader="none" w:pos="214" w:val="left"/>
        </w:tabs>
        <w:numPr>
          <w:ilvl w:val="0"/>
          <w:numId w:val="22"/>
        </w:numPr>
        <w:rPr>
          <w:rFonts w:ascii="Arial" w:cs="Arial" w:eastAsia="Arial" w:hAnsi="Arial"/>
          <w:sz w:val="9"/>
          <w:szCs w:val="9"/>
          <w:color w:val="131E29"/>
        </w:rPr>
      </w:pPr>
      <w:r>
        <w:rPr>
          <w:rFonts w:ascii="Arial" w:cs="Arial" w:eastAsia="Arial" w:hAnsi="Arial"/>
          <w:sz w:val="14"/>
          <w:szCs w:val="14"/>
          <w:color w:val="131E29"/>
        </w:rPr>
        <w:t>Dutch Rewards is our app-based digital loyalty program. Management uses this metric as an indicator of customer loyalty adoption of our Dutch Rewards app and future promotional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w:t>
      </w:r>
      <w:r>
        <w:rPr>
          <w:rFonts w:ascii="Arial" w:cs="Arial" w:eastAsia="Arial" w:hAnsi="Arial"/>
          <w:sz w:val="22"/>
          <w:szCs w:val="22"/>
          <w:b w:val="1"/>
          <w:bCs w:val="1"/>
          <w:color w:val="00497F"/>
        </w:rPr>
        <w:t>ps</w:t>
      </w:r>
      <w:r>
        <w:rPr>
          <w:rFonts w:ascii="Arial" w:cs="Arial" w:eastAsia="Arial" w:hAnsi="Arial"/>
          <w:sz w:val="22"/>
          <w:szCs w:val="22"/>
          <w:b w:val="1"/>
          <w:bCs w:val="1"/>
          <w:color w:val="00416B"/>
        </w:rPr>
        <w:t xml:space="preserve">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131E29"/>
        </w:rPr>
        <w:t>Results for our company-operated shops segment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40" w:type="dxa"/>
            <w:vAlign w:val="bottom"/>
            <w:tcBorders>
              <w:bottom w:val="single" w:sz="8" w:color="D7282F"/>
            </w:tcBorders>
            <w:gridSpan w:val="6"/>
          </w:tcPr>
          <w:p>
            <w:pPr>
              <w:ind w:left="1160"/>
              <w:spacing w:after="0"/>
              <w:rPr>
                <w:sz w:val="20"/>
                <w:szCs w:val="20"/>
                <w:color w:val="auto"/>
              </w:rPr>
            </w:pPr>
            <w:r>
              <w:rPr>
                <w:rFonts w:ascii="Arial" w:cs="Arial" w:eastAsia="Arial" w:hAnsi="Arial"/>
                <w:sz w:val="18"/>
                <w:szCs w:val="18"/>
                <w:b w:val="1"/>
                <w:bCs w:val="1"/>
                <w:color w:val="131E29"/>
              </w:rPr>
              <w:t>Three Months Ended March 31,</w:t>
            </w:r>
          </w:p>
        </w:tc>
        <w:tc>
          <w:tcPr>
            <w:tcW w:w="86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7282F"/>
            </w:tcBorders>
          </w:tcPr>
          <w:p>
            <w:pPr>
              <w:spacing w:after="0"/>
              <w:rPr>
                <w:sz w:val="22"/>
                <w:szCs w:val="22"/>
                <w:color w:val="auto"/>
              </w:rPr>
            </w:pPr>
          </w:p>
        </w:tc>
        <w:tc>
          <w:tcPr>
            <w:tcW w:w="86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D7282F"/>
            </w:tcBorders>
          </w:tcPr>
          <w:p>
            <w:pPr>
              <w:jc w:val="right"/>
              <w:spacing w:after="0"/>
              <w:rPr>
                <w:sz w:val="20"/>
                <w:szCs w:val="20"/>
                <w:color w:val="auto"/>
              </w:rPr>
            </w:pPr>
            <w:r>
              <w:rPr>
                <w:rFonts w:ascii="Arial" w:cs="Arial" w:eastAsia="Arial" w:hAnsi="Arial"/>
                <w:sz w:val="18"/>
                <w:szCs w:val="18"/>
                <w:b w:val="1"/>
                <w:bCs w:val="1"/>
                <w:color w:val="131E29"/>
              </w:rPr>
              <w:t>2025</w:t>
            </w:r>
          </w:p>
        </w:tc>
        <w:tc>
          <w:tcPr>
            <w:tcW w:w="100" w:type="dxa"/>
            <w:vAlign w:val="bottom"/>
            <w:tcBorders>
              <w:bottom w:val="single" w:sz="8" w:color="D7282F"/>
            </w:tcBorders>
          </w:tcPr>
          <w:p>
            <w:pPr>
              <w:spacing w:after="0"/>
              <w:rPr>
                <w:sz w:val="22"/>
                <w:szCs w:val="22"/>
                <w:color w:val="auto"/>
              </w:rPr>
            </w:pPr>
          </w:p>
        </w:tc>
        <w:tc>
          <w:tcPr>
            <w:tcW w:w="860" w:type="dxa"/>
            <w:vAlign w:val="bottom"/>
            <w:tcBorders>
              <w:bottom w:val="single" w:sz="8" w:color="D7282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480" w:type="dxa"/>
            <w:vAlign w:val="bottom"/>
            <w:tcBorders>
              <w:bottom w:val="single" w:sz="8" w:color="D7282F"/>
            </w:tcBorders>
          </w:tcPr>
          <w:p>
            <w:pPr>
              <w:jc w:val="right"/>
              <w:ind w:right="5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860" w:type="dxa"/>
            <w:vAlign w:val="bottom"/>
            <w:tcBorders>
              <w:bottom w:val="single" w:sz="8" w:color="D7282F"/>
            </w:tcBorders>
          </w:tcPr>
          <w:p>
            <w:pPr>
              <w:jc w:val="right"/>
              <w:ind w:right="25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500" w:type="dxa"/>
            <w:vAlign w:val="bottom"/>
            <w:tcBorders>
              <w:bottom w:val="single" w:sz="8" w:color="D7282F"/>
            </w:tcBorders>
          </w:tcPr>
          <w:p>
            <w:pPr>
              <w:jc w:val="right"/>
              <w:ind w:right="61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860" w:type="dxa"/>
            <w:vAlign w:val="bottom"/>
            <w:tcBorders>
              <w:bottom w:val="single" w:sz="8" w:color="D7282F"/>
            </w:tcBorders>
          </w:tcPr>
          <w:p>
            <w:pPr>
              <w:jc w:val="right"/>
              <w:ind w:right="270"/>
              <w:spacing w:after="0"/>
              <w:rPr>
                <w:sz w:val="20"/>
                <w:szCs w:val="20"/>
                <w:color w:val="auto"/>
              </w:rPr>
            </w:pPr>
            <w:r>
              <w:rPr>
                <w:rFonts w:ascii="Arial" w:cs="Arial" w:eastAsia="Arial" w:hAnsi="Arial"/>
                <w:sz w:val="18"/>
                <w:szCs w:val="18"/>
                <w:b w:val="1"/>
                <w:bCs w:val="1"/>
                <w:color w:val="131E29"/>
              </w:rPr>
              <w:t>%</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revenues</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429,057</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100.0</w:t>
            </w:r>
          </w:p>
        </w:tc>
        <w:tc>
          <w:tcPr>
            <w:tcW w:w="10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326,421</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100.0</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Beverage, food, and packaging costs</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112,322</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26.2</w:t>
            </w:r>
          </w:p>
        </w:tc>
        <w:tc>
          <w:tcPr>
            <w:tcW w:w="10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81,379</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25.0</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131E29"/>
              </w:rPr>
              <w:t>Labor costs</w:t>
            </w:r>
          </w:p>
        </w:tc>
        <w:tc>
          <w:tcPr>
            <w:tcW w:w="1480" w:type="dxa"/>
            <w:vAlign w:val="bottom"/>
          </w:tcPr>
          <w:p>
            <w:pPr>
              <w:jc w:val="right"/>
              <w:spacing w:after="0"/>
              <w:rPr>
                <w:sz w:val="20"/>
                <w:szCs w:val="20"/>
                <w:color w:val="auto"/>
              </w:rPr>
            </w:pPr>
            <w:r>
              <w:rPr>
                <w:rFonts w:ascii="Arial" w:cs="Arial" w:eastAsia="Arial" w:hAnsi="Arial"/>
                <w:sz w:val="18"/>
                <w:szCs w:val="18"/>
                <w:color w:val="006098"/>
              </w:rPr>
              <w:t>112,305</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6098"/>
              </w:rPr>
              <w:t>26.2</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131E29"/>
              </w:rPr>
              <w:t>89,439</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27.4</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Occupancy and other costs</w:t>
            </w:r>
          </w:p>
        </w:tc>
        <w:tc>
          <w:tcPr>
            <w:tcW w:w="14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76,785</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17.8</w:t>
            </w:r>
          </w:p>
        </w:tc>
        <w:tc>
          <w:tcPr>
            <w:tcW w:w="100" w:type="dxa"/>
            <w:vAlign w:val="bottom"/>
            <w:shd w:val="clear" w:color="auto" w:fill="D2DCE5"/>
          </w:tcPr>
          <w:p>
            <w:pPr>
              <w:spacing w:after="0"/>
              <w:rPr>
                <w:sz w:val="23"/>
                <w:szCs w:val="23"/>
                <w:color w:val="auto"/>
              </w:rPr>
            </w:pPr>
          </w:p>
        </w:tc>
        <w:tc>
          <w:tcPr>
            <w:tcW w:w="15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53,927</w:t>
            </w:r>
          </w:p>
        </w:tc>
        <w:tc>
          <w:tcPr>
            <w:tcW w:w="100" w:type="dxa"/>
            <w:vAlign w:val="bottom"/>
            <w:shd w:val="clear" w:color="auto" w:fill="D2DCE5"/>
          </w:tcPr>
          <w:p>
            <w:pPr>
              <w:spacing w:after="0"/>
              <w:rPr>
                <w:sz w:val="23"/>
                <w:szCs w:val="23"/>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16.5</w:t>
            </w:r>
          </w:p>
        </w:tc>
        <w:tc>
          <w:tcPr>
            <w:tcW w:w="0" w:type="dxa"/>
            <w:vAlign w:val="bottom"/>
          </w:tcPr>
          <w:p>
            <w:pPr>
              <w:spacing w:after="0"/>
              <w:rPr>
                <w:sz w:val="1"/>
                <w:szCs w:val="1"/>
                <w:color w:val="auto"/>
              </w:rPr>
            </w:pPr>
          </w:p>
        </w:tc>
      </w:tr>
      <w:tr>
        <w:trPr>
          <w:trHeight w:val="270"/>
        </w:trPr>
        <w:tc>
          <w:tcPr>
            <w:tcW w:w="6240" w:type="dxa"/>
            <w:vAlign w:val="bottom"/>
            <w:gridSpan w:val="2"/>
          </w:tcPr>
          <w:p>
            <w:pPr>
              <w:ind w:left="20"/>
              <w:spacing w:after="0"/>
              <w:rPr>
                <w:sz w:val="20"/>
                <w:szCs w:val="20"/>
                <w:color w:val="auto"/>
              </w:rPr>
            </w:pPr>
            <w:r>
              <w:rPr>
                <w:rFonts w:ascii="Arial" w:cs="Arial" w:eastAsia="Arial" w:hAnsi="Arial"/>
                <w:sz w:val="18"/>
                <w:szCs w:val="18"/>
                <w:color w:val="131E29"/>
              </w:rPr>
              <w:t>Pre-opening costs</w:t>
            </w:r>
          </w:p>
        </w:tc>
        <w:tc>
          <w:tcPr>
            <w:tcW w:w="1480" w:type="dxa"/>
            <w:vAlign w:val="bottom"/>
          </w:tcPr>
          <w:p>
            <w:pPr>
              <w:jc w:val="right"/>
              <w:spacing w:after="0"/>
              <w:rPr>
                <w:sz w:val="20"/>
                <w:szCs w:val="20"/>
                <w:color w:val="auto"/>
              </w:rPr>
            </w:pPr>
            <w:r>
              <w:rPr>
                <w:rFonts w:ascii="Arial" w:cs="Arial" w:eastAsia="Arial" w:hAnsi="Arial"/>
                <w:sz w:val="18"/>
                <w:szCs w:val="18"/>
                <w:color w:val="006098"/>
              </w:rPr>
              <w:t>6,341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6098"/>
              </w:rPr>
              <w:t>1.5</w:t>
            </w:r>
          </w:p>
        </w:tc>
        <w:tc>
          <w:tcPr>
            <w:tcW w:w="1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131E29"/>
              </w:rPr>
              <w:t>5,611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1.7</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Depreciation and amortization</w:t>
            </w: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35,522</w:t>
            </w:r>
          </w:p>
        </w:tc>
        <w:tc>
          <w:tcPr>
            <w:tcW w:w="100" w:type="dxa"/>
            <w:vAlign w:val="bottom"/>
            <w:shd w:val="clear" w:color="auto" w:fill="D2DCE5"/>
          </w:tcPr>
          <w:p>
            <w:pPr>
              <w:spacing w:after="0"/>
              <w:rPr>
                <w:sz w:val="23"/>
                <w:szCs w:val="23"/>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8.3</w:t>
            </w:r>
          </w:p>
        </w:tc>
        <w:tc>
          <w:tcPr>
            <w:tcW w:w="100" w:type="dxa"/>
            <w:vAlign w:val="bottom"/>
            <w:shd w:val="clear" w:color="auto" w:fill="D2DCE5"/>
          </w:tcPr>
          <w:p>
            <w:pPr>
              <w:spacing w:after="0"/>
              <w:rPr>
                <w:sz w:val="23"/>
                <w:szCs w:val="23"/>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24,567</w:t>
            </w:r>
          </w:p>
        </w:tc>
        <w:tc>
          <w:tcPr>
            <w:tcW w:w="100" w:type="dxa"/>
            <w:vAlign w:val="bottom"/>
            <w:shd w:val="clear" w:color="auto" w:fill="D2DCE5"/>
          </w:tcPr>
          <w:p>
            <w:pPr>
              <w:spacing w:after="0"/>
              <w:rPr>
                <w:sz w:val="23"/>
                <w:szCs w:val="23"/>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7.5</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D2DCE5"/>
            </w:tcBorders>
            <w:gridSpan w:val="2"/>
          </w:tcPr>
          <w:p>
            <w:pPr>
              <w:ind w:left="20"/>
              <w:spacing w:after="0"/>
              <w:rPr>
                <w:sz w:val="20"/>
                <w:szCs w:val="20"/>
                <w:color w:val="auto"/>
              </w:rPr>
            </w:pPr>
            <w:r>
              <w:rPr>
                <w:rFonts w:ascii="Arial" w:cs="Arial" w:eastAsia="Arial" w:hAnsi="Arial"/>
                <w:sz w:val="18"/>
                <w:szCs w:val="18"/>
                <w:color w:val="131E29"/>
              </w:rPr>
              <w:t>Company-operated shops costs and expenses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343,275</w:t>
            </w:r>
          </w:p>
        </w:tc>
        <w:tc>
          <w:tcPr>
            <w:tcW w:w="100" w:type="dxa"/>
            <w:vAlign w:val="bottom"/>
            <w:tcBorders>
              <w:bottom w:val="single" w:sz="8" w:color="D2DCE5"/>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80.0</w:t>
            </w:r>
          </w:p>
        </w:tc>
        <w:tc>
          <w:tcPr>
            <w:tcW w:w="100" w:type="dxa"/>
            <w:vAlign w:val="bottom"/>
            <w:tcBorders>
              <w:bottom w:val="single" w:sz="8" w:color="D2DCE5"/>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254,923</w:t>
            </w:r>
          </w:p>
        </w:tc>
        <w:tc>
          <w:tcPr>
            <w:tcW w:w="100" w:type="dxa"/>
            <w:vAlign w:val="bottom"/>
            <w:tcBorders>
              <w:bottom w:val="single" w:sz="8" w:color="D2DCE5"/>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78.1</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8"/>
                <w:szCs w:val="18"/>
                <w:b w:val="1"/>
                <w:bCs w:val="1"/>
                <w:color w:val="131E29"/>
              </w:rPr>
              <w:t>Company-operated shops gross profit</w:t>
            </w:r>
          </w:p>
        </w:tc>
        <w:tc>
          <w:tcPr>
            <w:tcW w:w="14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85,782</w:t>
            </w:r>
          </w:p>
        </w:tc>
        <w:tc>
          <w:tcPr>
            <w:tcW w:w="10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20.0</w:t>
            </w:r>
          </w:p>
        </w:tc>
        <w:tc>
          <w:tcPr>
            <w:tcW w:w="100" w:type="dxa"/>
            <w:vAlign w:val="bottom"/>
            <w:tcBorders>
              <w:bottom w:val="single" w:sz="8" w:color="D2DCE5"/>
            </w:tcBorders>
            <w:shd w:val="clear" w:color="auto" w:fill="D2DCE5"/>
          </w:tcPr>
          <w:p>
            <w:pPr>
              <w:spacing w:after="0"/>
              <w:rPr>
                <w:sz w:val="21"/>
                <w:szCs w:val="21"/>
                <w:color w:val="auto"/>
              </w:rPr>
            </w:pPr>
          </w:p>
        </w:tc>
        <w:tc>
          <w:tcPr>
            <w:tcW w:w="1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71,498</w:t>
            </w:r>
          </w:p>
        </w:tc>
        <w:tc>
          <w:tcPr>
            <w:tcW w:w="100" w:type="dxa"/>
            <w:vAlign w:val="bottom"/>
            <w:tcBorders>
              <w:bottom w:val="single" w:sz="8" w:color="D2DCE5"/>
            </w:tcBorders>
            <w:shd w:val="clear" w:color="auto" w:fill="D2DCE5"/>
          </w:tcPr>
          <w:p>
            <w:pPr>
              <w:spacing w:after="0"/>
              <w:rPr>
                <w:sz w:val="21"/>
                <w:szCs w:val="21"/>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21.9</w:t>
            </w:r>
          </w:p>
        </w:tc>
        <w:tc>
          <w:tcPr>
            <w:tcW w:w="0" w:type="dxa"/>
            <w:vAlign w:val="bottom"/>
          </w:tcPr>
          <w:p>
            <w:pPr>
              <w:spacing w:after="0"/>
              <w:rPr>
                <w:sz w:val="1"/>
                <w:szCs w:val="1"/>
                <w:color w:val="auto"/>
              </w:rPr>
            </w:pPr>
          </w:p>
        </w:tc>
      </w:tr>
      <w:tr>
        <w:trPr>
          <w:trHeight w:val="20"/>
        </w:trPr>
        <w:tc>
          <w:tcPr>
            <w:tcW w:w="6240" w:type="dxa"/>
            <w:vAlign w:val="bottom"/>
            <w:tcBorders>
              <w:top w:val="single" w:sz="8" w:color="D2DCE5"/>
              <w:bottom w:val="single" w:sz="8" w:color="D2DCE5"/>
            </w:tcBorders>
            <w:gridSpan w:val="2"/>
            <w:vMerge w:val="restart"/>
          </w:tcPr>
          <w:p>
            <w:pPr>
              <w:ind w:left="140"/>
              <w:spacing w:after="0"/>
              <w:rPr>
                <w:sz w:val="20"/>
                <w:szCs w:val="20"/>
                <w:color w:val="auto"/>
              </w:rPr>
            </w:pPr>
            <w:r>
              <w:rPr>
                <w:rFonts w:ascii="Arial" w:cs="Arial" w:eastAsia="Arial" w:hAnsi="Arial"/>
                <w:sz w:val="18"/>
                <w:szCs w:val="18"/>
                <w:color w:val="131E29"/>
              </w:rPr>
              <w:t>Company-operated shops contribution</w:t>
            </w:r>
          </w:p>
        </w:tc>
        <w:tc>
          <w:tcPr>
            <w:tcW w:w="148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40" w:type="dxa"/>
            <w:vAlign w:val="bottom"/>
            <w:gridSpan w:val="2"/>
            <w:vMerge w:val="continue"/>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006098"/>
              </w:rPr>
              <w:t>121,304</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006098"/>
              </w:rPr>
              <w:t>28.3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131E29"/>
              </w:rPr>
              <w:t>96,065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31E29"/>
              </w:rPr>
              <w:t>29.4</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Company-operated Shops Segment Performance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Shops Revenue</w:t>
      </w:r>
    </w:p>
    <w:p>
      <w:pPr>
        <w:spacing w:after="0" w:line="201"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29210</wp:posOffset>
            </wp:positionV>
            <wp:extent cx="32232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right"/>
              <w:ind w:right="359"/>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right"/>
              <w:ind w:right="359"/>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19"/>
                <w:szCs w:val="19"/>
                <w:color w:val="auto"/>
              </w:rPr>
            </w:pPr>
          </w:p>
        </w:tc>
        <w:tc>
          <w:tcPr>
            <w:tcW w:w="2400" w:type="dxa"/>
            <w:vAlign w:val="bottom"/>
            <w:tcBorders>
              <w:bottom w:val="single" w:sz="8" w:color="D7282F"/>
            </w:tcBorders>
            <w:gridSpan w:val="2"/>
          </w:tcPr>
          <w:p>
            <w:pPr>
              <w:jc w:val="right"/>
              <w:ind w:right="659"/>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shops revenue</w:t>
            </w:r>
          </w:p>
        </w:tc>
        <w:tc>
          <w:tcPr>
            <w:tcW w:w="124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006098"/>
              </w:rPr>
              <w:t>$429,057</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right"/>
              <w:ind w:right="199"/>
              <w:spacing w:after="0"/>
              <w:rPr>
                <w:sz w:val="20"/>
                <w:szCs w:val="20"/>
                <w:color w:val="auto"/>
              </w:rPr>
            </w:pPr>
            <w:r>
              <w:rPr>
                <w:rFonts w:ascii="Arial" w:cs="Arial" w:eastAsia="Arial" w:hAnsi="Arial"/>
                <w:sz w:val="16"/>
                <w:szCs w:val="16"/>
                <w:color w:val="131E29"/>
              </w:rPr>
              <w:t>$326,421</w:t>
            </w:r>
          </w:p>
        </w:tc>
        <w:tc>
          <w:tcPr>
            <w:tcW w:w="100" w:type="dxa"/>
            <w:vAlign w:val="bottom"/>
            <w:shd w:val="clear" w:color="auto" w:fill="D2DCE5"/>
          </w:tcPr>
          <w:p>
            <w:pPr>
              <w:spacing w:after="0"/>
              <w:rPr>
                <w:sz w:val="20"/>
                <w:szCs w:val="20"/>
                <w:color w:val="auto"/>
              </w:rPr>
            </w:pPr>
          </w:p>
        </w:tc>
        <w:tc>
          <w:tcPr>
            <w:tcW w:w="1300" w:type="dxa"/>
            <w:vAlign w:val="bottom"/>
            <w:shd w:val="clear" w:color="auto" w:fill="D2DCE5"/>
          </w:tcPr>
          <w:p>
            <w:pPr>
              <w:jc w:val="right"/>
              <w:ind w:right="259"/>
              <w:spacing w:after="0"/>
              <w:rPr>
                <w:sz w:val="20"/>
                <w:szCs w:val="20"/>
                <w:color w:val="auto"/>
              </w:rPr>
            </w:pPr>
            <w:r>
              <w:rPr>
                <w:rFonts w:ascii="Arial" w:cs="Arial" w:eastAsia="Arial" w:hAnsi="Arial"/>
                <w:sz w:val="16"/>
                <w:szCs w:val="16"/>
                <w:color w:val="131E29"/>
              </w:rPr>
              <w:t>$102,636</w:t>
            </w:r>
          </w:p>
        </w:tc>
        <w:tc>
          <w:tcPr>
            <w:tcW w:w="110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31.4%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Company-operated shops revenue increased $70.3 million from newly opened shops not yet in the comparable shop base and $32.3 million from a 10.6% increase in same shop sales.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Beverage, Food, and Packaging Costs</w:t>
      </w:r>
    </w:p>
    <w:p>
      <w:pPr>
        <w:spacing w:after="0" w:line="201"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29210</wp:posOffset>
            </wp:positionV>
            <wp:extent cx="32232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19"/>
                <w:szCs w:val="19"/>
                <w:color w:val="auto"/>
              </w:rPr>
            </w:pPr>
          </w:p>
        </w:tc>
        <w:tc>
          <w:tcPr>
            <w:tcW w:w="2400" w:type="dxa"/>
            <w:vAlign w:val="bottom"/>
            <w:tcBorders>
              <w:bottom w:val="single" w:sz="8" w:color="D7282F"/>
            </w:tcBorders>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Beverage, food and packaging costs</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w w:val="98"/>
              </w:rPr>
              <w:t>$112,322</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$81,379</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rPr>
              <w:t>$30,943</w:t>
            </w:r>
          </w:p>
        </w:tc>
        <w:tc>
          <w:tcPr>
            <w:tcW w:w="116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38.0%</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shops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rPr>
              <w:t>26.2%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25.0%</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N/A</w:t>
            </w:r>
          </w:p>
        </w:tc>
        <w:tc>
          <w:tcPr>
            <w:tcW w:w="1160" w:type="dxa"/>
            <w:vAlign w:val="bottom"/>
          </w:tcPr>
          <w:p>
            <w:pPr>
              <w:jc w:val="center"/>
              <w:ind w:left="19"/>
              <w:spacing w:after="0"/>
              <w:rPr>
                <w:sz w:val="20"/>
                <w:szCs w:val="20"/>
                <w:color w:val="auto"/>
              </w:rPr>
            </w:pPr>
            <w:r>
              <w:rPr>
                <w:rFonts w:ascii="Arial" w:cs="Arial" w:eastAsia="Arial" w:hAnsi="Arial"/>
                <w:sz w:val="16"/>
                <w:szCs w:val="16"/>
                <w:color w:val="131E29"/>
              </w:rPr>
              <w:t>120 bps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As a percentage of company-operated shops revenues, beverage, food and packaging costs increased by 120 basis points. This was primarily due to an increase in coffee costs and the costs associated with the expansion of our new food program, which have higher costs as a percentage of revenue compared to beverages.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Labor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D7282F"/>
            </w:tcBorders>
          </w:tcPr>
          <w:p>
            <w:pPr>
              <w:spacing w:after="0"/>
              <w:rPr>
                <w:sz w:val="19"/>
                <w:szCs w:val="19"/>
                <w:color w:val="auto"/>
              </w:rPr>
            </w:pPr>
          </w:p>
        </w:tc>
        <w:tc>
          <w:tcPr>
            <w:tcW w:w="100" w:type="dxa"/>
            <w:vAlign w:val="bottom"/>
            <w:tcBorders>
              <w:bottom w:val="single" w:sz="8" w:color="D7282F"/>
            </w:tcBorders>
          </w:tcPr>
          <w:p>
            <w:pPr>
              <w:spacing w:after="0"/>
              <w:rPr>
                <w:sz w:val="19"/>
                <w:szCs w:val="19"/>
                <w:color w:val="auto"/>
              </w:rPr>
            </w:pPr>
          </w:p>
        </w:tc>
        <w:tc>
          <w:tcPr>
            <w:tcW w:w="2640" w:type="dxa"/>
            <w:vAlign w:val="bottom"/>
            <w:tcBorders>
              <w:bottom w:val="single" w:sz="8" w:color="D7282F"/>
            </w:tcBorders>
            <w:gridSpan w:val="3"/>
          </w:tcPr>
          <w:p>
            <w:pPr>
              <w:spacing w:after="0"/>
              <w:rPr>
                <w:sz w:val="20"/>
                <w:szCs w:val="20"/>
                <w:color w:val="auto"/>
              </w:rPr>
            </w:pPr>
            <w:r>
              <w:rPr>
                <w:rFonts w:ascii="Arial" w:cs="Arial" w:eastAsia="Arial" w:hAnsi="Arial"/>
                <w:sz w:val="16"/>
                <w:szCs w:val="16"/>
                <w:b w:val="1"/>
                <w:bCs w:val="1"/>
                <w:color w:val="131E29"/>
              </w:rPr>
              <w:t>Three Months Ended March 31,</w:t>
            </w:r>
          </w:p>
        </w:tc>
        <w:tc>
          <w:tcPr>
            <w:tcW w:w="1100" w:type="dxa"/>
            <w:vAlign w:val="bottom"/>
            <w:tcBorders>
              <w:bottom w:val="single" w:sz="8" w:color="D7282F"/>
            </w:tcBorders>
          </w:tcPr>
          <w:p>
            <w:pPr>
              <w:spacing w:after="0"/>
              <w:rPr>
                <w:sz w:val="19"/>
                <w:szCs w:val="19"/>
                <w:color w:val="auto"/>
              </w:rPr>
            </w:pPr>
          </w:p>
        </w:tc>
      </w:tr>
      <w:tr>
        <w:trPr>
          <w:trHeight w:val="236"/>
        </w:trPr>
        <w:tc>
          <w:tcPr>
            <w:tcW w:w="6160" w:type="dxa"/>
            <w:vAlign w:val="bottom"/>
            <w:gridSpan w:val="2"/>
          </w:tcPr>
          <w:p>
            <w:pPr>
              <w:ind w:left="20"/>
              <w:spacing w:after="0"/>
              <w:rPr>
                <w:sz w:val="20"/>
                <w:szCs w:val="20"/>
                <w:color w:val="auto"/>
              </w:rPr>
            </w:pPr>
            <w:r>
              <w:rPr>
                <w:rFonts w:ascii="Arial" w:cs="Arial" w:eastAsia="Arial" w:hAnsi="Arial"/>
                <w:sz w:val="14"/>
                <w:szCs w:val="14"/>
                <w:color w:val="131E29"/>
              </w:rPr>
              <w:t>(dollars in thousands; unaudited)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Pr>
          <w:p>
            <w:pPr>
              <w:spacing w:after="0"/>
              <w:rPr>
                <w:sz w:val="20"/>
                <w:szCs w:val="20"/>
                <w:color w:val="auto"/>
              </w:rPr>
            </w:pPr>
          </w:p>
        </w:tc>
        <w:tc>
          <w:tcPr>
            <w:tcW w:w="2400" w:type="dxa"/>
            <w:vAlign w:val="bottom"/>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20"/>
        </w:trPr>
        <w:tc>
          <w:tcPr>
            <w:tcW w:w="6060" w:type="dxa"/>
            <w:vAlign w:val="bottom"/>
            <w:tcBorders>
              <w:top w:val="single" w:sz="8" w:color="D7282F"/>
              <w:bottom w:val="single" w:sz="8" w:color="D2DCE5"/>
            </w:tcBorders>
            <w:shd w:val="clear" w:color="auto" w:fill="D2DCE5"/>
          </w:tcPr>
          <w:p>
            <w:pPr>
              <w:ind w:left="20"/>
              <w:spacing w:after="0"/>
              <w:rPr>
                <w:sz w:val="20"/>
                <w:szCs w:val="20"/>
                <w:color w:val="auto"/>
              </w:rPr>
            </w:pPr>
            <w:r>
              <w:rPr>
                <w:rFonts w:ascii="Arial" w:cs="Arial" w:eastAsia="Arial" w:hAnsi="Arial"/>
                <w:sz w:val="16"/>
                <w:szCs w:val="16"/>
                <w:color w:val="131E29"/>
                <w:highlight w:val="lightGray"/>
              </w:rPr>
              <w:t>Labor costs</w:t>
            </w:r>
          </w:p>
        </w:tc>
        <w:tc>
          <w:tcPr>
            <w:tcW w:w="100" w:type="dxa"/>
            <w:vAlign w:val="bottom"/>
            <w:tcBorders>
              <w:top w:val="single" w:sz="8" w:color="D2DCE5"/>
              <w:bottom w:val="single" w:sz="8" w:color="D2DCE5"/>
            </w:tcBorders>
            <w:shd w:val="clear" w:color="auto" w:fill="D2DCE5"/>
          </w:tcPr>
          <w:p>
            <w:pPr>
              <w:spacing w:after="0"/>
              <w:rPr>
                <w:sz w:val="19"/>
                <w:szCs w:val="19"/>
                <w:color w:val="auto"/>
              </w:rPr>
            </w:pPr>
          </w:p>
        </w:tc>
        <w:tc>
          <w:tcPr>
            <w:tcW w:w="1240" w:type="dxa"/>
            <w:vAlign w:val="bottom"/>
            <w:tcBorders>
              <w:top w:val="single" w:sz="8" w:color="D7282F"/>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006098"/>
                <w:w w:val="98"/>
              </w:rPr>
              <w:t>$112,305</w:t>
            </w:r>
          </w:p>
        </w:tc>
        <w:tc>
          <w:tcPr>
            <w:tcW w:w="100" w:type="dxa"/>
            <w:vAlign w:val="bottom"/>
            <w:tcBorders>
              <w:top w:val="single" w:sz="8" w:color="D2DCE5"/>
              <w:bottom w:val="single" w:sz="8" w:color="D2DCE5"/>
            </w:tcBorders>
            <w:shd w:val="clear" w:color="auto" w:fill="D2DCE5"/>
          </w:tcPr>
          <w:p>
            <w:pPr>
              <w:spacing w:after="0"/>
              <w:rPr>
                <w:sz w:val="19"/>
                <w:szCs w:val="19"/>
                <w:color w:val="auto"/>
              </w:rPr>
            </w:pPr>
          </w:p>
        </w:tc>
        <w:tc>
          <w:tcPr>
            <w:tcW w:w="1240" w:type="dxa"/>
            <w:vAlign w:val="bottom"/>
            <w:tcBorders>
              <w:top w:val="single" w:sz="8" w:color="D7282F"/>
              <w:bottom w:val="single" w:sz="8" w:color="D2DCE5"/>
            </w:tcBorders>
            <w:shd w:val="clear" w:color="auto" w:fill="D2DCE5"/>
          </w:tcPr>
          <w:p>
            <w:pPr>
              <w:jc w:val="center"/>
              <w:spacing w:after="0"/>
              <w:rPr>
                <w:sz w:val="20"/>
                <w:szCs w:val="20"/>
                <w:color w:val="auto"/>
              </w:rPr>
            </w:pPr>
            <w:r>
              <w:rPr>
                <w:rFonts w:ascii="Arial" w:cs="Arial" w:eastAsia="Arial" w:hAnsi="Arial"/>
                <w:sz w:val="16"/>
                <w:szCs w:val="16"/>
                <w:color w:val="131E29"/>
              </w:rPr>
              <w:t>$89,439</w:t>
            </w:r>
          </w:p>
        </w:tc>
        <w:tc>
          <w:tcPr>
            <w:tcW w:w="100" w:type="dxa"/>
            <w:vAlign w:val="bottom"/>
            <w:tcBorders>
              <w:top w:val="single" w:sz="8" w:color="D2DCE5"/>
              <w:bottom w:val="single" w:sz="8" w:color="D2DCE5"/>
            </w:tcBorders>
            <w:shd w:val="clear" w:color="auto" w:fill="D2DCE5"/>
          </w:tcPr>
          <w:p>
            <w:pPr>
              <w:spacing w:after="0"/>
              <w:rPr>
                <w:sz w:val="19"/>
                <w:szCs w:val="19"/>
                <w:color w:val="auto"/>
              </w:rPr>
            </w:pPr>
          </w:p>
        </w:tc>
        <w:tc>
          <w:tcPr>
            <w:tcW w:w="1300" w:type="dxa"/>
            <w:vAlign w:val="bottom"/>
            <w:tcBorders>
              <w:top w:val="single" w:sz="8" w:color="D7282F"/>
              <w:bottom w:val="single" w:sz="8" w:color="D2DCE5"/>
            </w:tcBorders>
            <w:shd w:val="clear" w:color="auto" w:fill="D2DCE5"/>
          </w:tcPr>
          <w:p>
            <w:pPr>
              <w:jc w:val="right"/>
              <w:ind w:right="299"/>
              <w:spacing w:after="0"/>
              <w:rPr>
                <w:sz w:val="20"/>
                <w:szCs w:val="20"/>
                <w:color w:val="auto"/>
              </w:rPr>
            </w:pPr>
            <w:r>
              <w:rPr>
                <w:rFonts w:ascii="Arial" w:cs="Arial" w:eastAsia="Arial" w:hAnsi="Arial"/>
                <w:sz w:val="16"/>
                <w:szCs w:val="16"/>
                <w:color w:val="131E29"/>
              </w:rPr>
              <w:t>$22,866</w:t>
            </w:r>
          </w:p>
        </w:tc>
        <w:tc>
          <w:tcPr>
            <w:tcW w:w="1100" w:type="dxa"/>
            <w:vAlign w:val="bottom"/>
            <w:tcBorders>
              <w:top w:val="single" w:sz="8" w:color="D7282F"/>
              <w:bottom w:val="single" w:sz="8" w:color="D2DCE5"/>
            </w:tcBorders>
            <w:shd w:val="clear" w:color="auto" w:fill="D2DCE5"/>
          </w:tcPr>
          <w:p>
            <w:pPr>
              <w:jc w:val="right"/>
              <w:ind w:right="219"/>
              <w:spacing w:after="0"/>
              <w:rPr>
                <w:sz w:val="20"/>
                <w:szCs w:val="20"/>
                <w:color w:val="auto"/>
              </w:rPr>
            </w:pPr>
            <w:r>
              <w:rPr>
                <w:rFonts w:ascii="Arial" w:cs="Arial" w:eastAsia="Arial" w:hAnsi="Arial"/>
                <w:sz w:val="16"/>
                <w:szCs w:val="16"/>
                <w:color w:val="131E29"/>
              </w:rPr>
              <w:t>25.6%</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shops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rPr>
              <w:t>26.2%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27.4%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131E29"/>
              </w:rPr>
              <w:t>N/A</w:t>
            </w:r>
          </w:p>
        </w:tc>
        <w:tc>
          <w:tcPr>
            <w:tcW w:w="1100" w:type="dxa"/>
            <w:vAlign w:val="bottom"/>
          </w:tcPr>
          <w:p>
            <w:pPr>
              <w:jc w:val="center"/>
              <w:spacing w:after="0"/>
              <w:rPr>
                <w:sz w:val="20"/>
                <w:szCs w:val="20"/>
                <w:color w:val="auto"/>
              </w:rPr>
            </w:pPr>
            <w:r>
              <w:rPr>
                <w:rFonts w:ascii="Arial" w:cs="Arial" w:eastAsia="Arial" w:hAnsi="Arial"/>
                <w:sz w:val="16"/>
                <w:szCs w:val="16"/>
                <w:color w:val="131E29"/>
              </w:rPr>
              <w:t>(120) bps</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a percentage of company-operated shops revenues, labor costs decreased by 120 basis points primarily due to sales leverage and the impact of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Occupancy and Other Costs</w:t>
      </w:r>
    </w:p>
    <w:p>
      <w:pPr>
        <w:spacing w:after="0" w:line="201"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29210</wp:posOffset>
            </wp:positionV>
            <wp:extent cx="32232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19"/>
                <w:szCs w:val="19"/>
                <w:color w:val="auto"/>
              </w:rPr>
            </w:pPr>
          </w:p>
        </w:tc>
        <w:tc>
          <w:tcPr>
            <w:tcW w:w="2400" w:type="dxa"/>
            <w:vAlign w:val="bottom"/>
            <w:tcBorders>
              <w:bottom w:val="single" w:sz="8" w:color="D7282F"/>
            </w:tcBorders>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Occupancy and other costs</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$76,785</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$53,927</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right"/>
              <w:ind w:right="239"/>
              <w:spacing w:after="0"/>
              <w:rPr>
                <w:sz w:val="20"/>
                <w:szCs w:val="20"/>
                <w:color w:val="auto"/>
              </w:rPr>
            </w:pPr>
            <w:r>
              <w:rPr>
                <w:rFonts w:ascii="Arial" w:cs="Arial" w:eastAsia="Arial" w:hAnsi="Arial"/>
                <w:sz w:val="16"/>
                <w:szCs w:val="16"/>
                <w:color w:val="131E29"/>
              </w:rPr>
              <w:t>$22,858</w:t>
            </w:r>
          </w:p>
        </w:tc>
        <w:tc>
          <w:tcPr>
            <w:tcW w:w="116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42.4%</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shops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rPr>
              <w:t>17.8%</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16.5%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N/A</w:t>
            </w:r>
          </w:p>
        </w:tc>
        <w:tc>
          <w:tcPr>
            <w:tcW w:w="1160" w:type="dxa"/>
            <w:vAlign w:val="bottom"/>
          </w:tcPr>
          <w:p>
            <w:pPr>
              <w:jc w:val="center"/>
              <w:ind w:left="19"/>
              <w:spacing w:after="0"/>
              <w:rPr>
                <w:sz w:val="20"/>
                <w:szCs w:val="20"/>
                <w:color w:val="auto"/>
              </w:rPr>
            </w:pPr>
            <w:r>
              <w:rPr>
                <w:rFonts w:ascii="Arial" w:cs="Arial" w:eastAsia="Arial" w:hAnsi="Arial"/>
                <w:sz w:val="16"/>
                <w:szCs w:val="16"/>
                <w:color w:val="131E29"/>
              </w:rPr>
              <w:t>130 bps</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a percentage of company-operated shops revenues, occupancy and other costs increased by 130 basis points. This increase was primarily due to higher rent on new shops as we shift more of our portfolio to build-to-suit leases and higher repair and maintenance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Pre-opening Costs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D7282F"/>
            </w:tcBorders>
          </w:tcPr>
          <w:p>
            <w:pPr>
              <w:spacing w:after="0"/>
              <w:rPr>
                <w:sz w:val="19"/>
                <w:szCs w:val="19"/>
                <w:color w:val="auto"/>
              </w:rPr>
            </w:pPr>
          </w:p>
        </w:tc>
        <w:tc>
          <w:tcPr>
            <w:tcW w:w="100" w:type="dxa"/>
            <w:vAlign w:val="bottom"/>
            <w:tcBorders>
              <w:bottom w:val="single" w:sz="8" w:color="D7282F"/>
            </w:tcBorders>
          </w:tcPr>
          <w:p>
            <w:pPr>
              <w:spacing w:after="0"/>
              <w:rPr>
                <w:sz w:val="19"/>
                <w:szCs w:val="19"/>
                <w:color w:val="auto"/>
              </w:rPr>
            </w:pPr>
          </w:p>
        </w:tc>
        <w:tc>
          <w:tcPr>
            <w:tcW w:w="2660" w:type="dxa"/>
            <w:vAlign w:val="bottom"/>
            <w:tcBorders>
              <w:bottom w:val="single" w:sz="8" w:color="D7282F"/>
            </w:tcBorders>
            <w:gridSpan w:val="3"/>
          </w:tcPr>
          <w:p>
            <w:pPr>
              <w:spacing w:after="0"/>
              <w:rPr>
                <w:sz w:val="20"/>
                <w:szCs w:val="20"/>
                <w:color w:val="auto"/>
              </w:rPr>
            </w:pPr>
            <w:r>
              <w:rPr>
                <w:rFonts w:ascii="Arial" w:cs="Arial" w:eastAsia="Arial" w:hAnsi="Arial"/>
                <w:sz w:val="16"/>
                <w:szCs w:val="16"/>
                <w:b w:val="1"/>
                <w:bCs w:val="1"/>
                <w:color w:val="131E29"/>
              </w:rPr>
              <w:t>Three Months Ended March 31,</w:t>
            </w:r>
          </w:p>
        </w:tc>
        <w:tc>
          <w:tcPr>
            <w:tcW w:w="1080" w:type="dxa"/>
            <w:vAlign w:val="bottom"/>
            <w:tcBorders>
              <w:bottom w:val="single" w:sz="8" w:color="D7282F"/>
            </w:tcBorders>
          </w:tcPr>
          <w:p>
            <w:pPr>
              <w:spacing w:after="0"/>
              <w:rPr>
                <w:sz w:val="19"/>
                <w:szCs w:val="19"/>
                <w:color w:val="auto"/>
              </w:rPr>
            </w:pPr>
          </w:p>
        </w:tc>
      </w:tr>
      <w:tr>
        <w:trPr>
          <w:trHeight w:val="237"/>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20"/>
                <w:szCs w:val="20"/>
                <w:color w:val="auto"/>
              </w:rPr>
            </w:pPr>
          </w:p>
        </w:tc>
        <w:tc>
          <w:tcPr>
            <w:tcW w:w="2400" w:type="dxa"/>
            <w:vAlign w:val="bottom"/>
            <w:tcBorders>
              <w:bottom w:val="single" w:sz="8" w:color="D7282F"/>
            </w:tcBorders>
            <w:gridSpan w:val="2"/>
          </w:tcPr>
          <w:p>
            <w:pPr>
              <w:jc w:val="right"/>
              <w:ind w:right="659"/>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Pre-opening costs</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$6,341</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$5,611</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$730</w:t>
            </w:r>
          </w:p>
        </w:tc>
        <w:tc>
          <w:tcPr>
            <w:tcW w:w="108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13.0%</w:t>
            </w:r>
          </w:p>
        </w:tc>
      </w:tr>
      <w:tr>
        <w:trPr>
          <w:trHeight w:val="242"/>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shops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w w:val="98"/>
              </w:rPr>
              <w:t>1.5%</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w w:val="98"/>
              </w:rPr>
              <w:t>1.7%</w:t>
            </w:r>
          </w:p>
        </w:tc>
        <w:tc>
          <w:tcPr>
            <w:tcW w:w="100" w:type="dxa"/>
            <w:vAlign w:val="bottom"/>
          </w:tcPr>
          <w:p>
            <w:pPr>
              <w:spacing w:after="0"/>
              <w:rPr>
                <w:sz w:val="21"/>
                <w:szCs w:val="21"/>
                <w:color w:val="auto"/>
              </w:rPr>
            </w:pPr>
          </w:p>
        </w:tc>
        <w:tc>
          <w:tcPr>
            <w:tcW w:w="1320" w:type="dxa"/>
            <w:vAlign w:val="bottom"/>
          </w:tcPr>
          <w:p>
            <w:pPr>
              <w:ind w:left="480"/>
              <w:spacing w:after="0"/>
              <w:rPr>
                <w:sz w:val="20"/>
                <w:szCs w:val="20"/>
                <w:color w:val="auto"/>
              </w:rPr>
            </w:pPr>
            <w:r>
              <w:rPr>
                <w:rFonts w:ascii="Arial" w:cs="Arial" w:eastAsia="Arial" w:hAnsi="Arial"/>
                <w:sz w:val="16"/>
                <w:szCs w:val="16"/>
                <w:color w:val="131E29"/>
              </w:rPr>
              <w:t>N/A</w:t>
            </w:r>
          </w:p>
        </w:tc>
        <w:tc>
          <w:tcPr>
            <w:tcW w:w="1080" w:type="dxa"/>
            <w:vAlign w:val="bottom"/>
          </w:tcPr>
          <w:p>
            <w:pPr>
              <w:jc w:val="right"/>
              <w:ind w:right="159"/>
              <w:spacing w:after="0"/>
              <w:rPr>
                <w:sz w:val="20"/>
                <w:szCs w:val="20"/>
                <w:color w:val="auto"/>
              </w:rPr>
            </w:pPr>
            <w:r>
              <w:rPr>
                <w:rFonts w:ascii="Arial" w:cs="Arial" w:eastAsia="Arial" w:hAnsi="Arial"/>
                <w:sz w:val="16"/>
                <w:szCs w:val="16"/>
                <w:color w:val="131E29"/>
              </w:rPr>
              <w:t>(20) bps</w:t>
            </w:r>
          </w:p>
        </w:tc>
      </w:tr>
      <w:tr>
        <w:trPr>
          <w:trHeight w:val="244"/>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New company-operated shops opened</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33</w:t>
            </w:r>
          </w:p>
        </w:tc>
        <w:tc>
          <w:tcPr>
            <w:tcW w:w="100" w:type="dxa"/>
            <w:vAlign w:val="bottom"/>
            <w:shd w:val="clear" w:color="auto" w:fill="D2DCE5"/>
          </w:tcPr>
          <w:p>
            <w:pPr>
              <w:spacing w:after="0"/>
              <w:rPr>
                <w:sz w:val="21"/>
                <w:szCs w:val="21"/>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25</w:t>
            </w:r>
          </w:p>
        </w:tc>
        <w:tc>
          <w:tcPr>
            <w:tcW w:w="100" w:type="dxa"/>
            <w:vAlign w:val="bottom"/>
            <w:shd w:val="clear" w:color="auto" w:fill="D2DCE5"/>
          </w:tcPr>
          <w:p>
            <w:pPr>
              <w:spacing w:after="0"/>
              <w:rPr>
                <w:sz w:val="21"/>
                <w:szCs w:val="21"/>
                <w:color w:val="auto"/>
              </w:rPr>
            </w:pPr>
          </w:p>
        </w:tc>
        <w:tc>
          <w:tcPr>
            <w:tcW w:w="132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89"/>
              </w:rPr>
              <w:t>8</w:t>
            </w:r>
          </w:p>
        </w:tc>
        <w:tc>
          <w:tcPr>
            <w:tcW w:w="108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32.0%</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color w:val="131E29"/>
              </w:rPr>
              <w:t>Pre-opening costs per new company-operated shop</w:t>
            </w:r>
          </w:p>
        </w:tc>
        <w:tc>
          <w:tcPr>
            <w:tcW w:w="1240" w:type="dxa"/>
            <w:vAlign w:val="bottom"/>
          </w:tcPr>
          <w:p>
            <w:pPr>
              <w:jc w:val="center"/>
              <w:spacing w:after="0"/>
              <w:rPr>
                <w:sz w:val="20"/>
                <w:szCs w:val="20"/>
                <w:color w:val="auto"/>
              </w:rPr>
            </w:pPr>
            <w:r>
              <w:rPr>
                <w:rFonts w:ascii="Arial" w:cs="Arial" w:eastAsia="Arial" w:hAnsi="Arial"/>
                <w:sz w:val="16"/>
                <w:szCs w:val="16"/>
                <w:color w:val="006098"/>
              </w:rPr>
              <w:t>$192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$224</w:t>
            </w:r>
          </w:p>
        </w:tc>
        <w:tc>
          <w:tcPr>
            <w:tcW w:w="100" w:type="dxa"/>
            <w:vAlign w:val="bottom"/>
          </w:tcPr>
          <w:p>
            <w:pPr>
              <w:spacing w:after="0"/>
              <w:rPr>
                <w:sz w:val="20"/>
                <w:szCs w:val="20"/>
                <w:color w:val="auto"/>
              </w:rPr>
            </w:pPr>
          </w:p>
        </w:tc>
        <w:tc>
          <w:tcPr>
            <w:tcW w:w="1320" w:type="dxa"/>
            <w:vAlign w:val="bottom"/>
          </w:tcPr>
          <w:p>
            <w:pPr>
              <w:jc w:val="center"/>
              <w:ind w:right="19"/>
              <w:spacing w:after="0"/>
              <w:rPr>
                <w:sz w:val="20"/>
                <w:szCs w:val="20"/>
                <w:color w:val="auto"/>
              </w:rPr>
            </w:pPr>
            <w:r>
              <w:rPr>
                <w:rFonts w:ascii="Arial" w:cs="Arial" w:eastAsia="Arial" w:hAnsi="Arial"/>
                <w:sz w:val="16"/>
                <w:szCs w:val="16"/>
                <w:color w:val="131E29"/>
              </w:rPr>
              <w:t>$(32)</w:t>
            </w:r>
          </w:p>
        </w:tc>
        <w:tc>
          <w:tcPr>
            <w:tcW w:w="1080" w:type="dxa"/>
            <w:vAlign w:val="bottom"/>
          </w:tcPr>
          <w:p>
            <w:pPr>
              <w:jc w:val="right"/>
              <w:ind w:right="159"/>
              <w:spacing w:after="0"/>
              <w:rPr>
                <w:sz w:val="20"/>
                <w:szCs w:val="20"/>
                <w:color w:val="auto"/>
              </w:rPr>
            </w:pPr>
            <w:r>
              <w:rPr>
                <w:rFonts w:ascii="Arial" w:cs="Arial" w:eastAsia="Arial" w:hAnsi="Arial"/>
                <w:sz w:val="16"/>
                <w:szCs w:val="16"/>
                <w:color w:val="131E29"/>
              </w:rPr>
              <w:t>(14.3)%</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pre-opening costs was primarily driven by increased travel for setup and training teams, and lease expense related to unopened shops in the current period as compared to the prior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Depreciation and Amortization</w:t>
      </w:r>
    </w:p>
    <w:p>
      <w:pPr>
        <w:spacing w:after="0" w:line="201"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29210</wp:posOffset>
            </wp:positionV>
            <wp:extent cx="32232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19"/>
                <w:szCs w:val="19"/>
                <w:color w:val="auto"/>
              </w:rPr>
            </w:pPr>
          </w:p>
        </w:tc>
        <w:tc>
          <w:tcPr>
            <w:tcW w:w="2400" w:type="dxa"/>
            <w:vAlign w:val="bottom"/>
            <w:tcBorders>
              <w:bottom w:val="single" w:sz="8" w:color="D7282F"/>
            </w:tcBorders>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Depreciation and amortization</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$35,522</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$24,567</w:t>
            </w:r>
          </w:p>
        </w:tc>
        <w:tc>
          <w:tcPr>
            <w:tcW w:w="100" w:type="dxa"/>
            <w:vAlign w:val="bottom"/>
            <w:shd w:val="clear" w:color="auto" w:fill="D2DCE5"/>
          </w:tcPr>
          <w:p>
            <w:pPr>
              <w:spacing w:after="0"/>
              <w:rPr>
                <w:sz w:val="20"/>
                <w:szCs w:val="20"/>
                <w:color w:val="auto"/>
              </w:rPr>
            </w:pPr>
          </w:p>
        </w:tc>
        <w:tc>
          <w:tcPr>
            <w:tcW w:w="1260" w:type="dxa"/>
            <w:vAlign w:val="bottom"/>
            <w:shd w:val="clear" w:color="auto" w:fill="D2DCE5"/>
          </w:tcPr>
          <w:p>
            <w:pPr>
              <w:jc w:val="right"/>
              <w:ind w:right="259"/>
              <w:spacing w:after="0"/>
              <w:rPr>
                <w:sz w:val="20"/>
                <w:szCs w:val="20"/>
                <w:color w:val="auto"/>
              </w:rPr>
            </w:pPr>
            <w:r>
              <w:rPr>
                <w:rFonts w:ascii="Arial" w:cs="Arial" w:eastAsia="Arial" w:hAnsi="Arial"/>
                <w:sz w:val="16"/>
                <w:szCs w:val="16"/>
                <w:color w:val="131E29"/>
              </w:rPr>
              <w:t>$10,955</w:t>
            </w:r>
          </w:p>
        </w:tc>
        <w:tc>
          <w:tcPr>
            <w:tcW w:w="1140" w:type="dxa"/>
            <w:vAlign w:val="bottom"/>
            <w:shd w:val="clear" w:color="auto" w:fill="D2DCE5"/>
          </w:tcPr>
          <w:p>
            <w:pPr>
              <w:ind w:left="380"/>
              <w:spacing w:after="0"/>
              <w:rPr>
                <w:sz w:val="20"/>
                <w:szCs w:val="20"/>
                <w:color w:val="auto"/>
              </w:rPr>
            </w:pPr>
            <w:r>
              <w:rPr>
                <w:rFonts w:ascii="Arial" w:cs="Arial" w:eastAsia="Arial" w:hAnsi="Arial"/>
                <w:sz w:val="16"/>
                <w:szCs w:val="16"/>
                <w:color w:val="131E29"/>
              </w:rPr>
              <w:t>44.6%</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shops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w w:val="98"/>
              </w:rPr>
              <w:t>8.3%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w w:val="98"/>
              </w:rPr>
              <w:t>7.5%</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131E29"/>
              </w:rPr>
              <w:t>N/A</w:t>
            </w:r>
          </w:p>
        </w:tc>
        <w:tc>
          <w:tcPr>
            <w:tcW w:w="1140" w:type="dxa"/>
            <w:vAlign w:val="bottom"/>
          </w:tcPr>
          <w:p>
            <w:pPr>
              <w:ind w:left="360"/>
              <w:spacing w:after="0"/>
              <w:rPr>
                <w:sz w:val="20"/>
                <w:szCs w:val="20"/>
                <w:color w:val="auto"/>
              </w:rPr>
            </w:pPr>
            <w:r>
              <w:rPr>
                <w:rFonts w:ascii="Arial" w:cs="Arial" w:eastAsia="Arial" w:hAnsi="Arial"/>
                <w:sz w:val="16"/>
                <w:szCs w:val="16"/>
                <w:color w:val="131E29"/>
              </w:rPr>
              <w:t>80 bps</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131E29"/>
        </w:rPr>
        <w:t>The increase in depreciation and amortization was primarily driven by the increase in the number of company-operated shops in the current period compared to the prior period and an adjustment recorded in 2026 as a result of our evaluation of the useful lives of certain shop related assets previously placed into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Company-operated Shops Gross Profit and Contribution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factors described above resulted in a gross profit margin decrease of 190 basis points for the three months ended March 31, 2026 compared to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D7282F"/>
            </w:tcBorders>
          </w:tcPr>
          <w:p>
            <w:pPr>
              <w:spacing w:after="0"/>
              <w:rPr>
                <w:sz w:val="19"/>
                <w:szCs w:val="19"/>
                <w:color w:val="auto"/>
              </w:rPr>
            </w:pPr>
          </w:p>
        </w:tc>
        <w:tc>
          <w:tcPr>
            <w:tcW w:w="100" w:type="dxa"/>
            <w:vAlign w:val="bottom"/>
            <w:tcBorders>
              <w:bottom w:val="single" w:sz="8" w:color="D7282F"/>
            </w:tcBorders>
          </w:tcPr>
          <w:p>
            <w:pPr>
              <w:spacing w:after="0"/>
              <w:rPr>
                <w:sz w:val="19"/>
                <w:szCs w:val="19"/>
                <w:color w:val="auto"/>
              </w:rPr>
            </w:pPr>
          </w:p>
        </w:tc>
        <w:tc>
          <w:tcPr>
            <w:tcW w:w="2640" w:type="dxa"/>
            <w:vAlign w:val="bottom"/>
            <w:tcBorders>
              <w:bottom w:val="single" w:sz="8" w:color="D7282F"/>
            </w:tcBorders>
            <w:gridSpan w:val="3"/>
          </w:tcPr>
          <w:p>
            <w:pPr>
              <w:spacing w:after="0"/>
              <w:rPr>
                <w:sz w:val="20"/>
                <w:szCs w:val="20"/>
                <w:color w:val="auto"/>
              </w:rPr>
            </w:pPr>
            <w:r>
              <w:rPr>
                <w:rFonts w:ascii="Arial" w:cs="Arial" w:eastAsia="Arial" w:hAnsi="Arial"/>
                <w:sz w:val="16"/>
                <w:szCs w:val="16"/>
                <w:b w:val="1"/>
                <w:bCs w:val="1"/>
                <w:color w:val="131E29"/>
              </w:rPr>
              <w:t>Three Months Ended March 31,</w:t>
            </w:r>
          </w:p>
        </w:tc>
        <w:tc>
          <w:tcPr>
            <w:tcW w:w="1100" w:type="dxa"/>
            <w:vAlign w:val="bottom"/>
            <w:tcBorders>
              <w:bottom w:val="single" w:sz="8" w:color="D7282F"/>
            </w:tcBorders>
          </w:tcPr>
          <w:p>
            <w:pPr>
              <w:spacing w:after="0"/>
              <w:rPr>
                <w:sz w:val="19"/>
                <w:szCs w:val="19"/>
                <w:color w:val="auto"/>
              </w:rPr>
            </w:pPr>
          </w:p>
        </w:tc>
      </w:tr>
      <w:tr>
        <w:trPr>
          <w:trHeight w:val="23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20"/>
                <w:szCs w:val="20"/>
                <w:color w:val="auto"/>
              </w:rPr>
            </w:pPr>
          </w:p>
        </w:tc>
        <w:tc>
          <w:tcPr>
            <w:tcW w:w="2400" w:type="dxa"/>
            <w:vAlign w:val="bottom"/>
            <w:tcBorders>
              <w:bottom w:val="single" w:sz="8" w:color="D7282F"/>
            </w:tcBorders>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shops gross profit</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$85,782</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$71,498</w:t>
            </w:r>
          </w:p>
        </w:tc>
        <w:tc>
          <w:tcPr>
            <w:tcW w:w="100" w:type="dxa"/>
            <w:vAlign w:val="bottom"/>
            <w:shd w:val="clear" w:color="auto" w:fill="D2DCE5"/>
          </w:tcPr>
          <w:p>
            <w:pPr>
              <w:spacing w:after="0"/>
              <w:rPr>
                <w:sz w:val="20"/>
                <w:szCs w:val="20"/>
                <w:color w:val="auto"/>
              </w:rPr>
            </w:pPr>
          </w:p>
        </w:tc>
        <w:tc>
          <w:tcPr>
            <w:tcW w:w="130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$14,284</w:t>
            </w:r>
          </w:p>
        </w:tc>
        <w:tc>
          <w:tcPr>
            <w:tcW w:w="110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20.0%</w:t>
            </w:r>
          </w:p>
        </w:tc>
      </w:tr>
      <w:tr>
        <w:trPr>
          <w:trHeight w:val="242"/>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shops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rPr>
              <w:t>20.0%</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21.9%</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131E29"/>
              </w:rPr>
              <w:t>N/A</w:t>
            </w:r>
          </w:p>
        </w:tc>
        <w:tc>
          <w:tcPr>
            <w:tcW w:w="1100" w:type="dxa"/>
            <w:vAlign w:val="bottom"/>
          </w:tcPr>
          <w:p>
            <w:pPr>
              <w:jc w:val="center"/>
              <w:spacing w:after="0"/>
              <w:rPr>
                <w:sz w:val="20"/>
                <w:szCs w:val="20"/>
                <w:color w:val="auto"/>
              </w:rPr>
            </w:pPr>
            <w:r>
              <w:rPr>
                <w:rFonts w:ascii="Arial" w:cs="Arial" w:eastAsia="Arial" w:hAnsi="Arial"/>
                <w:sz w:val="16"/>
                <w:szCs w:val="16"/>
                <w:color w:val="131E29"/>
              </w:rPr>
              <w:t>(190) bps</w:t>
            </w:r>
          </w:p>
        </w:tc>
      </w:tr>
      <w:tr>
        <w:trPr>
          <w:trHeight w:val="244"/>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Company-operated shops contribution</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$121,304</w:t>
            </w:r>
          </w:p>
        </w:tc>
        <w:tc>
          <w:tcPr>
            <w:tcW w:w="100" w:type="dxa"/>
            <w:vAlign w:val="bottom"/>
            <w:shd w:val="clear" w:color="auto" w:fill="D2DCE5"/>
          </w:tcPr>
          <w:p>
            <w:pPr>
              <w:spacing w:after="0"/>
              <w:rPr>
                <w:sz w:val="21"/>
                <w:szCs w:val="21"/>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$96,065</w:t>
            </w:r>
          </w:p>
        </w:tc>
        <w:tc>
          <w:tcPr>
            <w:tcW w:w="100" w:type="dxa"/>
            <w:vAlign w:val="bottom"/>
            <w:shd w:val="clear" w:color="auto" w:fill="D2DCE5"/>
          </w:tcPr>
          <w:p>
            <w:pPr>
              <w:spacing w:after="0"/>
              <w:rPr>
                <w:sz w:val="21"/>
                <w:szCs w:val="21"/>
                <w:color w:val="auto"/>
              </w:rPr>
            </w:pPr>
          </w:p>
        </w:tc>
        <w:tc>
          <w:tcPr>
            <w:tcW w:w="130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$25,239</w:t>
            </w:r>
          </w:p>
        </w:tc>
        <w:tc>
          <w:tcPr>
            <w:tcW w:w="110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26.3%</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company-operated shops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rPr>
              <w:t>28.3%</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29.4%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131E29"/>
              </w:rPr>
              <w:t>N/A</w:t>
            </w:r>
          </w:p>
        </w:tc>
        <w:tc>
          <w:tcPr>
            <w:tcW w:w="1100" w:type="dxa"/>
            <w:vAlign w:val="bottom"/>
          </w:tcPr>
          <w:p>
            <w:pPr>
              <w:jc w:val="center"/>
              <w:spacing w:after="0"/>
              <w:rPr>
                <w:sz w:val="20"/>
                <w:szCs w:val="20"/>
                <w:color w:val="auto"/>
              </w:rPr>
            </w:pPr>
            <w:r>
              <w:rPr>
                <w:rFonts w:ascii="Arial" w:cs="Arial" w:eastAsia="Arial" w:hAnsi="Arial"/>
                <w:sz w:val="16"/>
                <w:szCs w:val="16"/>
                <w:color w:val="131E29"/>
                <w:w w:val="97"/>
              </w:rPr>
              <w:t>(110) bps</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Franchising and Other Segment Performance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D7282F"/>
            </w:tcBorders>
          </w:tcPr>
          <w:p>
            <w:pPr>
              <w:spacing w:after="0"/>
              <w:rPr>
                <w:sz w:val="19"/>
                <w:szCs w:val="19"/>
                <w:color w:val="auto"/>
              </w:rPr>
            </w:pPr>
          </w:p>
        </w:tc>
        <w:tc>
          <w:tcPr>
            <w:tcW w:w="100" w:type="dxa"/>
            <w:vAlign w:val="bottom"/>
            <w:tcBorders>
              <w:bottom w:val="single" w:sz="8" w:color="D7282F"/>
            </w:tcBorders>
          </w:tcPr>
          <w:p>
            <w:pPr>
              <w:spacing w:after="0"/>
              <w:rPr>
                <w:sz w:val="19"/>
                <w:szCs w:val="19"/>
                <w:color w:val="auto"/>
              </w:rPr>
            </w:pPr>
          </w:p>
        </w:tc>
        <w:tc>
          <w:tcPr>
            <w:tcW w:w="2640" w:type="dxa"/>
            <w:vAlign w:val="bottom"/>
            <w:tcBorders>
              <w:bottom w:val="single" w:sz="8" w:color="D7282F"/>
            </w:tcBorders>
            <w:gridSpan w:val="3"/>
          </w:tcPr>
          <w:p>
            <w:pPr>
              <w:spacing w:after="0"/>
              <w:rPr>
                <w:sz w:val="20"/>
                <w:szCs w:val="20"/>
                <w:color w:val="auto"/>
              </w:rPr>
            </w:pPr>
            <w:r>
              <w:rPr>
                <w:rFonts w:ascii="Arial" w:cs="Arial" w:eastAsia="Arial" w:hAnsi="Arial"/>
                <w:sz w:val="16"/>
                <w:szCs w:val="16"/>
                <w:b w:val="1"/>
                <w:bCs w:val="1"/>
                <w:color w:val="131E29"/>
              </w:rPr>
              <w:t>Three Months Ended March 31,</w:t>
            </w:r>
          </w:p>
        </w:tc>
        <w:tc>
          <w:tcPr>
            <w:tcW w:w="1100" w:type="dxa"/>
            <w:vAlign w:val="bottom"/>
            <w:tcBorders>
              <w:bottom w:val="single" w:sz="8" w:color="D7282F"/>
            </w:tcBorders>
          </w:tcPr>
          <w:p>
            <w:pPr>
              <w:spacing w:after="0"/>
              <w:rPr>
                <w:sz w:val="19"/>
                <w:szCs w:val="19"/>
                <w:color w:val="auto"/>
              </w:rPr>
            </w:pPr>
          </w:p>
        </w:tc>
      </w:tr>
      <w:tr>
        <w:trPr>
          <w:trHeight w:val="237"/>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20"/>
                <w:szCs w:val="20"/>
                <w:color w:val="auto"/>
              </w:rPr>
            </w:pPr>
          </w:p>
        </w:tc>
        <w:tc>
          <w:tcPr>
            <w:tcW w:w="2400" w:type="dxa"/>
            <w:vAlign w:val="bottom"/>
            <w:tcBorders>
              <w:bottom w:val="single" w:sz="8" w:color="D7282F"/>
            </w:tcBorders>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Franchising and other revenue</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$35,355</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$28,731</w:t>
            </w:r>
          </w:p>
        </w:tc>
        <w:tc>
          <w:tcPr>
            <w:tcW w:w="100" w:type="dxa"/>
            <w:vAlign w:val="bottom"/>
            <w:shd w:val="clear" w:color="auto" w:fill="D2DCE5"/>
          </w:tcPr>
          <w:p>
            <w:pPr>
              <w:spacing w:after="0"/>
              <w:rPr>
                <w:sz w:val="20"/>
                <w:szCs w:val="20"/>
                <w:color w:val="auto"/>
              </w:rPr>
            </w:pPr>
          </w:p>
        </w:tc>
        <w:tc>
          <w:tcPr>
            <w:tcW w:w="1300" w:type="dxa"/>
            <w:vAlign w:val="bottom"/>
            <w:shd w:val="clear" w:color="auto" w:fill="D2DCE5"/>
          </w:tcPr>
          <w:p>
            <w:pPr>
              <w:jc w:val="right"/>
              <w:ind w:right="359"/>
              <w:spacing w:after="0"/>
              <w:rPr>
                <w:sz w:val="20"/>
                <w:szCs w:val="20"/>
                <w:color w:val="auto"/>
              </w:rPr>
            </w:pPr>
            <w:r>
              <w:rPr>
                <w:rFonts w:ascii="Arial" w:cs="Arial" w:eastAsia="Arial" w:hAnsi="Arial"/>
                <w:sz w:val="16"/>
                <w:szCs w:val="16"/>
                <w:color w:val="131E29"/>
              </w:rPr>
              <w:t>$6,624</w:t>
            </w:r>
          </w:p>
        </w:tc>
        <w:tc>
          <w:tcPr>
            <w:tcW w:w="110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23.1%</w:t>
            </w:r>
          </w:p>
        </w:tc>
      </w:tr>
      <w:tr>
        <w:trPr>
          <w:trHeight w:val="242"/>
        </w:trPr>
        <w:tc>
          <w:tcPr>
            <w:tcW w:w="6160" w:type="dxa"/>
            <w:vAlign w:val="bottom"/>
            <w:gridSpan w:val="2"/>
          </w:tcPr>
          <w:p>
            <w:pPr>
              <w:ind w:left="20"/>
              <w:spacing w:after="0"/>
              <w:rPr>
                <w:sz w:val="20"/>
                <w:szCs w:val="20"/>
                <w:color w:val="auto"/>
              </w:rPr>
            </w:pPr>
            <w:r>
              <w:rPr>
                <w:rFonts w:ascii="Arial" w:cs="Arial" w:eastAsia="Arial" w:hAnsi="Arial"/>
                <w:sz w:val="16"/>
                <w:szCs w:val="16"/>
                <w:color w:val="131E29"/>
              </w:rPr>
              <w:t>Franchising and other gross profit</w:t>
            </w:r>
          </w:p>
        </w:tc>
        <w:tc>
          <w:tcPr>
            <w:tcW w:w="1240" w:type="dxa"/>
            <w:vAlign w:val="bottom"/>
          </w:tcPr>
          <w:p>
            <w:pPr>
              <w:jc w:val="center"/>
              <w:spacing w:after="0"/>
              <w:rPr>
                <w:sz w:val="20"/>
                <w:szCs w:val="20"/>
                <w:color w:val="auto"/>
              </w:rPr>
            </w:pPr>
            <w:r>
              <w:rPr>
                <w:rFonts w:ascii="Arial" w:cs="Arial" w:eastAsia="Arial" w:hAnsi="Arial"/>
                <w:sz w:val="16"/>
                <w:szCs w:val="16"/>
                <w:color w:val="006098"/>
              </w:rPr>
              <w:t>21,694</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w w:val="98"/>
              </w:rPr>
              <w:t>18,495</w:t>
            </w:r>
          </w:p>
        </w:tc>
        <w:tc>
          <w:tcPr>
            <w:tcW w:w="100" w:type="dxa"/>
            <w:vAlign w:val="bottom"/>
          </w:tcPr>
          <w:p>
            <w:pPr>
              <w:spacing w:after="0"/>
              <w:rPr>
                <w:sz w:val="21"/>
                <w:szCs w:val="21"/>
                <w:color w:val="auto"/>
              </w:rPr>
            </w:pPr>
          </w:p>
        </w:tc>
        <w:tc>
          <w:tcPr>
            <w:tcW w:w="1300" w:type="dxa"/>
            <w:vAlign w:val="bottom"/>
          </w:tcPr>
          <w:p>
            <w:pPr>
              <w:jc w:val="right"/>
              <w:ind w:right="399"/>
              <w:spacing w:after="0"/>
              <w:rPr>
                <w:sz w:val="20"/>
                <w:szCs w:val="20"/>
                <w:color w:val="auto"/>
              </w:rPr>
            </w:pPr>
            <w:r>
              <w:rPr>
                <w:rFonts w:ascii="Arial" w:cs="Arial" w:eastAsia="Arial" w:hAnsi="Arial"/>
                <w:sz w:val="16"/>
                <w:szCs w:val="16"/>
                <w:color w:val="131E29"/>
              </w:rPr>
              <w:t>3,199</w:t>
            </w:r>
          </w:p>
        </w:tc>
        <w:tc>
          <w:tcPr>
            <w:tcW w:w="1100" w:type="dxa"/>
            <w:vAlign w:val="bottom"/>
          </w:tcPr>
          <w:p>
            <w:pPr>
              <w:jc w:val="center"/>
              <w:spacing w:after="0"/>
              <w:rPr>
                <w:sz w:val="20"/>
                <w:szCs w:val="20"/>
                <w:color w:val="auto"/>
              </w:rPr>
            </w:pPr>
            <w:r>
              <w:rPr>
                <w:rFonts w:ascii="Arial" w:cs="Arial" w:eastAsia="Arial" w:hAnsi="Arial"/>
                <w:sz w:val="16"/>
                <w:szCs w:val="16"/>
                <w:color w:val="131E29"/>
              </w:rPr>
              <w:t>17.3%</w:t>
            </w:r>
          </w:p>
        </w:tc>
      </w:tr>
      <w:tr>
        <w:trPr>
          <w:trHeight w:val="244"/>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i w:val="1"/>
                <w:iCs w:val="1"/>
                <w:color w:val="131E29"/>
              </w:rPr>
              <w:t>As a percentage of franchising and other revenue</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61.4%</w:t>
            </w:r>
          </w:p>
        </w:tc>
        <w:tc>
          <w:tcPr>
            <w:tcW w:w="100" w:type="dxa"/>
            <w:vAlign w:val="bottom"/>
            <w:shd w:val="clear" w:color="auto" w:fill="D2DCE5"/>
          </w:tcPr>
          <w:p>
            <w:pPr>
              <w:spacing w:after="0"/>
              <w:rPr>
                <w:sz w:val="21"/>
                <w:szCs w:val="21"/>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64.4%</w:t>
            </w:r>
          </w:p>
        </w:tc>
        <w:tc>
          <w:tcPr>
            <w:tcW w:w="100" w:type="dxa"/>
            <w:vAlign w:val="bottom"/>
            <w:shd w:val="clear" w:color="auto" w:fill="D2DCE5"/>
          </w:tcPr>
          <w:p>
            <w:pPr>
              <w:spacing w:after="0"/>
              <w:rPr>
                <w:sz w:val="21"/>
                <w:szCs w:val="21"/>
                <w:color w:val="auto"/>
              </w:rPr>
            </w:pPr>
          </w:p>
        </w:tc>
        <w:tc>
          <w:tcPr>
            <w:tcW w:w="1300" w:type="dxa"/>
            <w:vAlign w:val="bottom"/>
            <w:shd w:val="clear" w:color="auto" w:fill="D2DCE5"/>
          </w:tcPr>
          <w:p>
            <w:pPr>
              <w:ind w:left="480"/>
              <w:spacing w:after="0"/>
              <w:rPr>
                <w:sz w:val="20"/>
                <w:szCs w:val="20"/>
                <w:color w:val="auto"/>
              </w:rPr>
            </w:pPr>
            <w:r>
              <w:rPr>
                <w:rFonts w:ascii="Arial" w:cs="Arial" w:eastAsia="Arial" w:hAnsi="Arial"/>
                <w:sz w:val="16"/>
                <w:szCs w:val="16"/>
                <w:color w:val="131E29"/>
              </w:rPr>
              <w:t>N/A</w:t>
            </w:r>
          </w:p>
        </w:tc>
        <w:tc>
          <w:tcPr>
            <w:tcW w:w="110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(300) bps</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131E29"/>
        </w:rPr>
        <w:t>The franchising and other gross profit increase of $3.2 million was driven by products sold to franchisees (net of costs and adjustments), royalties and marketing fees generated from higher franchise partner sales.</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Selling, General, and Administrative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D7282F"/>
            </w:tcBorders>
          </w:tcPr>
          <w:p>
            <w:pPr>
              <w:spacing w:after="0"/>
              <w:rPr>
                <w:sz w:val="19"/>
                <w:szCs w:val="19"/>
                <w:color w:val="auto"/>
              </w:rPr>
            </w:pPr>
          </w:p>
        </w:tc>
        <w:tc>
          <w:tcPr>
            <w:tcW w:w="100" w:type="dxa"/>
            <w:vAlign w:val="bottom"/>
            <w:tcBorders>
              <w:bottom w:val="single" w:sz="8" w:color="D7282F"/>
            </w:tcBorders>
          </w:tcPr>
          <w:p>
            <w:pPr>
              <w:spacing w:after="0"/>
              <w:rPr>
                <w:sz w:val="19"/>
                <w:szCs w:val="19"/>
                <w:color w:val="auto"/>
              </w:rPr>
            </w:pPr>
          </w:p>
        </w:tc>
        <w:tc>
          <w:tcPr>
            <w:tcW w:w="2660" w:type="dxa"/>
            <w:vAlign w:val="bottom"/>
            <w:tcBorders>
              <w:bottom w:val="single" w:sz="8" w:color="D7282F"/>
            </w:tcBorders>
            <w:gridSpan w:val="3"/>
          </w:tcPr>
          <w:p>
            <w:pPr>
              <w:spacing w:after="0"/>
              <w:rPr>
                <w:sz w:val="20"/>
                <w:szCs w:val="20"/>
                <w:color w:val="auto"/>
              </w:rPr>
            </w:pPr>
            <w:r>
              <w:rPr>
                <w:rFonts w:ascii="Arial" w:cs="Arial" w:eastAsia="Arial" w:hAnsi="Arial"/>
                <w:sz w:val="16"/>
                <w:szCs w:val="16"/>
                <w:b w:val="1"/>
                <w:bCs w:val="1"/>
                <w:color w:val="131E29"/>
              </w:rPr>
              <w:t>Three Months Ended March 31,</w:t>
            </w:r>
          </w:p>
        </w:tc>
        <w:tc>
          <w:tcPr>
            <w:tcW w:w="1080" w:type="dxa"/>
            <w:vAlign w:val="bottom"/>
            <w:tcBorders>
              <w:bottom w:val="single" w:sz="8" w:color="D7282F"/>
            </w:tcBorders>
          </w:tcPr>
          <w:p>
            <w:pPr>
              <w:spacing w:after="0"/>
              <w:rPr>
                <w:sz w:val="19"/>
                <w:szCs w:val="19"/>
                <w:color w:val="auto"/>
              </w:rPr>
            </w:pPr>
          </w:p>
        </w:tc>
      </w:tr>
      <w:tr>
        <w:trPr>
          <w:trHeight w:val="237"/>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20"/>
                <w:szCs w:val="20"/>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20"/>
                <w:szCs w:val="20"/>
                <w:color w:val="auto"/>
              </w:rPr>
            </w:pPr>
          </w:p>
        </w:tc>
        <w:tc>
          <w:tcPr>
            <w:tcW w:w="2400" w:type="dxa"/>
            <w:vAlign w:val="bottom"/>
            <w:tcBorders>
              <w:bottom w:val="single" w:sz="8" w:color="D7282F"/>
            </w:tcBorders>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Selling, general, and administrative</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$73,176</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$58,921</w:t>
            </w:r>
          </w:p>
        </w:tc>
        <w:tc>
          <w:tcPr>
            <w:tcW w:w="100" w:type="dxa"/>
            <w:vAlign w:val="bottom"/>
            <w:shd w:val="clear" w:color="auto" w:fill="D2DCE5"/>
          </w:tcPr>
          <w:p>
            <w:pPr>
              <w:spacing w:after="0"/>
              <w:rPr>
                <w:sz w:val="20"/>
                <w:szCs w:val="20"/>
                <w:color w:val="auto"/>
              </w:rPr>
            </w:pPr>
          </w:p>
        </w:tc>
        <w:tc>
          <w:tcPr>
            <w:tcW w:w="1320" w:type="dxa"/>
            <w:vAlign w:val="bottom"/>
            <w:shd w:val="clear" w:color="auto" w:fill="D2DCE5"/>
          </w:tcPr>
          <w:p>
            <w:pPr>
              <w:jc w:val="right"/>
              <w:ind w:right="319"/>
              <w:spacing w:after="0"/>
              <w:rPr>
                <w:sz w:val="20"/>
                <w:szCs w:val="20"/>
                <w:color w:val="auto"/>
              </w:rPr>
            </w:pPr>
            <w:r>
              <w:rPr>
                <w:rFonts w:ascii="Arial" w:cs="Arial" w:eastAsia="Arial" w:hAnsi="Arial"/>
                <w:sz w:val="16"/>
                <w:szCs w:val="16"/>
                <w:color w:val="131E29"/>
              </w:rPr>
              <w:t>$14,255</w:t>
            </w:r>
          </w:p>
        </w:tc>
        <w:tc>
          <w:tcPr>
            <w:tcW w:w="1080" w:type="dxa"/>
            <w:vAlign w:val="bottom"/>
            <w:shd w:val="clear" w:color="auto" w:fill="D2DCE5"/>
          </w:tcPr>
          <w:p>
            <w:pPr>
              <w:jc w:val="right"/>
              <w:ind w:right="219"/>
              <w:spacing w:after="0"/>
              <w:rPr>
                <w:sz w:val="20"/>
                <w:szCs w:val="20"/>
                <w:color w:val="auto"/>
              </w:rPr>
            </w:pPr>
            <w:r>
              <w:rPr>
                <w:rFonts w:ascii="Arial" w:cs="Arial" w:eastAsia="Arial" w:hAnsi="Arial"/>
                <w:sz w:val="16"/>
                <w:szCs w:val="16"/>
                <w:color w:val="131E29"/>
              </w:rPr>
              <w:t>24.2%</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i w:val="1"/>
                <w:iCs w:val="1"/>
                <w:color w:val="131E29"/>
              </w:rPr>
              <w:t>As a percentage of total revenues</w:t>
            </w:r>
          </w:p>
        </w:tc>
        <w:tc>
          <w:tcPr>
            <w:tcW w:w="1240" w:type="dxa"/>
            <w:vAlign w:val="bottom"/>
          </w:tcPr>
          <w:p>
            <w:pPr>
              <w:jc w:val="center"/>
              <w:spacing w:after="0"/>
              <w:rPr>
                <w:sz w:val="20"/>
                <w:szCs w:val="20"/>
                <w:color w:val="auto"/>
              </w:rPr>
            </w:pPr>
            <w:r>
              <w:rPr>
                <w:rFonts w:ascii="Arial" w:cs="Arial" w:eastAsia="Arial" w:hAnsi="Arial"/>
                <w:sz w:val="16"/>
                <w:szCs w:val="16"/>
                <w:color w:val="006098"/>
              </w:rPr>
              <w:t>15.8%</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rPr>
              <w:t>16.6%</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131E29"/>
              </w:rPr>
              <w:t>N/A</w:t>
            </w:r>
          </w:p>
        </w:tc>
        <w:tc>
          <w:tcPr>
            <w:tcW w:w="1080" w:type="dxa"/>
            <w:vAlign w:val="bottom"/>
          </w:tcPr>
          <w:p>
            <w:pPr>
              <w:jc w:val="center"/>
              <w:spacing w:after="0"/>
              <w:rPr>
                <w:sz w:val="20"/>
                <w:szCs w:val="20"/>
                <w:color w:val="auto"/>
              </w:rPr>
            </w:pPr>
            <w:r>
              <w:rPr>
                <w:rFonts w:ascii="Arial" w:cs="Arial" w:eastAsia="Arial" w:hAnsi="Arial"/>
                <w:sz w:val="16"/>
                <w:szCs w:val="16"/>
                <w:color w:val="131E29"/>
              </w:rPr>
              <w:t>(80) bps</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 selling, general, and administrative increase of approximately $14.3 million was primarily driven by increased expenses of $6.0 million consisting of investments in human capital to support our revenue growth along with higher performance-based compensation; $2.0 million of increased donations related to our philanthropic activities; an increase of $1.8 million related to advertising; and $1.4 million of increased professional fees and services to support business growth.</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Other Expense</w:t>
      </w:r>
    </w:p>
    <w:p>
      <w:pPr>
        <w:spacing w:after="0" w:line="247"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29210</wp:posOffset>
            </wp:positionV>
            <wp:extent cx="32232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19"/>
                <w:szCs w:val="19"/>
                <w:color w:val="auto"/>
              </w:rPr>
            </w:pPr>
          </w:p>
        </w:tc>
        <w:tc>
          <w:tcPr>
            <w:tcW w:w="2400" w:type="dxa"/>
            <w:vAlign w:val="bottom"/>
            <w:tcBorders>
              <w:bottom w:val="single" w:sz="8" w:color="D7282F"/>
            </w:tcBorders>
            <w:gridSpan w:val="3"/>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Interest expense on finance leases</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$(6,177)</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$(5,609)</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$(568)</w:t>
            </w:r>
          </w:p>
        </w:tc>
        <w:tc>
          <w:tcPr>
            <w:tcW w:w="100" w:type="dxa"/>
            <w:vAlign w:val="bottom"/>
            <w:shd w:val="clear" w:color="auto" w:fill="D2DCE5"/>
          </w:tcPr>
          <w:p>
            <w:pPr>
              <w:spacing w:after="0"/>
              <w:rPr>
                <w:sz w:val="20"/>
                <w:szCs w:val="20"/>
                <w:color w:val="auto"/>
              </w:rPr>
            </w:pPr>
          </w:p>
        </w:tc>
        <w:tc>
          <w:tcPr>
            <w:tcW w:w="10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10.1%</w:t>
            </w:r>
          </w:p>
        </w:tc>
      </w:tr>
      <w:tr>
        <w:trPr>
          <w:trHeight w:val="242"/>
        </w:trPr>
        <w:tc>
          <w:tcPr>
            <w:tcW w:w="6160" w:type="dxa"/>
            <w:vAlign w:val="bottom"/>
            <w:tcBorders>
              <w:bottom w:val="single" w:sz="8" w:color="D2DCE5"/>
            </w:tcBorders>
            <w:gridSpan w:val="2"/>
          </w:tcPr>
          <w:p>
            <w:pPr>
              <w:ind w:left="20"/>
              <w:spacing w:after="0"/>
              <w:rPr>
                <w:sz w:val="20"/>
                <w:szCs w:val="20"/>
                <w:color w:val="auto"/>
              </w:rPr>
            </w:pPr>
            <w:r>
              <w:rPr>
                <w:rFonts w:ascii="Arial" w:cs="Arial" w:eastAsia="Arial" w:hAnsi="Arial"/>
                <w:sz w:val="16"/>
                <w:szCs w:val="16"/>
                <w:color w:val="131E29"/>
              </w:rPr>
              <w:t>Other interest expense, net</w:t>
            </w:r>
          </w:p>
        </w:tc>
        <w:tc>
          <w:tcPr>
            <w:tcW w:w="1240" w:type="dxa"/>
            <w:vAlign w:val="bottom"/>
            <w:tcBorders>
              <w:bottom w:val="single" w:sz="8" w:color="131E29"/>
            </w:tcBorders>
          </w:tcPr>
          <w:p>
            <w:pPr>
              <w:jc w:val="center"/>
              <w:spacing w:after="0"/>
              <w:rPr>
                <w:sz w:val="20"/>
                <w:szCs w:val="20"/>
                <w:color w:val="auto"/>
              </w:rPr>
            </w:pPr>
            <w:r>
              <w:rPr>
                <w:rFonts w:ascii="Arial" w:cs="Arial" w:eastAsia="Arial" w:hAnsi="Arial"/>
                <w:sz w:val="16"/>
                <w:szCs w:val="16"/>
                <w:color w:val="006098"/>
              </w:rPr>
              <w:t>(1,043)</w:t>
            </w:r>
          </w:p>
        </w:tc>
        <w:tc>
          <w:tcPr>
            <w:tcW w:w="100" w:type="dxa"/>
            <w:vAlign w:val="bottom"/>
            <w:tcBorders>
              <w:bottom w:val="single" w:sz="8" w:color="D2DCE5"/>
            </w:tcBorders>
          </w:tcPr>
          <w:p>
            <w:pPr>
              <w:spacing w:after="0"/>
              <w:rPr>
                <w:sz w:val="21"/>
                <w:szCs w:val="21"/>
                <w:color w:val="auto"/>
              </w:rPr>
            </w:pPr>
          </w:p>
        </w:tc>
        <w:tc>
          <w:tcPr>
            <w:tcW w:w="1240" w:type="dxa"/>
            <w:vAlign w:val="bottom"/>
            <w:tcBorders>
              <w:bottom w:val="single" w:sz="8" w:color="131E29"/>
            </w:tcBorders>
          </w:tcPr>
          <w:p>
            <w:pPr>
              <w:jc w:val="center"/>
              <w:spacing w:after="0"/>
              <w:rPr>
                <w:sz w:val="20"/>
                <w:szCs w:val="20"/>
                <w:color w:val="auto"/>
              </w:rPr>
            </w:pPr>
            <w:r>
              <w:rPr>
                <w:rFonts w:ascii="Arial" w:cs="Arial" w:eastAsia="Arial" w:hAnsi="Arial"/>
                <w:sz w:val="16"/>
                <w:szCs w:val="16"/>
                <w:color w:val="131E29"/>
              </w:rPr>
              <w:t>(1,506)</w:t>
            </w:r>
          </w:p>
        </w:tc>
        <w:tc>
          <w:tcPr>
            <w:tcW w:w="100" w:type="dxa"/>
            <w:vAlign w:val="bottom"/>
            <w:tcBorders>
              <w:bottom w:val="single" w:sz="8" w:color="D2DCE5"/>
            </w:tcBorders>
          </w:tcPr>
          <w:p>
            <w:pPr>
              <w:spacing w:after="0"/>
              <w:rPr>
                <w:sz w:val="21"/>
                <w:szCs w:val="21"/>
                <w:color w:val="auto"/>
              </w:rPr>
            </w:pPr>
          </w:p>
        </w:tc>
        <w:tc>
          <w:tcPr>
            <w:tcW w:w="1240" w:type="dxa"/>
            <w:vAlign w:val="bottom"/>
            <w:tcBorders>
              <w:bottom w:val="single" w:sz="8" w:color="131E29"/>
            </w:tcBorders>
          </w:tcPr>
          <w:p>
            <w:pPr>
              <w:jc w:val="center"/>
              <w:spacing w:after="0"/>
              <w:rPr>
                <w:sz w:val="20"/>
                <w:szCs w:val="20"/>
                <w:color w:val="auto"/>
              </w:rPr>
            </w:pPr>
            <w:r>
              <w:rPr>
                <w:rFonts w:ascii="Arial" w:cs="Arial" w:eastAsia="Arial" w:hAnsi="Arial"/>
                <w:sz w:val="16"/>
                <w:szCs w:val="16"/>
                <w:color w:val="131E29"/>
              </w:rPr>
              <w:t>463</w:t>
            </w:r>
          </w:p>
        </w:tc>
        <w:tc>
          <w:tcPr>
            <w:tcW w:w="100" w:type="dxa"/>
            <w:vAlign w:val="bottom"/>
            <w:tcBorders>
              <w:bottom w:val="single" w:sz="8" w:color="D2DCE5"/>
            </w:tcBorders>
          </w:tcPr>
          <w:p>
            <w:pPr>
              <w:spacing w:after="0"/>
              <w:rPr>
                <w:sz w:val="21"/>
                <w:szCs w:val="21"/>
                <w:color w:val="auto"/>
              </w:rPr>
            </w:pPr>
          </w:p>
        </w:tc>
        <w:tc>
          <w:tcPr>
            <w:tcW w:w="1060" w:type="dxa"/>
            <w:vAlign w:val="bottom"/>
            <w:tcBorders>
              <w:bottom w:val="single" w:sz="8" w:color="131E29"/>
            </w:tcBorders>
          </w:tcPr>
          <w:p>
            <w:pPr>
              <w:jc w:val="center"/>
              <w:spacing w:after="0"/>
              <w:rPr>
                <w:sz w:val="20"/>
                <w:szCs w:val="20"/>
                <w:color w:val="auto"/>
              </w:rPr>
            </w:pPr>
            <w:r>
              <w:rPr>
                <w:rFonts w:ascii="Arial" w:cs="Arial" w:eastAsia="Arial" w:hAnsi="Arial"/>
                <w:sz w:val="16"/>
                <w:szCs w:val="16"/>
                <w:color w:val="131E29"/>
              </w:rPr>
              <w:t>(30.7)%</w:t>
            </w:r>
          </w:p>
        </w:tc>
      </w:tr>
      <w:tr>
        <w:trPr>
          <w:trHeight w:val="224"/>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Interest expense, net</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(7,220)</w:t>
            </w:r>
          </w:p>
        </w:tc>
        <w:tc>
          <w:tcPr>
            <w:tcW w:w="100" w:type="dxa"/>
            <w:vAlign w:val="bottom"/>
            <w:shd w:val="clear" w:color="auto" w:fill="D2DCE5"/>
          </w:tcPr>
          <w:p>
            <w:pPr>
              <w:spacing w:after="0"/>
              <w:rPr>
                <w:sz w:val="19"/>
                <w:szCs w:val="19"/>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(7,115)</w:t>
            </w:r>
          </w:p>
        </w:tc>
        <w:tc>
          <w:tcPr>
            <w:tcW w:w="100" w:type="dxa"/>
            <w:vAlign w:val="bottom"/>
            <w:shd w:val="clear" w:color="auto" w:fill="D2DCE5"/>
          </w:tcPr>
          <w:p>
            <w:pPr>
              <w:spacing w:after="0"/>
              <w:rPr>
                <w:sz w:val="19"/>
                <w:szCs w:val="19"/>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(105)</w:t>
            </w:r>
          </w:p>
        </w:tc>
        <w:tc>
          <w:tcPr>
            <w:tcW w:w="100" w:type="dxa"/>
            <w:vAlign w:val="bottom"/>
            <w:shd w:val="clear" w:color="auto" w:fill="D2DCE5"/>
          </w:tcPr>
          <w:p>
            <w:pPr>
              <w:spacing w:after="0"/>
              <w:rPr>
                <w:sz w:val="19"/>
                <w:szCs w:val="19"/>
                <w:color w:val="auto"/>
              </w:rPr>
            </w:pPr>
          </w:p>
        </w:tc>
        <w:tc>
          <w:tcPr>
            <w:tcW w:w="10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1.5%</w:t>
            </w:r>
          </w:p>
        </w:tc>
      </w:tr>
      <w:tr>
        <w:trPr>
          <w:trHeight w:val="242"/>
        </w:trPr>
        <w:tc>
          <w:tcPr>
            <w:tcW w:w="6160" w:type="dxa"/>
            <w:vAlign w:val="bottom"/>
            <w:tcBorders>
              <w:bottom w:val="single" w:sz="8" w:color="D2DCE5"/>
            </w:tcBorders>
            <w:gridSpan w:val="2"/>
          </w:tcPr>
          <w:p>
            <w:pPr>
              <w:ind w:left="20"/>
              <w:spacing w:after="0"/>
              <w:rPr>
                <w:sz w:val="20"/>
                <w:szCs w:val="20"/>
                <w:color w:val="auto"/>
              </w:rPr>
            </w:pPr>
            <w:r>
              <w:rPr>
                <w:rFonts w:ascii="Arial" w:cs="Arial" w:eastAsia="Arial" w:hAnsi="Arial"/>
                <w:sz w:val="16"/>
                <w:szCs w:val="16"/>
                <w:color w:val="131E29"/>
              </w:rPr>
              <w:t>Other expense, net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006098"/>
                <w:w w:val="98"/>
              </w:rPr>
              <w:t>(75)</w:t>
            </w:r>
          </w:p>
        </w:tc>
        <w:tc>
          <w:tcPr>
            <w:tcW w:w="100" w:type="dxa"/>
            <w:vAlign w:val="bottom"/>
            <w:tcBorders>
              <w:bottom w:val="single" w:sz="8" w:color="D2DCE5"/>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131E29"/>
                <w:w w:val="98"/>
              </w:rPr>
              <w:t>(18)</w:t>
            </w:r>
          </w:p>
        </w:tc>
        <w:tc>
          <w:tcPr>
            <w:tcW w:w="100" w:type="dxa"/>
            <w:vAlign w:val="bottom"/>
            <w:tcBorders>
              <w:bottom w:val="single" w:sz="8" w:color="D2DCE5"/>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131E29"/>
                <w:w w:val="98"/>
              </w:rPr>
              <w:t>(57)</w:t>
            </w:r>
          </w:p>
        </w:tc>
        <w:tc>
          <w:tcPr>
            <w:tcW w:w="100" w:type="dxa"/>
            <w:vAlign w:val="bottom"/>
            <w:tcBorders>
              <w:bottom w:val="single" w:sz="8" w:color="D2DCE5"/>
            </w:tcBorders>
          </w:tcPr>
          <w:p>
            <w:pPr>
              <w:spacing w:after="0"/>
              <w:rPr>
                <w:sz w:val="21"/>
                <w:szCs w:val="21"/>
                <w:color w:val="auto"/>
              </w:rPr>
            </w:pP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131E29"/>
              </w:rPr>
              <w:t>N/M</w:t>
            </w:r>
          </w:p>
        </w:tc>
      </w:tr>
      <w:tr>
        <w:trPr>
          <w:trHeight w:val="235"/>
        </w:trPr>
        <w:tc>
          <w:tcPr>
            <w:tcW w:w="6160" w:type="dxa"/>
            <w:vAlign w:val="bottom"/>
            <w:tcBorders>
              <w:bottom w:val="single" w:sz="8" w:color="D2DCE5"/>
            </w:tcBorders>
            <w:gridSpan w:val="2"/>
            <w:shd w:val="clear" w:color="auto" w:fill="D2DCE5"/>
          </w:tcPr>
          <w:p>
            <w:pPr>
              <w:ind w:left="240"/>
              <w:spacing w:after="0"/>
              <w:rPr>
                <w:sz w:val="20"/>
                <w:szCs w:val="20"/>
                <w:color w:val="auto"/>
              </w:rPr>
            </w:pPr>
            <w:r>
              <w:rPr>
                <w:rFonts w:ascii="Arial" w:cs="Arial" w:eastAsia="Arial" w:hAnsi="Arial"/>
                <w:sz w:val="16"/>
                <w:szCs w:val="16"/>
                <w:b w:val="1"/>
                <w:bCs w:val="1"/>
                <w:color w:val="131E29"/>
              </w:rPr>
              <w:t>Total other expense</w:t>
            </w:r>
          </w:p>
        </w:tc>
        <w:tc>
          <w:tcPr>
            <w:tcW w:w="12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6"/>
                <w:szCs w:val="16"/>
                <w:b w:val="1"/>
                <w:bCs w:val="1"/>
                <w:color w:val="006098"/>
              </w:rPr>
              <w:t>$(7,295)</w:t>
            </w:r>
          </w:p>
        </w:tc>
        <w:tc>
          <w:tcPr>
            <w:tcW w:w="100" w:type="dxa"/>
            <w:vAlign w:val="bottom"/>
            <w:tcBorders>
              <w:bottom w:val="single" w:sz="8" w:color="D2DCE5"/>
            </w:tcBorders>
            <w:shd w:val="clear" w:color="auto" w:fill="D2DCE5"/>
          </w:tcPr>
          <w:p>
            <w:pPr>
              <w:spacing w:after="0"/>
              <w:rPr>
                <w:sz w:val="20"/>
                <w:szCs w:val="20"/>
                <w:color w:val="auto"/>
              </w:rPr>
            </w:pPr>
          </w:p>
        </w:tc>
        <w:tc>
          <w:tcPr>
            <w:tcW w:w="12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6"/>
                <w:szCs w:val="16"/>
                <w:b w:val="1"/>
                <w:bCs w:val="1"/>
                <w:color w:val="131E29"/>
              </w:rPr>
              <w:t>$(7,133)</w:t>
            </w:r>
          </w:p>
        </w:tc>
        <w:tc>
          <w:tcPr>
            <w:tcW w:w="100" w:type="dxa"/>
            <w:vAlign w:val="bottom"/>
            <w:tcBorders>
              <w:bottom w:val="single" w:sz="8" w:color="D2DCE5"/>
            </w:tcBorders>
            <w:shd w:val="clear" w:color="auto" w:fill="D2DCE5"/>
          </w:tcPr>
          <w:p>
            <w:pPr>
              <w:spacing w:after="0"/>
              <w:rPr>
                <w:sz w:val="20"/>
                <w:szCs w:val="20"/>
                <w:color w:val="auto"/>
              </w:rPr>
            </w:pPr>
          </w:p>
        </w:tc>
        <w:tc>
          <w:tcPr>
            <w:tcW w:w="124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6"/>
                <w:szCs w:val="16"/>
                <w:b w:val="1"/>
                <w:bCs w:val="1"/>
                <w:color w:val="131E29"/>
              </w:rPr>
              <w:t>$(162)</w:t>
            </w:r>
          </w:p>
        </w:tc>
        <w:tc>
          <w:tcPr>
            <w:tcW w:w="100" w:type="dxa"/>
            <w:vAlign w:val="bottom"/>
            <w:tcBorders>
              <w:bottom w:val="single" w:sz="8" w:color="D2DCE5"/>
            </w:tcBorders>
            <w:shd w:val="clear" w:color="auto" w:fill="D2DCE5"/>
          </w:tcPr>
          <w:p>
            <w:pPr>
              <w:spacing w:after="0"/>
              <w:rPr>
                <w:sz w:val="20"/>
                <w:szCs w:val="20"/>
                <w:color w:val="auto"/>
              </w:rPr>
            </w:pPr>
          </w:p>
        </w:tc>
        <w:tc>
          <w:tcPr>
            <w:tcW w:w="106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6"/>
                <w:szCs w:val="16"/>
                <w:b w:val="1"/>
                <w:bCs w:val="1"/>
                <w:color w:val="131E29"/>
              </w:rPr>
              <w:t>2.3%</w:t>
            </w:r>
          </w:p>
        </w:tc>
      </w:tr>
      <w:tr>
        <w:trPr>
          <w:trHeight w:val="20"/>
        </w:trPr>
        <w:tc>
          <w:tcPr>
            <w:tcW w:w="606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Other expense was relatively consistent year over year; the slight increase was due to the increase in finance leases and the associated interest expense compared to the same period in the prior year.</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Income Tax Expense</w:t>
      </w:r>
    </w:p>
    <w:p>
      <w:pPr>
        <w:spacing w:after="0" w:line="99"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131E29"/>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29210</wp:posOffset>
            </wp:positionV>
            <wp:extent cx="32232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2026</w:t>
            </w:r>
          </w:p>
        </w:tc>
        <w:tc>
          <w:tcPr>
            <w:tcW w:w="100" w:type="dxa"/>
            <w:vAlign w:val="bottom"/>
            <w:tcBorders>
              <w:bottom w:val="single" w:sz="8" w:color="D2DCE5"/>
            </w:tcBorders>
          </w:tcPr>
          <w:p>
            <w:pPr>
              <w:spacing w:after="0"/>
              <w:rPr>
                <w:sz w:val="19"/>
                <w:szCs w:val="19"/>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131E29"/>
              </w:rPr>
              <w:t>2025</w:t>
            </w:r>
          </w:p>
        </w:tc>
        <w:tc>
          <w:tcPr>
            <w:tcW w:w="100" w:type="dxa"/>
            <w:vAlign w:val="bottom"/>
            <w:tcBorders>
              <w:bottom w:val="single" w:sz="8" w:color="D2DCE5"/>
            </w:tcBorders>
          </w:tcPr>
          <w:p>
            <w:pPr>
              <w:spacing w:after="0"/>
              <w:rPr>
                <w:sz w:val="19"/>
                <w:szCs w:val="19"/>
                <w:color w:val="auto"/>
              </w:rPr>
            </w:pPr>
          </w:p>
        </w:tc>
        <w:tc>
          <w:tcPr>
            <w:tcW w:w="2400" w:type="dxa"/>
            <w:vAlign w:val="bottom"/>
            <w:tcBorders>
              <w:bottom w:val="single" w:sz="8" w:color="D7282F"/>
            </w:tcBorders>
            <w:gridSpan w:val="2"/>
          </w:tcPr>
          <w:p>
            <w:pPr>
              <w:ind w:left="740"/>
              <w:spacing w:after="0"/>
              <w:rPr>
                <w:sz w:val="20"/>
                <w:szCs w:val="20"/>
                <w:color w:val="auto"/>
              </w:rPr>
            </w:pPr>
            <w:r>
              <w:rPr>
                <w:rFonts w:ascii="Arial" w:cs="Arial" w:eastAsia="Arial" w:hAnsi="Arial"/>
                <w:sz w:val="16"/>
                <w:szCs w:val="16"/>
                <w:b w:val="1"/>
                <w:bCs w:val="1"/>
                <w:color w:val="131E29"/>
              </w:rPr>
              <w:t>2026 v. 2025</w:t>
            </w:r>
          </w:p>
        </w:tc>
      </w:tr>
      <w:tr>
        <w:trPr>
          <w:trHeight w:val="240"/>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6"/>
                <w:szCs w:val="16"/>
                <w:color w:val="131E29"/>
              </w:rPr>
              <w:t>Income tax expense</w:t>
            </w: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006098"/>
              </w:rPr>
              <w:t>$3,341</w:t>
            </w:r>
          </w:p>
        </w:tc>
        <w:tc>
          <w:tcPr>
            <w:tcW w:w="100" w:type="dxa"/>
            <w:vAlign w:val="bottom"/>
            <w:shd w:val="clear" w:color="auto" w:fill="D2DCE5"/>
          </w:tcPr>
          <w:p>
            <w:pPr>
              <w:spacing w:after="0"/>
              <w:rPr>
                <w:sz w:val="20"/>
                <w:szCs w:val="20"/>
                <w:color w:val="auto"/>
              </w:rPr>
            </w:pPr>
          </w:p>
        </w:tc>
        <w:tc>
          <w:tcPr>
            <w:tcW w:w="124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8"/>
              </w:rPr>
              <w:t>$1,459</w:t>
            </w:r>
          </w:p>
        </w:tc>
        <w:tc>
          <w:tcPr>
            <w:tcW w:w="100" w:type="dxa"/>
            <w:vAlign w:val="bottom"/>
            <w:shd w:val="clear" w:color="auto" w:fill="D2DCE5"/>
          </w:tcPr>
          <w:p>
            <w:pPr>
              <w:spacing w:after="0"/>
              <w:rPr>
                <w:sz w:val="20"/>
                <w:szCs w:val="20"/>
                <w:color w:val="auto"/>
              </w:rPr>
            </w:pPr>
          </w:p>
        </w:tc>
        <w:tc>
          <w:tcPr>
            <w:tcW w:w="1220" w:type="dxa"/>
            <w:vAlign w:val="bottom"/>
            <w:shd w:val="clear" w:color="auto" w:fill="D2DCE5"/>
          </w:tcPr>
          <w:p>
            <w:pPr>
              <w:jc w:val="right"/>
              <w:ind w:right="279"/>
              <w:spacing w:after="0"/>
              <w:rPr>
                <w:sz w:val="20"/>
                <w:szCs w:val="20"/>
                <w:color w:val="auto"/>
              </w:rPr>
            </w:pPr>
            <w:r>
              <w:rPr>
                <w:rFonts w:ascii="Arial" w:cs="Arial" w:eastAsia="Arial" w:hAnsi="Arial"/>
                <w:sz w:val="16"/>
                <w:szCs w:val="16"/>
                <w:color w:val="131E29"/>
              </w:rPr>
              <w:t>$1,882</w:t>
            </w:r>
          </w:p>
        </w:tc>
        <w:tc>
          <w:tcPr>
            <w:tcW w:w="1180" w:type="dxa"/>
            <w:vAlign w:val="bottom"/>
            <w:shd w:val="clear" w:color="auto" w:fill="D2DCE5"/>
          </w:tcPr>
          <w:p>
            <w:pPr>
              <w:jc w:val="right"/>
              <w:ind w:right="179"/>
              <w:spacing w:after="0"/>
              <w:rPr>
                <w:sz w:val="20"/>
                <w:szCs w:val="20"/>
                <w:color w:val="auto"/>
              </w:rPr>
            </w:pPr>
            <w:r>
              <w:rPr>
                <w:rFonts w:ascii="Arial" w:cs="Arial" w:eastAsia="Arial" w:hAnsi="Arial"/>
                <w:sz w:val="16"/>
                <w:szCs w:val="16"/>
                <w:color w:val="131E29"/>
              </w:rPr>
              <w:t>129.0%</w:t>
            </w:r>
          </w:p>
        </w:tc>
      </w:tr>
      <w:tr>
        <w:trPr>
          <w:trHeight w:val="241"/>
        </w:trPr>
        <w:tc>
          <w:tcPr>
            <w:tcW w:w="6160" w:type="dxa"/>
            <w:vAlign w:val="bottom"/>
            <w:gridSpan w:val="2"/>
          </w:tcPr>
          <w:p>
            <w:pPr>
              <w:ind w:left="20"/>
              <w:spacing w:after="0"/>
              <w:rPr>
                <w:sz w:val="20"/>
                <w:szCs w:val="20"/>
                <w:color w:val="auto"/>
              </w:rPr>
            </w:pPr>
            <w:r>
              <w:rPr>
                <w:rFonts w:ascii="Arial" w:cs="Arial" w:eastAsia="Arial" w:hAnsi="Arial"/>
                <w:sz w:val="16"/>
                <w:szCs w:val="16"/>
                <w:color w:val="131E29"/>
              </w:rPr>
              <w:t>Effective tax rate</w:t>
            </w:r>
          </w:p>
        </w:tc>
        <w:tc>
          <w:tcPr>
            <w:tcW w:w="1240" w:type="dxa"/>
            <w:vAlign w:val="bottom"/>
          </w:tcPr>
          <w:p>
            <w:pPr>
              <w:jc w:val="center"/>
              <w:spacing w:after="0"/>
              <w:rPr>
                <w:sz w:val="20"/>
                <w:szCs w:val="20"/>
                <w:color w:val="auto"/>
              </w:rPr>
            </w:pPr>
            <w:r>
              <w:rPr>
                <w:rFonts w:ascii="Arial" w:cs="Arial" w:eastAsia="Arial" w:hAnsi="Arial"/>
                <w:sz w:val="16"/>
                <w:szCs w:val="16"/>
                <w:color w:val="006098"/>
              </w:rPr>
              <w:t>12.4%</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131E29"/>
                <w:w w:val="98"/>
              </w:rPr>
              <w:t>6.1%</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131E29"/>
              </w:rPr>
              <w:t>N/A</w:t>
            </w:r>
          </w:p>
        </w:tc>
        <w:tc>
          <w:tcPr>
            <w:tcW w:w="1180" w:type="dxa"/>
            <w:vAlign w:val="bottom"/>
          </w:tcPr>
          <w:p>
            <w:pPr>
              <w:jc w:val="center"/>
              <w:ind w:left="39"/>
              <w:spacing w:after="0"/>
              <w:rPr>
                <w:sz w:val="20"/>
                <w:szCs w:val="20"/>
                <w:color w:val="auto"/>
              </w:rPr>
            </w:pPr>
            <w:r>
              <w:rPr>
                <w:rFonts w:ascii="Arial" w:cs="Arial" w:eastAsia="Arial" w:hAnsi="Arial"/>
                <w:sz w:val="16"/>
                <w:szCs w:val="16"/>
                <w:color w:val="131E29"/>
                <w:w w:val="97"/>
              </w:rPr>
              <w:t>N/A</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Three Months Ended March 31, 2026 v. 2025</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The effective tax rate increased to 12.4% from 6.1% in the prior-year period, primarily driven by a reduction in excess tax benefits related to stock-based compensation in 2026 compared to 2025. Stock-based compensation related to vestings had a lower grant price compared to the fair market value at vesting in 2025 compared to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See NOTE 12 — Income Taxes for additional details.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Overview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We had cash and cash equivalents of $263.5 million and $269.4 million as of March 31, 2026 and December 31, 2025, respectively.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For the three months ended March 31, 2026, our principal sources of liquidity were cash flows from operations. Our principal uses of liquidity for the three months ended March 31, 2026 were to fund our new shop builds, purchase the assets of Clutch Coffee and other working capital needs.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our cash flows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80" w:type="dxa"/>
            <w:vAlign w:val="bottom"/>
            <w:tcBorders>
              <w:bottom w:val="single" w:sz="8" w:color="D7282F"/>
            </w:tcBorders>
          </w:tcPr>
          <w:p>
            <w:pPr>
              <w:spacing w:after="0"/>
              <w:rPr>
                <w:sz w:val="22"/>
                <w:szCs w:val="22"/>
                <w:color w:val="auto"/>
              </w:rPr>
            </w:pPr>
          </w:p>
        </w:tc>
        <w:tc>
          <w:tcPr>
            <w:tcW w:w="3260" w:type="dxa"/>
            <w:vAlign w:val="bottom"/>
            <w:tcBorders>
              <w:bottom w:val="single" w:sz="8" w:color="D7282F"/>
            </w:tcBorders>
            <w:gridSpan w:val="8"/>
          </w:tcPr>
          <w:p>
            <w:pPr>
              <w:ind w:left="60"/>
              <w:spacing w:after="0"/>
              <w:rPr>
                <w:sz w:val="20"/>
                <w:szCs w:val="20"/>
                <w:color w:val="auto"/>
              </w:rPr>
            </w:pPr>
            <w:r>
              <w:rPr>
                <w:rFonts w:ascii="Arial" w:cs="Arial" w:eastAsia="Arial" w:hAnsi="Arial"/>
                <w:sz w:val="18"/>
                <w:szCs w:val="18"/>
                <w:b w:val="1"/>
                <w:bCs w:val="1"/>
                <w:color w:val="131E29"/>
              </w:rPr>
              <w:t>Three Months Ended March 31,</w:t>
            </w:r>
          </w:p>
        </w:tc>
        <w:tc>
          <w:tcPr>
            <w:tcW w:w="760" w:type="dxa"/>
            <w:vAlign w:val="bottom"/>
            <w:tcBorders>
              <w:bottom w:val="single" w:sz="8" w:color="D7282F"/>
            </w:tcBorders>
          </w:tcPr>
          <w:p>
            <w:pPr>
              <w:spacing w:after="0"/>
              <w:rPr>
                <w:sz w:val="22"/>
                <w:szCs w:val="22"/>
                <w:color w:val="auto"/>
              </w:rPr>
            </w:pPr>
          </w:p>
        </w:tc>
      </w:tr>
      <w:tr>
        <w:trPr>
          <w:trHeight w:val="263"/>
        </w:trPr>
        <w:tc>
          <w:tcPr>
            <w:tcW w:w="5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8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2026</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980" w:type="dxa"/>
            <w:vAlign w:val="bottom"/>
            <w:tcBorders>
              <w:bottom w:val="single" w:sz="8" w:color="D7282F"/>
            </w:tcBorders>
          </w:tcPr>
          <w:p>
            <w:pPr>
              <w:jc w:val="right"/>
              <w:ind w:right="330"/>
              <w:spacing w:after="0"/>
              <w:rPr>
                <w:sz w:val="20"/>
                <w:szCs w:val="20"/>
                <w:color w:val="auto"/>
              </w:rPr>
            </w:pPr>
            <w:r>
              <w:rPr>
                <w:rFonts w:ascii="Arial" w:cs="Arial" w:eastAsia="Arial" w:hAnsi="Arial"/>
                <w:sz w:val="18"/>
                <w:szCs w:val="18"/>
                <w:b w:val="1"/>
                <w:bCs w:val="1"/>
                <w:color w:val="131E29"/>
              </w:rPr>
              <w:t>2025</w:t>
            </w:r>
          </w:p>
        </w:tc>
        <w:tc>
          <w:tcPr>
            <w:tcW w:w="80" w:type="dxa"/>
            <w:vAlign w:val="bottom"/>
            <w:tcBorders>
              <w:bottom w:val="single" w:sz="8" w:color="D2DCE5"/>
            </w:tcBorders>
          </w:tcPr>
          <w:p>
            <w:pPr>
              <w:spacing w:after="0"/>
              <w:rPr>
                <w:sz w:val="22"/>
                <w:szCs w:val="22"/>
                <w:color w:val="auto"/>
              </w:rPr>
            </w:pPr>
          </w:p>
        </w:tc>
        <w:tc>
          <w:tcPr>
            <w:tcW w:w="360" w:type="dxa"/>
            <w:vAlign w:val="bottom"/>
            <w:tcBorders>
              <w:bottom w:val="single" w:sz="8" w:color="D7282F"/>
            </w:tcBorders>
          </w:tcPr>
          <w:p>
            <w:pPr>
              <w:spacing w:after="0"/>
              <w:rPr>
                <w:sz w:val="22"/>
                <w:szCs w:val="22"/>
                <w:color w:val="auto"/>
              </w:rPr>
            </w:pPr>
          </w:p>
        </w:tc>
        <w:tc>
          <w:tcPr>
            <w:tcW w:w="1480" w:type="dxa"/>
            <w:vAlign w:val="bottom"/>
            <w:tcBorders>
              <w:bottom w:val="single" w:sz="8" w:color="D7282F"/>
            </w:tcBorders>
            <w:gridSpan w:val="3"/>
          </w:tcPr>
          <w:p>
            <w:pPr>
              <w:ind w:left="420"/>
              <w:spacing w:after="0"/>
              <w:rPr>
                <w:sz w:val="20"/>
                <w:szCs w:val="20"/>
                <w:color w:val="auto"/>
              </w:rPr>
            </w:pPr>
            <w:r>
              <w:rPr>
                <w:rFonts w:ascii="Arial" w:cs="Arial" w:eastAsia="Arial" w:hAnsi="Arial"/>
                <w:sz w:val="18"/>
                <w:szCs w:val="18"/>
                <w:b w:val="1"/>
                <w:bCs w:val="1"/>
                <w:color w:val="131E29"/>
                <w:w w:val="98"/>
              </w:rPr>
              <w:t>2026 v. 2025</w:t>
            </w:r>
          </w:p>
        </w:tc>
        <w:tc>
          <w:tcPr>
            <w:tcW w:w="760" w:type="dxa"/>
            <w:vAlign w:val="bottom"/>
            <w:tcBorders>
              <w:bottom w:val="single" w:sz="8" w:color="D7282F"/>
            </w:tcBorders>
          </w:tcPr>
          <w:p>
            <w:pPr>
              <w:spacing w:after="0"/>
              <w:rPr>
                <w:sz w:val="22"/>
                <w:szCs w:val="22"/>
                <w:color w:val="auto"/>
              </w:rPr>
            </w:pPr>
          </w:p>
        </w:tc>
      </w:tr>
      <w:tr>
        <w:trPr>
          <w:trHeight w:val="270"/>
        </w:trPr>
        <w:tc>
          <w:tcPr>
            <w:tcW w:w="5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operating activities</w:t>
            </w:r>
          </w:p>
        </w:tc>
        <w:tc>
          <w:tcPr>
            <w:tcW w:w="260" w:type="dxa"/>
            <w:vAlign w:val="bottom"/>
            <w:shd w:val="clear" w:color="auto" w:fill="D2DCE5"/>
          </w:tcPr>
          <w:p>
            <w:pPr>
              <w:jc w:val="right"/>
              <w:ind w:right="50"/>
              <w:spacing w:after="0"/>
              <w:rPr>
                <w:sz w:val="20"/>
                <w:szCs w:val="20"/>
                <w:color w:val="auto"/>
              </w:rPr>
            </w:pPr>
            <w:r>
              <w:rPr>
                <w:rFonts w:ascii="Arial" w:cs="Arial" w:eastAsia="Arial" w:hAnsi="Arial"/>
                <w:sz w:val="18"/>
                <w:szCs w:val="18"/>
                <w:color w:val="006098"/>
                <w:w w:val="9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84,724</w:t>
            </w:r>
          </w:p>
        </w:tc>
        <w:tc>
          <w:tcPr>
            <w:tcW w:w="360" w:type="dxa"/>
            <w:vAlign w:val="bottom"/>
            <w:gridSpan w:val="2"/>
            <w:shd w:val="clear" w:color="auto" w:fill="D2DCE5"/>
          </w:tcPr>
          <w:p>
            <w:pPr>
              <w:jc w:val="right"/>
              <w:ind w:right="70"/>
              <w:spacing w:after="0"/>
              <w:rPr>
                <w:sz w:val="20"/>
                <w:szCs w:val="20"/>
                <w:color w:val="auto"/>
              </w:rPr>
            </w:pPr>
            <w:r>
              <w:rPr>
                <w:rFonts w:ascii="Arial" w:cs="Arial" w:eastAsia="Arial" w:hAnsi="Arial"/>
                <w:sz w:val="18"/>
                <w:szCs w:val="18"/>
                <w:color w:val="131E29"/>
              </w:rPr>
              <w:t>$</w:t>
            </w:r>
          </w:p>
        </w:tc>
        <w:tc>
          <w:tcPr>
            <w:tcW w:w="98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36,884</w:t>
            </w:r>
          </w:p>
        </w:tc>
        <w:tc>
          <w:tcPr>
            <w:tcW w:w="80" w:type="dxa"/>
            <w:vAlign w:val="bottom"/>
            <w:shd w:val="clear" w:color="auto" w:fill="D2DCE5"/>
          </w:tcPr>
          <w:p>
            <w:pPr>
              <w:spacing w:after="0"/>
              <w:rPr>
                <w:sz w:val="23"/>
                <w:szCs w:val="23"/>
                <w:color w:val="auto"/>
              </w:rPr>
            </w:pPr>
          </w:p>
        </w:tc>
        <w:tc>
          <w:tcPr>
            <w:tcW w:w="360" w:type="dxa"/>
            <w:vAlign w:val="bottom"/>
            <w:shd w:val="clear" w:color="auto" w:fill="D2DCE5"/>
          </w:tcPr>
          <w:p>
            <w:pPr>
              <w:jc w:val="right"/>
              <w:ind w:right="150"/>
              <w:spacing w:after="0"/>
              <w:rPr>
                <w:sz w:val="20"/>
                <w:szCs w:val="20"/>
                <w:color w:val="auto"/>
              </w:rPr>
            </w:pPr>
            <w:r>
              <w:rPr>
                <w:rFonts w:ascii="Arial" w:cs="Arial" w:eastAsia="Arial" w:hAnsi="Arial"/>
                <w:sz w:val="18"/>
                <w:szCs w:val="18"/>
                <w:color w:val="131E29"/>
                <w:w w:val="99"/>
              </w:rPr>
              <w:t>$</w:t>
            </w:r>
          </w:p>
        </w:tc>
        <w:tc>
          <w:tcPr>
            <w:tcW w:w="940" w:type="dxa"/>
            <w:vAlign w:val="bottom"/>
            <w:shd w:val="clear" w:color="auto" w:fill="D2DCE5"/>
          </w:tcPr>
          <w:p>
            <w:pPr>
              <w:jc w:val="center"/>
              <w:ind w:left="130"/>
              <w:spacing w:after="0"/>
              <w:rPr>
                <w:sz w:val="20"/>
                <w:szCs w:val="20"/>
                <w:color w:val="auto"/>
              </w:rPr>
            </w:pPr>
            <w:r>
              <w:rPr>
                <w:rFonts w:ascii="Arial" w:cs="Arial" w:eastAsia="Arial" w:hAnsi="Arial"/>
                <w:sz w:val="18"/>
                <w:szCs w:val="18"/>
                <w:color w:val="131E29"/>
              </w:rPr>
              <w:t>47,840</w:t>
            </w:r>
          </w:p>
        </w:tc>
        <w:tc>
          <w:tcPr>
            <w:tcW w:w="80" w:type="dxa"/>
            <w:vAlign w:val="bottom"/>
            <w:shd w:val="clear" w:color="auto" w:fill="D2DCE5"/>
          </w:tcPr>
          <w:p>
            <w:pPr>
              <w:spacing w:after="0"/>
              <w:rPr>
                <w:sz w:val="23"/>
                <w:szCs w:val="23"/>
                <w:color w:val="auto"/>
              </w:rPr>
            </w:pPr>
          </w:p>
        </w:tc>
        <w:tc>
          <w:tcPr>
            <w:tcW w:w="460" w:type="dxa"/>
            <w:vAlign w:val="bottom"/>
            <w:shd w:val="clear" w:color="auto" w:fill="D2DCE5"/>
          </w:tcPr>
          <w:p>
            <w:pPr>
              <w:spacing w:after="0"/>
              <w:rPr>
                <w:sz w:val="23"/>
                <w:szCs w:val="23"/>
                <w:color w:val="auto"/>
              </w:rPr>
            </w:pPr>
          </w:p>
        </w:tc>
        <w:tc>
          <w:tcPr>
            <w:tcW w:w="76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129.7 %</w:t>
            </w:r>
          </w:p>
        </w:tc>
      </w:tr>
      <w:tr>
        <w:trPr>
          <w:trHeight w:val="270"/>
        </w:trPr>
        <w:tc>
          <w:tcPr>
            <w:tcW w:w="5980" w:type="dxa"/>
            <w:vAlign w:val="bottom"/>
            <w:gridSpan w:val="2"/>
          </w:tcPr>
          <w:p>
            <w:pPr>
              <w:ind w:left="20"/>
              <w:spacing w:after="0"/>
              <w:rPr>
                <w:sz w:val="20"/>
                <w:szCs w:val="20"/>
                <w:color w:val="auto"/>
              </w:rPr>
            </w:pPr>
            <w:r>
              <w:rPr>
                <w:rFonts w:ascii="Arial" w:cs="Arial" w:eastAsia="Arial" w:hAnsi="Arial"/>
                <w:sz w:val="18"/>
                <w:szCs w:val="18"/>
                <w:color w:val="131E29"/>
              </w:rPr>
              <w:t>Net cash used in investing activities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6098"/>
              </w:rPr>
              <w:t>(76,805)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31E29"/>
              </w:rPr>
              <w:t>(45,528)</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jc w:val="center"/>
              <w:ind w:left="110"/>
              <w:spacing w:after="0"/>
              <w:rPr>
                <w:sz w:val="20"/>
                <w:szCs w:val="20"/>
                <w:color w:val="auto"/>
              </w:rPr>
            </w:pPr>
            <w:r>
              <w:rPr>
                <w:rFonts w:ascii="Arial" w:cs="Arial" w:eastAsia="Arial" w:hAnsi="Arial"/>
                <w:sz w:val="18"/>
                <w:szCs w:val="18"/>
                <w:color w:val="131E29"/>
                <w:w w:val="98"/>
              </w:rPr>
              <w:t>(31,277)</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131E29"/>
              </w:rPr>
              <w:t>68.7 %</w:t>
            </w:r>
          </w:p>
        </w:tc>
      </w:tr>
      <w:tr>
        <w:trPr>
          <w:trHeight w:val="270"/>
        </w:trPr>
        <w:tc>
          <w:tcPr>
            <w:tcW w:w="5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Net cash provided by (used in) financing activities</w:t>
            </w:r>
          </w:p>
        </w:tc>
        <w:tc>
          <w:tcPr>
            <w:tcW w:w="260" w:type="dxa"/>
            <w:vAlign w:val="bottom"/>
            <w:tcBorders>
              <w:bottom w:val="single" w:sz="8" w:color="auto"/>
            </w:tcBorders>
            <w:shd w:val="clear" w:color="auto" w:fill="D2DCE5"/>
          </w:tcPr>
          <w:p>
            <w:pPr>
              <w:spacing w:after="0"/>
              <w:rPr>
                <w:sz w:val="23"/>
                <w:szCs w:val="23"/>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(13,806)</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31,731</w:t>
            </w:r>
          </w:p>
        </w:tc>
        <w:tc>
          <w:tcPr>
            <w:tcW w:w="80" w:type="dxa"/>
            <w:vAlign w:val="bottom"/>
            <w:shd w:val="clear" w:color="auto" w:fill="D2DCE5"/>
          </w:tcPr>
          <w:p>
            <w:pPr>
              <w:spacing w:after="0"/>
              <w:rPr>
                <w:sz w:val="23"/>
                <w:szCs w:val="23"/>
                <w:color w:val="auto"/>
              </w:rPr>
            </w:pPr>
          </w:p>
        </w:tc>
        <w:tc>
          <w:tcPr>
            <w:tcW w:w="360" w:type="dxa"/>
            <w:vAlign w:val="bottom"/>
            <w:tcBorders>
              <w:bottom w:val="single" w:sz="8" w:color="auto"/>
            </w:tcBorders>
            <w:shd w:val="clear" w:color="auto" w:fill="D2DCE5"/>
          </w:tcPr>
          <w:p>
            <w:pPr>
              <w:spacing w:after="0"/>
              <w:rPr>
                <w:sz w:val="23"/>
                <w:szCs w:val="23"/>
                <w:color w:val="auto"/>
              </w:rPr>
            </w:pPr>
          </w:p>
        </w:tc>
        <w:tc>
          <w:tcPr>
            <w:tcW w:w="940" w:type="dxa"/>
            <w:vAlign w:val="bottom"/>
            <w:tcBorders>
              <w:bottom w:val="single" w:sz="8" w:color="auto"/>
            </w:tcBorders>
            <w:shd w:val="clear" w:color="auto" w:fill="D2DCE5"/>
          </w:tcPr>
          <w:p>
            <w:pPr>
              <w:jc w:val="center"/>
              <w:ind w:left="110"/>
              <w:spacing w:after="0"/>
              <w:rPr>
                <w:sz w:val="20"/>
                <w:szCs w:val="20"/>
                <w:color w:val="auto"/>
              </w:rPr>
            </w:pPr>
            <w:r>
              <w:rPr>
                <w:rFonts w:ascii="Arial" w:cs="Arial" w:eastAsia="Arial" w:hAnsi="Arial"/>
                <w:sz w:val="18"/>
                <w:szCs w:val="18"/>
                <w:color w:val="131E29"/>
                <w:w w:val="98"/>
              </w:rPr>
              <w:t>(45,537)</w:t>
            </w:r>
          </w:p>
        </w:tc>
        <w:tc>
          <w:tcPr>
            <w:tcW w:w="80" w:type="dxa"/>
            <w:vAlign w:val="bottom"/>
            <w:shd w:val="clear" w:color="auto" w:fill="D2DCE5"/>
          </w:tcPr>
          <w:p>
            <w:pPr>
              <w:spacing w:after="0"/>
              <w:rPr>
                <w:sz w:val="23"/>
                <w:szCs w:val="23"/>
                <w:color w:val="auto"/>
              </w:rPr>
            </w:pPr>
          </w:p>
        </w:tc>
        <w:tc>
          <w:tcPr>
            <w:tcW w:w="460" w:type="dxa"/>
            <w:vAlign w:val="bottom"/>
            <w:tcBorders>
              <w:bottom w:val="single" w:sz="8" w:color="auto"/>
            </w:tcBorders>
            <w:shd w:val="clear" w:color="auto" w:fill="D2DCE5"/>
          </w:tcPr>
          <w:p>
            <w:pPr>
              <w:spacing w:after="0"/>
              <w:rPr>
                <w:sz w:val="23"/>
                <w:szCs w:val="23"/>
                <w:color w:val="auto"/>
              </w:rPr>
            </w:pP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w w:val="98"/>
              </w:rPr>
              <w:t>(143.5)%</w:t>
            </w:r>
          </w:p>
        </w:tc>
      </w:tr>
      <w:tr>
        <w:trPr>
          <w:trHeight w:val="250"/>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131E29"/>
              </w:rPr>
              <w:t>Net increase (decrease) in 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006098"/>
              </w:rPr>
              <w:t>(5,887)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131E2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131E29"/>
              </w:rPr>
              <w:t>23,087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940" w:type="dxa"/>
            <w:vAlign w:val="bottom"/>
          </w:tcPr>
          <w:p>
            <w:pPr>
              <w:jc w:val="center"/>
              <w:ind w:left="110"/>
              <w:spacing w:after="0"/>
              <w:rPr>
                <w:sz w:val="20"/>
                <w:szCs w:val="20"/>
                <w:color w:val="auto"/>
              </w:rPr>
            </w:pPr>
            <w:r>
              <w:rPr>
                <w:rFonts w:ascii="Arial" w:cs="Arial" w:eastAsia="Arial" w:hAnsi="Arial"/>
                <w:sz w:val="18"/>
                <w:szCs w:val="18"/>
                <w:b w:val="1"/>
                <w:bCs w:val="1"/>
                <w:color w:val="131E29"/>
                <w:w w:val="98"/>
              </w:rPr>
              <w:t>(28,974)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131E29"/>
                <w:w w:val="98"/>
              </w:rPr>
              <w:t>(125.5)%</w:t>
            </w:r>
          </w:p>
        </w:tc>
      </w:tr>
      <w:tr>
        <w:trPr>
          <w:trHeight w:val="270"/>
        </w:trPr>
        <w:tc>
          <w:tcPr>
            <w:tcW w:w="598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Cash and cash equivalents at beginning of period</w:t>
            </w:r>
          </w:p>
        </w:tc>
        <w:tc>
          <w:tcPr>
            <w:tcW w:w="260" w:type="dxa"/>
            <w:vAlign w:val="bottom"/>
            <w:tcBorders>
              <w:bottom w:val="single" w:sz="8" w:color="auto"/>
            </w:tcBorders>
            <w:shd w:val="clear" w:color="auto" w:fill="D2DCE5"/>
          </w:tcPr>
          <w:p>
            <w:pPr>
              <w:spacing w:after="0"/>
              <w:rPr>
                <w:sz w:val="23"/>
                <w:szCs w:val="23"/>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269,404</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293,354</w:t>
            </w:r>
          </w:p>
        </w:tc>
        <w:tc>
          <w:tcPr>
            <w:tcW w:w="80" w:type="dxa"/>
            <w:vAlign w:val="bottom"/>
            <w:shd w:val="clear" w:color="auto" w:fill="D2DCE5"/>
          </w:tcPr>
          <w:p>
            <w:pPr>
              <w:spacing w:after="0"/>
              <w:rPr>
                <w:sz w:val="23"/>
                <w:szCs w:val="23"/>
                <w:color w:val="auto"/>
              </w:rPr>
            </w:pPr>
          </w:p>
        </w:tc>
        <w:tc>
          <w:tcPr>
            <w:tcW w:w="360" w:type="dxa"/>
            <w:vAlign w:val="bottom"/>
            <w:tcBorders>
              <w:bottom w:val="single" w:sz="8" w:color="auto"/>
            </w:tcBorders>
            <w:shd w:val="clear" w:color="auto" w:fill="D2DCE5"/>
          </w:tcPr>
          <w:p>
            <w:pPr>
              <w:spacing w:after="0"/>
              <w:rPr>
                <w:sz w:val="23"/>
                <w:szCs w:val="23"/>
                <w:color w:val="auto"/>
              </w:rPr>
            </w:pPr>
          </w:p>
        </w:tc>
        <w:tc>
          <w:tcPr>
            <w:tcW w:w="940" w:type="dxa"/>
            <w:vAlign w:val="bottom"/>
            <w:tcBorders>
              <w:bottom w:val="single" w:sz="8" w:color="auto"/>
            </w:tcBorders>
            <w:shd w:val="clear" w:color="auto" w:fill="D2DCE5"/>
          </w:tcPr>
          <w:p>
            <w:pPr>
              <w:jc w:val="center"/>
              <w:ind w:left="110"/>
              <w:spacing w:after="0"/>
              <w:rPr>
                <w:sz w:val="20"/>
                <w:szCs w:val="20"/>
                <w:color w:val="auto"/>
              </w:rPr>
            </w:pPr>
            <w:r>
              <w:rPr>
                <w:rFonts w:ascii="Arial" w:cs="Arial" w:eastAsia="Arial" w:hAnsi="Arial"/>
                <w:sz w:val="18"/>
                <w:szCs w:val="18"/>
                <w:color w:val="131E29"/>
                <w:w w:val="98"/>
              </w:rPr>
              <w:t>(23,950)</w:t>
            </w:r>
          </w:p>
        </w:tc>
        <w:tc>
          <w:tcPr>
            <w:tcW w:w="80" w:type="dxa"/>
            <w:vAlign w:val="bottom"/>
            <w:shd w:val="clear" w:color="auto" w:fill="D2DCE5"/>
          </w:tcPr>
          <w:p>
            <w:pPr>
              <w:spacing w:after="0"/>
              <w:rPr>
                <w:sz w:val="23"/>
                <w:szCs w:val="23"/>
                <w:color w:val="auto"/>
              </w:rPr>
            </w:pPr>
          </w:p>
        </w:tc>
        <w:tc>
          <w:tcPr>
            <w:tcW w:w="460" w:type="dxa"/>
            <w:vAlign w:val="bottom"/>
            <w:tcBorders>
              <w:bottom w:val="single" w:sz="8" w:color="auto"/>
            </w:tcBorders>
            <w:shd w:val="clear" w:color="auto" w:fill="D2DCE5"/>
          </w:tcPr>
          <w:p>
            <w:pPr>
              <w:spacing w:after="0"/>
              <w:rPr>
                <w:sz w:val="23"/>
                <w:szCs w:val="23"/>
                <w:color w:val="auto"/>
              </w:rPr>
            </w:pPr>
          </w:p>
        </w:tc>
        <w:tc>
          <w:tcPr>
            <w:tcW w:w="7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(8.2)%</w:t>
            </w:r>
          </w:p>
        </w:tc>
      </w:tr>
      <w:tr>
        <w:trPr>
          <w:trHeight w:val="223"/>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131E29"/>
              </w:rPr>
              <w:t>Cash and cash equivalents at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006098"/>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263,517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131E29"/>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316,441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131E29"/>
                <w:w w:val="99"/>
              </w:rPr>
              <w:t>$</w:t>
            </w:r>
          </w:p>
        </w:tc>
        <w:tc>
          <w:tcPr>
            <w:tcW w:w="9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131E29"/>
                <w:w w:val="98"/>
              </w:rPr>
              <w:t>(52,924)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(16.7)%</w:t>
            </w:r>
          </w:p>
        </w:tc>
      </w:tr>
      <w:tr>
        <w:trPr>
          <w:trHeight w:val="21"/>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Operating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operating activities cash flows was primarily driven by higher net income as a result of year-over-year sales growth and leverage of selling, general and administrative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Investing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increase in investing activities cash outflows was primarily driven by higher i</w:t>
      </w:r>
      <w:r>
        <w:rPr>
          <w:rFonts w:ascii="Arial" w:cs="Arial" w:eastAsia="Arial" w:hAnsi="Arial"/>
          <w:sz w:val="18"/>
          <w:szCs w:val="18"/>
          <w:color w:val="000000"/>
        </w:rPr>
        <w:t>nvestment in capital expenditures due to new company-operated shops openings in the current period compared to the same period in the prior year and acquisition of Clutch Coffee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Financing Activities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 decrease in financing activities cash flows was primarily driven by non-recurring proceeds received on our delayed draw term loan facility in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Cash Requirements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We believe that cash provided by operating activities and proceeds from our 2025 Credit Facility are adequate to fund our debt service requirements, lease obligations, cash distributions required by the OpCo LLC Agreement and the TRAs, and working capital obligations for at least the next 12 months.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future capital requirements may vary materially from period to period and will depend on many factors, primarily our expansion and growth by opening additional company-operated shops and/or reacquiring existing franchised shops. Further, the payments that we may be required to make under the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940"/>
        <w:spacing w:after="0"/>
        <w:rPr>
          <w:sz w:val="20"/>
          <w:szCs w:val="20"/>
          <w:color w:val="auto"/>
        </w:rPr>
      </w:pPr>
      <w:r>
        <w:rPr>
          <w:sz w:val="1"/>
          <w:szCs w:val="1"/>
          <w:color w:val="auto"/>
        </w:rPr>
        <w:drawing>
          <wp:inline distT="0" distB="0" distL="0" distR="0">
            <wp:extent cx="171450" cy="24003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131E29"/>
        </w:rPr>
        <w:t>TRAs may be significant. We currently expect to fund our current and long-term material capital requirements with operating cash flows and, as needed, additional proceeds from our 2025 Credit Facility, but we may also seek additional debt or equity financing. From time to time, we may explore additional financing sources which could include equity, equity</w:t>
      </w:r>
      <w:r>
        <w:rPr>
          <w:rFonts w:ascii="MS PGothic" w:cs="MS PGothic" w:eastAsia="MS PGothic" w:hAnsi="MS PGothic"/>
          <w:sz w:val="18"/>
          <w:szCs w:val="18"/>
          <w:color w:val="131E29"/>
        </w:rPr>
        <w:t>‑</w:t>
      </w:r>
      <w:r>
        <w:rPr>
          <w:rFonts w:ascii="Arial" w:cs="Arial" w:eastAsia="Arial" w:hAnsi="Arial"/>
          <w:sz w:val="18"/>
          <w:szCs w:val="18"/>
          <w:color w:val="131E29"/>
        </w:rPr>
        <w:t>linked, and debt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131E29"/>
        </w:rPr>
        <w:t>As of March 31, 2026, cash requirements for the following items have materially changed from our 2025 Form 10-K:</w:t>
      </w:r>
    </w:p>
    <w:p>
      <w:pPr>
        <w:spacing w:after="0" w:line="171" w:lineRule="exact"/>
        <w:rPr>
          <w:sz w:val="20"/>
          <w:szCs w:val="20"/>
          <w:color w:val="auto"/>
        </w:rPr>
      </w:pPr>
    </w:p>
    <w:p>
      <w:pPr>
        <w:ind w:left="340" w:hanging="332"/>
        <w:spacing w:after="0" w:line="287" w:lineRule="auto"/>
        <w:tabs>
          <w:tab w:leader="none" w:pos="335" w:val="left"/>
        </w:tabs>
        <w:numPr>
          <w:ilvl w:val="0"/>
          <w:numId w:val="23"/>
        </w:numPr>
        <w:rPr>
          <w:rFonts w:ascii="Arial" w:cs="Arial" w:eastAsia="Arial" w:hAnsi="Arial"/>
          <w:sz w:val="18"/>
          <w:szCs w:val="18"/>
          <w:color w:val="131E29"/>
        </w:rPr>
      </w:pPr>
      <w:r>
        <w:rPr>
          <w:rFonts w:ascii="Arial" w:cs="Arial" w:eastAsia="Arial" w:hAnsi="Arial"/>
          <w:sz w:val="18"/>
          <w:szCs w:val="18"/>
          <w:color w:val="006098"/>
        </w:rPr>
        <w:t xml:space="preserve">Lease liabilities </w:t>
      </w:r>
      <w:r>
        <w:rPr>
          <w:rFonts w:ascii="Arial" w:cs="Arial" w:eastAsia="Arial" w:hAnsi="Arial"/>
          <w:sz w:val="18"/>
          <w:szCs w:val="18"/>
          <w:color w:val="131E29"/>
        </w:rPr>
        <w:t>— increased approximately $72.2 million from newly commenced leases, including $21.2 million related to the Clutch</w:t>
      </w:r>
      <w:r>
        <w:rPr>
          <w:rFonts w:ascii="Arial" w:cs="Arial" w:eastAsia="Arial" w:hAnsi="Arial"/>
          <w:sz w:val="18"/>
          <w:szCs w:val="18"/>
          <w:color w:val="006098"/>
        </w:rPr>
        <w:t xml:space="preserve"> </w:t>
      </w:r>
      <w:r>
        <w:rPr>
          <w:rFonts w:ascii="Arial" w:cs="Arial" w:eastAsia="Arial" w:hAnsi="Arial"/>
          <w:sz w:val="18"/>
          <w:szCs w:val="18"/>
          <w:color w:val="131E29"/>
        </w:rPr>
        <w:t>Coffee asset acquisition.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JPMorgan Credit Facility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As of March 31, 2026, $147 million of principal was outstanding on the term loan facility, and $50 million was outstanding on our revolving credit facility. The term loan and revolving loan both bear interest at approximately 4.92% as of March 31,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Interest Rate Swap Contract</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As of March 31, 2026, the interest rate swap had a notional amount of approximately $58 million and hedges interest rate risk on the term loan under the 2025 Credit Facility, with a fixed rate of 2.67%. As of March 31, 2026, the one-month adjusted term SOFR was 3.67%.</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See NOTE 10 — Debt and NOTE 11 — Derivative Financial Instrument for additional details related to our 2025 Credit Facility and interest rate swap contract.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Seasonality</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Our business is subject to seasonal fluctuations that impact our revenue and company-operated shops gross profit margins. We typically experience higher system sales in the summer months, which impacts revenue and company-operated shops gross profit margins in the second and third quarters of our fiscal year.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Critical Accounting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131E29"/>
        </w:rPr>
        <w:t>There have been no material changes to our critical accounting estimates from those disclosed in our 2025 Form 10-K.</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Non-GAAP Financial Measures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Segment contribution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Segment gross profit, before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This non-GAAP measure is used by our management in making performance decisions without the impact of non-cash depreciation and amortization charges. This is a standard metric used across our industry by investors.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EBITDA,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EBITDA — definition and/or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Net income before interest expense (net of interest income), income tax expense, and depreciation and amortization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Adjusted EBITDA — definition and/or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131E29"/>
        </w:rPr>
        <w:t>Defined as EBITDA, excluding equity-based compensation and organization realignment and restructurings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Adjusted selling, general, and administrative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Definition and/or calculation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Selling, general, and administrative expenses, excluding depreciation and amortization, equity-based compensation expense and organization realignment and restructurings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Usefulness to management and investors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098"/>
        </w:rPr>
        <w:t>Non-GAAP adjustments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131E29"/>
        </w:rPr>
        <w:t>Below are the definitions of the non-GAAP adjustments that are used in the calculation of our non-GAAP measures, as described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Equity-based compensation</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131E29"/>
        </w:rPr>
        <w:t>Non-cash expenses related to the grant and vesting of stock awards, including RSUs and PSUs, in Dutch Bros Inc. to certain eligible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6098"/>
        </w:rPr>
        <w:t>Organization realignment and restructurings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Fees and costs incurred in connection with our comprehensive initiatives to develop and implement a long-term strategy involving changes to our organizational structure to support our growth. See NOTE 4 — Organization Realignment and Restructurings for detailed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The following are reconciliations of the most comparable GAAP metric to non-GAAP metrics (presented in dollars and as a percentage of revenue):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00" w:type="dxa"/>
            <w:vAlign w:val="bottom"/>
            <w:tcBorders>
              <w:bottom w:val="single" w:sz="8" w:color="D7282F"/>
            </w:tcBorders>
            <w:gridSpan w:val="8"/>
          </w:tcPr>
          <w:p>
            <w:pPr>
              <w:jc w:val="right"/>
              <w:ind w:right="320"/>
              <w:spacing w:after="0"/>
              <w:rPr>
                <w:sz w:val="20"/>
                <w:szCs w:val="20"/>
                <w:color w:val="auto"/>
              </w:rPr>
            </w:pPr>
            <w:r>
              <w:rPr>
                <w:rFonts w:ascii="Arial" w:cs="Arial" w:eastAsia="Arial" w:hAnsi="Arial"/>
                <w:sz w:val="18"/>
                <w:szCs w:val="18"/>
                <w:b w:val="1"/>
                <w:bCs w:val="1"/>
                <w:color w:val="131E29"/>
              </w:rPr>
              <w:t>Three Months Ended March 31,</w:t>
            </w:r>
          </w:p>
        </w:tc>
        <w:tc>
          <w:tcPr>
            <w:tcW w:w="800" w:type="dxa"/>
            <w:vAlign w:val="bottom"/>
            <w:tcBorders>
              <w:bottom w:val="single" w:sz="8" w:color="D7282F"/>
            </w:tcBorders>
          </w:tcPr>
          <w:p>
            <w:pPr>
              <w:spacing w:after="0"/>
              <w:rPr>
                <w:sz w:val="22"/>
                <w:szCs w:val="22"/>
                <w:color w:val="auto"/>
              </w:rPr>
            </w:pPr>
          </w:p>
        </w:tc>
      </w:tr>
      <w:tr>
        <w:trPr>
          <w:trHeight w:val="263"/>
        </w:trPr>
        <w:tc>
          <w:tcPr>
            <w:tcW w:w="6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2026</w:t>
            </w:r>
          </w:p>
        </w:tc>
        <w:tc>
          <w:tcPr>
            <w:tcW w:w="80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2025</w:t>
            </w:r>
          </w:p>
        </w:tc>
        <w:tc>
          <w:tcPr>
            <w:tcW w:w="800" w:type="dxa"/>
            <w:vAlign w:val="bottom"/>
            <w:tcBorders>
              <w:bottom w:val="single" w:sz="8" w:color="D7282F"/>
            </w:tcBorders>
          </w:tcPr>
          <w:p>
            <w:pPr>
              <w:spacing w:after="0"/>
              <w:rPr>
                <w:sz w:val="22"/>
                <w:szCs w:val="22"/>
                <w:color w:val="auto"/>
              </w:rPr>
            </w:pPr>
          </w:p>
        </w:tc>
      </w:tr>
      <w:tr>
        <w:trPr>
          <w:trHeight w:val="263"/>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gross profit</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85,782</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20.0</w:t>
            </w:r>
          </w:p>
        </w:tc>
        <w:tc>
          <w:tcPr>
            <w:tcW w:w="10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71,498</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21.9</w:t>
            </w:r>
          </w:p>
        </w:tc>
      </w:tr>
      <w:tr>
        <w:trPr>
          <w:trHeight w:val="270"/>
        </w:trPr>
        <w:tc>
          <w:tcPr>
            <w:tcW w:w="6340" w:type="dxa"/>
            <w:vAlign w:val="bottom"/>
            <w:tcBorders>
              <w:bottom w:val="single" w:sz="8" w:color="D2DCE5"/>
            </w:tcBorders>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35,522</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8.3</w:t>
            </w:r>
          </w:p>
        </w:tc>
        <w:tc>
          <w:tcPr>
            <w:tcW w:w="100" w:type="dxa"/>
            <w:vAlign w:val="bottom"/>
            <w:tcBorders>
              <w:bottom w:val="single" w:sz="8" w:color="D2DCE5"/>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24,567</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7.5</w:t>
            </w:r>
          </w:p>
        </w:tc>
      </w:tr>
      <w:tr>
        <w:trPr>
          <w:trHeight w:val="248"/>
        </w:trPr>
        <w:tc>
          <w:tcPr>
            <w:tcW w:w="6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Company-operated shops contribution</w:t>
            </w: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121,304</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auto"/>
            </w:tcBorders>
            <w:shd w:val="clear" w:color="auto" w:fill="D2DCE5"/>
          </w:tcPr>
          <w:p>
            <w:pPr>
              <w:spacing w:after="0"/>
              <w:rPr>
                <w:sz w:val="21"/>
                <w:szCs w:val="21"/>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28.3</w:t>
            </w:r>
          </w:p>
        </w:tc>
        <w:tc>
          <w:tcPr>
            <w:tcW w:w="10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96,065</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auto"/>
            </w:tcBorders>
            <w:shd w:val="clear" w:color="auto" w:fill="D2DCE5"/>
          </w:tcPr>
          <w:p>
            <w:pPr>
              <w:spacing w:after="0"/>
              <w:rPr>
                <w:sz w:val="21"/>
                <w:szCs w:val="21"/>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29.4</w:t>
            </w:r>
          </w:p>
        </w:tc>
      </w:tr>
      <w:tr>
        <w:trPr>
          <w:trHeight w:val="20"/>
        </w:trPr>
        <w:tc>
          <w:tcPr>
            <w:tcW w:w="62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800" w:type="dxa"/>
            <w:vAlign w:val="bottom"/>
            <w:tcBorders>
              <w:top w:val="single" w:sz="8" w:color="D2DCE5"/>
              <w:bottom w:val="single" w:sz="8" w:color="auto"/>
            </w:tcBorders>
          </w:tcPr>
          <w:p>
            <w:pPr>
              <w:spacing w:after="0" w:line="20" w:lineRule="exact"/>
              <w:rPr>
                <w:sz w:val="1"/>
                <w:szCs w:val="1"/>
                <w:color w:val="auto"/>
              </w:rPr>
            </w:pPr>
          </w:p>
        </w:tc>
      </w:tr>
      <w:tr>
        <w:trPr>
          <w:trHeight w:val="521"/>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Borders>
              <w:bottom w:val="single" w:sz="8" w:color="D7282F"/>
            </w:tcBorders>
            <w:gridSpan w:val="8"/>
          </w:tcPr>
          <w:p>
            <w:pPr>
              <w:jc w:val="right"/>
              <w:ind w:right="320"/>
              <w:spacing w:after="0"/>
              <w:rPr>
                <w:sz w:val="20"/>
                <w:szCs w:val="20"/>
                <w:color w:val="auto"/>
              </w:rPr>
            </w:pPr>
            <w:r>
              <w:rPr>
                <w:rFonts w:ascii="Arial" w:cs="Arial" w:eastAsia="Arial" w:hAnsi="Arial"/>
                <w:sz w:val="18"/>
                <w:szCs w:val="18"/>
                <w:b w:val="1"/>
                <w:bCs w:val="1"/>
                <w:color w:val="131E29"/>
              </w:rPr>
              <w:t>Three Months Ended March 31,</w:t>
            </w:r>
          </w:p>
        </w:tc>
        <w:tc>
          <w:tcPr>
            <w:tcW w:w="800" w:type="dxa"/>
            <w:vAlign w:val="bottom"/>
            <w:tcBorders>
              <w:bottom w:val="single" w:sz="8" w:color="D7282F"/>
            </w:tcBorders>
          </w:tcPr>
          <w:p>
            <w:pPr>
              <w:spacing w:after="0"/>
              <w:rPr>
                <w:sz w:val="24"/>
                <w:szCs w:val="24"/>
                <w:color w:val="auto"/>
              </w:rPr>
            </w:pPr>
          </w:p>
        </w:tc>
      </w:tr>
      <w:tr>
        <w:trPr>
          <w:trHeight w:val="263"/>
        </w:trPr>
        <w:tc>
          <w:tcPr>
            <w:tcW w:w="6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2026</w:t>
            </w:r>
          </w:p>
        </w:tc>
        <w:tc>
          <w:tcPr>
            <w:tcW w:w="80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2025</w:t>
            </w:r>
          </w:p>
        </w:tc>
        <w:tc>
          <w:tcPr>
            <w:tcW w:w="800" w:type="dxa"/>
            <w:vAlign w:val="bottom"/>
            <w:tcBorders>
              <w:bottom w:val="single" w:sz="8" w:color="D7282F"/>
            </w:tcBorders>
          </w:tcPr>
          <w:p>
            <w:pPr>
              <w:spacing w:after="0"/>
              <w:rPr>
                <w:sz w:val="22"/>
                <w:szCs w:val="22"/>
                <w:color w:val="auto"/>
              </w:rPr>
            </w:pPr>
          </w:p>
        </w:tc>
      </w:tr>
      <w:tr>
        <w:trPr>
          <w:trHeight w:val="263"/>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Franchising and other gross profit</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21,694</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61.4</w:t>
            </w:r>
          </w:p>
        </w:tc>
        <w:tc>
          <w:tcPr>
            <w:tcW w:w="10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18,495</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64.4</w:t>
            </w:r>
          </w:p>
        </w:tc>
      </w:tr>
      <w:tr>
        <w:trPr>
          <w:trHeight w:val="270"/>
        </w:trPr>
        <w:tc>
          <w:tcPr>
            <w:tcW w:w="6340" w:type="dxa"/>
            <w:vAlign w:val="bottom"/>
            <w:tcBorders>
              <w:bottom w:val="single" w:sz="8" w:color="D2DCE5"/>
            </w:tcBorders>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1,303</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3.6</w:t>
            </w:r>
          </w:p>
        </w:tc>
        <w:tc>
          <w:tcPr>
            <w:tcW w:w="100" w:type="dxa"/>
            <w:vAlign w:val="bottom"/>
            <w:tcBorders>
              <w:bottom w:val="single" w:sz="8" w:color="D2DCE5"/>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1,461</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5.1</w:t>
            </w:r>
          </w:p>
        </w:tc>
      </w:tr>
      <w:tr>
        <w:trPr>
          <w:trHeight w:val="248"/>
        </w:trPr>
        <w:tc>
          <w:tcPr>
            <w:tcW w:w="63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Franchising and other contribution</w:t>
            </w: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22,997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auto"/>
            </w:tcBorders>
            <w:shd w:val="clear" w:color="auto" w:fill="D2DCE5"/>
          </w:tcPr>
          <w:p>
            <w:pPr>
              <w:spacing w:after="0"/>
              <w:rPr>
                <w:sz w:val="21"/>
                <w:szCs w:val="21"/>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65.0</w:t>
            </w:r>
          </w:p>
        </w:tc>
        <w:tc>
          <w:tcPr>
            <w:tcW w:w="10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19,956</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auto"/>
            </w:tcBorders>
            <w:shd w:val="clear" w:color="auto" w:fill="D2DCE5"/>
          </w:tcPr>
          <w:p>
            <w:pPr>
              <w:spacing w:after="0"/>
              <w:rPr>
                <w:sz w:val="21"/>
                <w:szCs w:val="21"/>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69.5</w:t>
            </w:r>
          </w:p>
        </w:tc>
      </w:tr>
      <w:tr>
        <w:trPr>
          <w:trHeight w:val="20"/>
        </w:trPr>
        <w:tc>
          <w:tcPr>
            <w:tcW w:w="62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60" w:type="dxa"/>
            <w:vAlign w:val="bottom"/>
            <w:tcBorders>
              <w:top w:val="single" w:sz="8" w:color="D2DCE5"/>
              <w:bottom w:val="single" w:sz="8" w:color="auto"/>
            </w:tcBorders>
            <w:gridSpan w:val="2"/>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800" w:type="dxa"/>
            <w:vAlign w:val="bottom"/>
            <w:tcBorders>
              <w:top w:val="single" w:sz="8" w:color="D2DCE5"/>
              <w:bottom w:val="single" w:sz="8" w:color="auto"/>
            </w:tcBorders>
          </w:tcPr>
          <w:p>
            <w:pPr>
              <w:spacing w:after="0" w:line="20" w:lineRule="exact"/>
              <w:rPr>
                <w:sz w:val="1"/>
                <w:szCs w:val="1"/>
                <w:color w:val="auto"/>
              </w:rPr>
            </w:pPr>
          </w:p>
        </w:tc>
      </w:tr>
      <w:tr>
        <w:trPr>
          <w:trHeight w:val="508"/>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Borders>
              <w:bottom w:val="single" w:sz="8" w:color="D7282F"/>
            </w:tcBorders>
            <w:gridSpan w:val="8"/>
          </w:tcPr>
          <w:p>
            <w:pPr>
              <w:jc w:val="right"/>
              <w:ind w:right="320"/>
              <w:spacing w:after="0"/>
              <w:rPr>
                <w:sz w:val="20"/>
                <w:szCs w:val="20"/>
                <w:color w:val="auto"/>
              </w:rPr>
            </w:pPr>
            <w:r>
              <w:rPr>
                <w:rFonts w:ascii="Arial" w:cs="Arial" w:eastAsia="Arial" w:hAnsi="Arial"/>
                <w:sz w:val="18"/>
                <w:szCs w:val="18"/>
                <w:b w:val="1"/>
                <w:bCs w:val="1"/>
                <w:color w:val="131E29"/>
              </w:rPr>
              <w:t>Three Months Ended March 31,</w:t>
            </w:r>
          </w:p>
        </w:tc>
        <w:tc>
          <w:tcPr>
            <w:tcW w:w="800" w:type="dxa"/>
            <w:vAlign w:val="bottom"/>
            <w:tcBorders>
              <w:bottom w:val="single" w:sz="8" w:color="D7282F"/>
            </w:tcBorders>
          </w:tcPr>
          <w:p>
            <w:pPr>
              <w:spacing w:after="0"/>
              <w:rPr>
                <w:sz w:val="24"/>
                <w:szCs w:val="24"/>
                <w:color w:val="auto"/>
              </w:rPr>
            </w:pPr>
          </w:p>
        </w:tc>
      </w:tr>
      <w:tr>
        <w:trPr>
          <w:trHeight w:val="264"/>
        </w:trPr>
        <w:tc>
          <w:tcPr>
            <w:tcW w:w="6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2026</w:t>
            </w:r>
          </w:p>
        </w:tc>
        <w:tc>
          <w:tcPr>
            <w:tcW w:w="80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2025</w:t>
            </w:r>
          </w:p>
        </w:tc>
        <w:tc>
          <w:tcPr>
            <w:tcW w:w="800" w:type="dxa"/>
            <w:vAlign w:val="bottom"/>
            <w:tcBorders>
              <w:bottom w:val="single" w:sz="8" w:color="D7282F"/>
            </w:tcBorders>
          </w:tcPr>
          <w:p>
            <w:pPr>
              <w:spacing w:after="0"/>
              <w:rPr>
                <w:sz w:val="22"/>
                <w:szCs w:val="22"/>
                <w:color w:val="auto"/>
              </w:rPr>
            </w:pPr>
          </w:p>
        </w:tc>
      </w:tr>
      <w:tr>
        <w:trPr>
          <w:trHeight w:val="264"/>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Net income</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23,664</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5.1</w:t>
            </w:r>
          </w:p>
        </w:tc>
        <w:tc>
          <w:tcPr>
            <w:tcW w:w="10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22,480</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6.3</w:t>
            </w:r>
          </w:p>
        </w:tc>
      </w:tr>
      <w:tr>
        <w:trPr>
          <w:trHeight w:val="270"/>
        </w:trPr>
        <w:tc>
          <w:tcPr>
            <w:tcW w:w="634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240" w:type="dxa"/>
            <w:vAlign w:val="bottom"/>
          </w:tcPr>
          <w:p>
            <w:pPr>
              <w:jc w:val="right"/>
              <w:spacing w:after="0"/>
              <w:rPr>
                <w:sz w:val="20"/>
                <w:szCs w:val="20"/>
                <w:color w:val="auto"/>
              </w:rPr>
            </w:pPr>
            <w:r>
              <w:rPr>
                <w:rFonts w:ascii="Arial" w:cs="Arial" w:eastAsia="Arial" w:hAnsi="Arial"/>
                <w:sz w:val="18"/>
                <w:szCs w:val="18"/>
                <w:color w:val="006098"/>
              </w:rPr>
              <w:t>38,255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006098"/>
              </w:rPr>
              <w:t>8.2</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26,430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7.4</w:t>
            </w:r>
          </w:p>
        </w:tc>
      </w:tr>
      <w:tr>
        <w:trPr>
          <w:trHeight w:val="270"/>
        </w:trPr>
        <w:tc>
          <w:tcPr>
            <w:tcW w:w="634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Interest expense, net</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7,220</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1.6</w:t>
            </w:r>
          </w:p>
        </w:tc>
        <w:tc>
          <w:tcPr>
            <w:tcW w:w="10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7,115</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2.1</w:t>
            </w:r>
          </w:p>
        </w:tc>
      </w:tr>
      <w:tr>
        <w:trPr>
          <w:trHeight w:val="270"/>
        </w:trPr>
        <w:tc>
          <w:tcPr>
            <w:tcW w:w="6340" w:type="dxa"/>
            <w:vAlign w:val="bottom"/>
            <w:tcBorders>
              <w:bottom w:val="single" w:sz="8" w:color="D2DCE5"/>
            </w:tcBorders>
            <w:gridSpan w:val="2"/>
          </w:tcPr>
          <w:p>
            <w:pPr>
              <w:ind w:left="180"/>
              <w:spacing w:after="0"/>
              <w:rPr>
                <w:sz w:val="20"/>
                <w:szCs w:val="20"/>
                <w:color w:val="auto"/>
              </w:rPr>
            </w:pPr>
            <w:r>
              <w:rPr>
                <w:rFonts w:ascii="Arial" w:cs="Arial" w:eastAsia="Arial" w:hAnsi="Arial"/>
                <w:sz w:val="18"/>
                <w:szCs w:val="18"/>
                <w:color w:val="131E29"/>
              </w:rPr>
              <w:t>Income tax expense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3,341</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131E29"/>
            </w:tcBorders>
          </w:tcPr>
          <w:p>
            <w:pPr>
              <w:spacing w:after="0"/>
              <w:rPr>
                <w:sz w:val="23"/>
                <w:szCs w:val="23"/>
                <w:color w:val="auto"/>
              </w:rPr>
            </w:pPr>
          </w:p>
        </w:tc>
        <w:tc>
          <w:tcPr>
            <w:tcW w:w="80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006098"/>
              </w:rPr>
              <w:t>0.7</w:t>
            </w:r>
          </w:p>
        </w:tc>
        <w:tc>
          <w:tcPr>
            <w:tcW w:w="100" w:type="dxa"/>
            <w:vAlign w:val="bottom"/>
            <w:tcBorders>
              <w:bottom w:val="single" w:sz="8" w:color="D2DCE5"/>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1,459</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131E29"/>
            </w:tcBorders>
          </w:tcPr>
          <w:p>
            <w:pPr>
              <w:spacing w:after="0"/>
              <w:rPr>
                <w:sz w:val="23"/>
                <w:szCs w:val="23"/>
                <w:color w:val="auto"/>
              </w:rPr>
            </w:pPr>
          </w:p>
        </w:tc>
        <w:tc>
          <w:tcPr>
            <w:tcW w:w="800" w:type="dxa"/>
            <w:vAlign w:val="bottom"/>
            <w:tcBorders>
              <w:bottom w:val="single" w:sz="8" w:color="131E29"/>
            </w:tcBorders>
          </w:tcPr>
          <w:p>
            <w:pPr>
              <w:jc w:val="right"/>
              <w:spacing w:after="0"/>
              <w:rPr>
                <w:sz w:val="20"/>
                <w:szCs w:val="20"/>
                <w:color w:val="auto"/>
              </w:rPr>
            </w:pPr>
            <w:r>
              <w:rPr>
                <w:rFonts w:ascii="Arial" w:cs="Arial" w:eastAsia="Arial" w:hAnsi="Arial"/>
                <w:sz w:val="18"/>
                <w:szCs w:val="18"/>
                <w:color w:val="131E29"/>
              </w:rPr>
              <w:t>0.4</w:t>
            </w:r>
          </w:p>
        </w:tc>
      </w:tr>
      <w:tr>
        <w:trPr>
          <w:trHeight w:val="250"/>
        </w:trPr>
        <w:tc>
          <w:tcPr>
            <w:tcW w:w="6340" w:type="dxa"/>
            <w:vAlign w:val="bottom"/>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EBITDA</w:t>
            </w: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72,480</w:t>
            </w:r>
          </w:p>
        </w:tc>
        <w:tc>
          <w:tcPr>
            <w:tcW w:w="100" w:type="dxa"/>
            <w:vAlign w:val="bottom"/>
            <w:shd w:val="clear" w:color="auto" w:fill="D2DCE5"/>
          </w:tcPr>
          <w:p>
            <w:pPr>
              <w:spacing w:after="0"/>
              <w:rPr>
                <w:sz w:val="21"/>
                <w:szCs w:val="21"/>
                <w:color w:val="auto"/>
              </w:rPr>
            </w:pPr>
          </w:p>
        </w:tc>
        <w:tc>
          <w:tcPr>
            <w:tcW w:w="260" w:type="dxa"/>
            <w:vAlign w:val="bottom"/>
            <w:tcBorders>
              <w:bottom w:val="single" w:sz="8" w:color="131E29"/>
            </w:tcBorders>
            <w:shd w:val="clear" w:color="auto" w:fill="D2DCE5"/>
          </w:tcPr>
          <w:p>
            <w:pPr>
              <w:spacing w:after="0"/>
              <w:rPr>
                <w:sz w:val="21"/>
                <w:szCs w:val="21"/>
                <w:color w:val="auto"/>
              </w:rPr>
            </w:pPr>
          </w:p>
        </w:tc>
        <w:tc>
          <w:tcPr>
            <w:tcW w:w="8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15.6</w:t>
            </w:r>
          </w:p>
        </w:tc>
        <w:tc>
          <w:tcPr>
            <w:tcW w:w="100" w:type="dxa"/>
            <w:vAlign w:val="bottom"/>
            <w:shd w:val="clear" w:color="auto" w:fill="D2DCE5"/>
          </w:tcPr>
          <w:p>
            <w:pPr>
              <w:spacing w:after="0"/>
              <w:rPr>
                <w:sz w:val="21"/>
                <w:szCs w:val="21"/>
                <w:color w:val="auto"/>
              </w:rPr>
            </w:pP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57,484</w:t>
            </w:r>
          </w:p>
        </w:tc>
        <w:tc>
          <w:tcPr>
            <w:tcW w:w="100" w:type="dxa"/>
            <w:vAlign w:val="bottom"/>
            <w:shd w:val="clear" w:color="auto" w:fill="D2DCE5"/>
          </w:tcPr>
          <w:p>
            <w:pPr>
              <w:spacing w:after="0"/>
              <w:rPr>
                <w:sz w:val="21"/>
                <w:szCs w:val="21"/>
                <w:color w:val="auto"/>
              </w:rPr>
            </w:pPr>
          </w:p>
        </w:tc>
        <w:tc>
          <w:tcPr>
            <w:tcW w:w="260" w:type="dxa"/>
            <w:vAlign w:val="bottom"/>
            <w:tcBorders>
              <w:bottom w:val="single" w:sz="8" w:color="131E29"/>
            </w:tcBorders>
            <w:shd w:val="clear" w:color="auto" w:fill="D2DCE5"/>
          </w:tcPr>
          <w:p>
            <w:pPr>
              <w:spacing w:after="0"/>
              <w:rPr>
                <w:sz w:val="21"/>
                <w:szCs w:val="21"/>
                <w:color w:val="auto"/>
              </w:rPr>
            </w:pPr>
          </w:p>
        </w:tc>
        <w:tc>
          <w:tcPr>
            <w:tcW w:w="8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16.2</w:t>
            </w:r>
          </w:p>
        </w:tc>
      </w:tr>
      <w:tr>
        <w:trPr>
          <w:trHeight w:val="250"/>
        </w:trPr>
        <w:tc>
          <w:tcPr>
            <w:tcW w:w="6340" w:type="dxa"/>
            <w:vAlign w:val="bottom"/>
            <w:gridSpan w:val="2"/>
          </w:tcPr>
          <w:p>
            <w:pPr>
              <w:ind w:left="180"/>
              <w:spacing w:after="0"/>
              <w:rPr>
                <w:sz w:val="20"/>
                <w:szCs w:val="20"/>
                <w:color w:val="auto"/>
              </w:rPr>
            </w:pPr>
            <w:r>
              <w:rPr>
                <w:rFonts w:ascii="Arial" w:cs="Arial" w:eastAsia="Arial" w:hAnsi="Arial"/>
                <w:sz w:val="18"/>
                <w:szCs w:val="18"/>
                <w:color w:val="131E29"/>
              </w:rPr>
              <w:t>Equity-based compensation</w:t>
            </w:r>
          </w:p>
        </w:tc>
        <w:tc>
          <w:tcPr>
            <w:tcW w:w="1240" w:type="dxa"/>
            <w:vAlign w:val="bottom"/>
          </w:tcPr>
          <w:p>
            <w:pPr>
              <w:jc w:val="right"/>
              <w:spacing w:after="0"/>
              <w:rPr>
                <w:sz w:val="20"/>
                <w:szCs w:val="20"/>
                <w:color w:val="auto"/>
              </w:rPr>
            </w:pPr>
            <w:r>
              <w:rPr>
                <w:rFonts w:ascii="Arial" w:cs="Arial" w:eastAsia="Arial" w:hAnsi="Arial"/>
                <w:sz w:val="18"/>
                <w:szCs w:val="18"/>
                <w:color w:val="006098"/>
              </w:rPr>
              <w:t>5,278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006098"/>
              </w:rPr>
              <w:t>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4,194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1.2</w:t>
            </w:r>
          </w:p>
        </w:tc>
      </w:tr>
      <w:tr>
        <w:trPr>
          <w:trHeight w:val="270"/>
        </w:trPr>
        <w:tc>
          <w:tcPr>
            <w:tcW w:w="634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Organization realignment and restructurings</w:t>
            </w: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1,615</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006098"/>
              </w:rPr>
              <w:t>0.3</w:t>
            </w:r>
          </w:p>
        </w:tc>
        <w:tc>
          <w:tcPr>
            <w:tcW w:w="100" w:type="dxa"/>
            <w:vAlign w:val="bottom"/>
            <w:shd w:val="clear" w:color="auto" w:fill="D2DCE5"/>
          </w:tcPr>
          <w:p>
            <w:pPr>
              <w:spacing w:after="0"/>
              <w:rPr>
                <w:sz w:val="23"/>
                <w:szCs w:val="23"/>
                <w:color w:val="auto"/>
              </w:rPr>
            </w:pP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shd w:val="clear" w:color="auto" w:fill="D2DCE5"/>
          </w:tcPr>
          <w:p>
            <w:pPr>
              <w:spacing w:after="0"/>
              <w:rPr>
                <w:sz w:val="23"/>
                <w:szCs w:val="23"/>
                <w:color w:val="auto"/>
              </w:rPr>
            </w:pPr>
          </w:p>
        </w:tc>
        <w:tc>
          <w:tcPr>
            <w:tcW w:w="260" w:type="dxa"/>
            <w:vAlign w:val="bottom"/>
            <w:tcBorders>
              <w:bottom w:val="single" w:sz="8" w:color="auto"/>
            </w:tcBorders>
            <w:shd w:val="clear" w:color="auto" w:fill="D2DCE5"/>
          </w:tcPr>
          <w:p>
            <w:pPr>
              <w:spacing w:after="0"/>
              <w:rPr>
                <w:sz w:val="23"/>
                <w:szCs w:val="23"/>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color w:val="131E29"/>
              </w:rPr>
              <w:t>0.3</w:t>
            </w:r>
          </w:p>
        </w:tc>
      </w:tr>
      <w:tr>
        <w:trPr>
          <w:trHeight w:val="223"/>
        </w:trPr>
        <w:tc>
          <w:tcPr>
            <w:tcW w:w="6340" w:type="dxa"/>
            <w:vAlign w:val="bottom"/>
            <w:gridSpan w:val="2"/>
          </w:tcPr>
          <w:p>
            <w:pPr>
              <w:ind w:left="520"/>
              <w:spacing w:after="0"/>
              <w:rPr>
                <w:sz w:val="20"/>
                <w:szCs w:val="20"/>
                <w:color w:val="auto"/>
              </w:rPr>
            </w:pPr>
            <w:r>
              <w:rPr>
                <w:rFonts w:ascii="Arial" w:cs="Arial" w:eastAsia="Arial" w:hAnsi="Arial"/>
                <w:sz w:val="18"/>
                <w:szCs w:val="18"/>
                <w:b w:val="1"/>
                <w:bCs w:val="1"/>
                <w:color w:val="131E29"/>
              </w:rPr>
              <w:t>Adjusted EBITDA</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006098"/>
              </w:rPr>
              <w:t>79,373</w:t>
            </w:r>
          </w:p>
        </w:tc>
        <w:tc>
          <w:tcPr>
            <w:tcW w:w="100" w:type="dxa"/>
            <w:vAlign w:val="bottom"/>
          </w:tcPr>
          <w:p>
            <w:pPr>
              <w:spacing w:after="0"/>
              <w:rPr>
                <w:sz w:val="19"/>
                <w:szCs w:val="19"/>
                <w:color w:val="auto"/>
              </w:rPr>
            </w:pPr>
          </w:p>
        </w:tc>
        <w:tc>
          <w:tcPr>
            <w:tcW w:w="260" w:type="dxa"/>
            <w:vAlign w:val="bottom"/>
            <w:tcBorders>
              <w:bottom w:val="single" w:sz="8" w:color="131E29"/>
            </w:tcBorders>
          </w:tcPr>
          <w:p>
            <w:pPr>
              <w:spacing w:after="0"/>
              <w:rPr>
                <w:sz w:val="19"/>
                <w:szCs w:val="19"/>
                <w:color w:val="auto"/>
              </w:rPr>
            </w:pPr>
          </w:p>
        </w:tc>
        <w:tc>
          <w:tcPr>
            <w:tcW w:w="800" w:type="dxa"/>
            <w:vAlign w:val="bottom"/>
            <w:tcBorders>
              <w:bottom w:val="single" w:sz="8" w:color="131E29"/>
            </w:tcBorders>
          </w:tcPr>
          <w:p>
            <w:pPr>
              <w:jc w:val="right"/>
              <w:spacing w:after="0"/>
              <w:rPr>
                <w:sz w:val="20"/>
                <w:szCs w:val="20"/>
                <w:color w:val="auto"/>
              </w:rPr>
            </w:pPr>
            <w:r>
              <w:rPr>
                <w:rFonts w:ascii="Arial" w:cs="Arial" w:eastAsia="Arial" w:hAnsi="Arial"/>
                <w:sz w:val="18"/>
                <w:szCs w:val="18"/>
                <w:b w:val="1"/>
                <w:bCs w:val="1"/>
                <w:color w:val="006098"/>
              </w:rPr>
              <w:t>17.1</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131E29"/>
              </w:rPr>
              <w:t>62,906</w:t>
            </w:r>
          </w:p>
        </w:tc>
        <w:tc>
          <w:tcPr>
            <w:tcW w:w="100" w:type="dxa"/>
            <w:vAlign w:val="bottom"/>
          </w:tcPr>
          <w:p>
            <w:pPr>
              <w:spacing w:after="0"/>
              <w:rPr>
                <w:sz w:val="19"/>
                <w:szCs w:val="19"/>
                <w:color w:val="auto"/>
              </w:rPr>
            </w:pPr>
          </w:p>
        </w:tc>
        <w:tc>
          <w:tcPr>
            <w:tcW w:w="260" w:type="dxa"/>
            <w:vAlign w:val="bottom"/>
            <w:tcBorders>
              <w:bottom w:val="single" w:sz="8" w:color="131E29"/>
            </w:tcBorders>
          </w:tcPr>
          <w:p>
            <w:pPr>
              <w:spacing w:after="0"/>
              <w:rPr>
                <w:sz w:val="19"/>
                <w:szCs w:val="19"/>
                <w:color w:val="auto"/>
              </w:rPr>
            </w:pPr>
          </w:p>
        </w:tc>
        <w:tc>
          <w:tcPr>
            <w:tcW w:w="800" w:type="dxa"/>
            <w:vAlign w:val="bottom"/>
            <w:tcBorders>
              <w:bottom w:val="single" w:sz="8" w:color="131E29"/>
            </w:tcBorders>
          </w:tcPr>
          <w:p>
            <w:pPr>
              <w:jc w:val="right"/>
              <w:spacing w:after="0"/>
              <w:rPr>
                <w:sz w:val="20"/>
                <w:szCs w:val="20"/>
                <w:color w:val="auto"/>
              </w:rPr>
            </w:pPr>
            <w:r>
              <w:rPr>
                <w:rFonts w:ascii="Arial" w:cs="Arial" w:eastAsia="Arial" w:hAnsi="Arial"/>
                <w:sz w:val="18"/>
                <w:szCs w:val="18"/>
                <w:b w:val="1"/>
                <w:bCs w:val="1"/>
                <w:color w:val="131E29"/>
              </w:rPr>
              <w:t>17.7</w:t>
            </w:r>
          </w:p>
        </w:tc>
      </w:tr>
      <w:tr>
        <w:trPr>
          <w:trHeight w:val="21"/>
        </w:trPr>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131E29"/>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131E29"/>
            </w:tcBorders>
          </w:tcPr>
          <w:p>
            <w:pPr>
              <w:spacing w:after="0" w:line="20" w:lineRule="exact"/>
              <w:rPr>
                <w:sz w:val="1"/>
                <w:szCs w:val="1"/>
                <w:color w:val="auto"/>
              </w:rPr>
            </w:pPr>
          </w:p>
        </w:tc>
        <w:tc>
          <w:tcPr>
            <w:tcW w:w="800" w:type="dxa"/>
            <w:vAlign w:val="bottom"/>
            <w:tcBorders>
              <w:bottom w:val="single" w:sz="8" w:color="131E29"/>
            </w:tcBorders>
          </w:tcPr>
          <w:p>
            <w:pPr>
              <w:spacing w:after="0" w:line="20" w:lineRule="exact"/>
              <w:rPr>
                <w:sz w:val="1"/>
                <w:szCs w:val="1"/>
                <w:color w:val="auto"/>
              </w:rPr>
            </w:pPr>
          </w:p>
        </w:tc>
      </w:tr>
      <w:tr>
        <w:trPr>
          <w:trHeight w:val="540"/>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Borders>
              <w:bottom w:val="single" w:sz="8" w:color="D7282F"/>
            </w:tcBorders>
            <w:gridSpan w:val="8"/>
          </w:tcPr>
          <w:p>
            <w:pPr>
              <w:jc w:val="right"/>
              <w:ind w:right="320"/>
              <w:spacing w:after="0"/>
              <w:rPr>
                <w:sz w:val="20"/>
                <w:szCs w:val="20"/>
                <w:color w:val="auto"/>
              </w:rPr>
            </w:pPr>
            <w:r>
              <w:rPr>
                <w:rFonts w:ascii="Arial" w:cs="Arial" w:eastAsia="Arial" w:hAnsi="Arial"/>
                <w:sz w:val="18"/>
                <w:szCs w:val="18"/>
                <w:b w:val="1"/>
                <w:bCs w:val="1"/>
                <w:color w:val="131E29"/>
              </w:rPr>
              <w:t>Three Months Ended March 31,</w:t>
            </w:r>
          </w:p>
        </w:tc>
        <w:tc>
          <w:tcPr>
            <w:tcW w:w="800" w:type="dxa"/>
            <w:vAlign w:val="bottom"/>
            <w:tcBorders>
              <w:bottom w:val="single" w:sz="8" w:color="D7282F"/>
            </w:tcBorders>
          </w:tcPr>
          <w:p>
            <w:pPr>
              <w:spacing w:after="0"/>
              <w:rPr>
                <w:sz w:val="24"/>
                <w:szCs w:val="24"/>
                <w:color w:val="auto"/>
              </w:rPr>
            </w:pPr>
          </w:p>
        </w:tc>
      </w:tr>
      <w:tr>
        <w:trPr>
          <w:trHeight w:val="263"/>
        </w:trPr>
        <w:tc>
          <w:tcPr>
            <w:tcW w:w="6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2026</w:t>
            </w:r>
          </w:p>
        </w:tc>
        <w:tc>
          <w:tcPr>
            <w:tcW w:w="800" w:type="dxa"/>
            <w:vAlign w:val="bottom"/>
            <w:tcBorders>
              <w:bottom w:val="single" w:sz="8" w:color="D7282F"/>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D7282F"/>
            </w:tcBorders>
            <w:gridSpan w:val="3"/>
          </w:tcPr>
          <w:p>
            <w:pPr>
              <w:jc w:val="right"/>
              <w:ind w:right="200"/>
              <w:spacing w:after="0"/>
              <w:rPr>
                <w:sz w:val="20"/>
                <w:szCs w:val="20"/>
                <w:color w:val="auto"/>
              </w:rPr>
            </w:pPr>
            <w:r>
              <w:rPr>
                <w:rFonts w:ascii="Arial" w:cs="Arial" w:eastAsia="Arial" w:hAnsi="Arial"/>
                <w:sz w:val="18"/>
                <w:szCs w:val="18"/>
                <w:b w:val="1"/>
                <w:bCs w:val="1"/>
                <w:color w:val="131E29"/>
              </w:rPr>
              <w:t>2025</w:t>
            </w:r>
          </w:p>
        </w:tc>
        <w:tc>
          <w:tcPr>
            <w:tcW w:w="800" w:type="dxa"/>
            <w:vAlign w:val="bottom"/>
            <w:tcBorders>
              <w:bottom w:val="single" w:sz="8" w:color="D7282F"/>
            </w:tcBorders>
          </w:tcPr>
          <w:p>
            <w:pPr>
              <w:spacing w:after="0"/>
              <w:rPr>
                <w:sz w:val="22"/>
                <w:szCs w:val="22"/>
                <w:color w:val="auto"/>
              </w:rPr>
            </w:pPr>
          </w:p>
        </w:tc>
      </w:tr>
      <w:tr>
        <w:trPr>
          <w:trHeight w:val="263"/>
        </w:trPr>
        <w:tc>
          <w:tcPr>
            <w:tcW w:w="6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131E29"/>
              </w:rPr>
              <w:t>(dollars in thousands; unaudited)</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1240" w:type="dxa"/>
            <w:vAlign w:val="bottom"/>
            <w:tcBorders>
              <w:bottom w:val="single" w:sz="8" w:color="D7282F"/>
            </w:tcBorders>
          </w:tcPr>
          <w:p>
            <w:pPr>
              <w:jc w:val="right"/>
              <w:ind w:right="490"/>
              <w:spacing w:after="0"/>
              <w:rPr>
                <w:sz w:val="20"/>
                <w:szCs w:val="20"/>
                <w:color w:val="auto"/>
              </w:rPr>
            </w:pPr>
            <w:r>
              <w:rPr>
                <w:rFonts w:ascii="Arial" w:cs="Arial" w:eastAsia="Arial" w:hAnsi="Arial"/>
                <w:sz w:val="18"/>
                <w:szCs w:val="18"/>
                <w:b w:val="1"/>
                <w:bCs w:val="1"/>
                <w:color w:val="131E29"/>
              </w:rPr>
              <w:t>$</w:t>
            </w:r>
          </w:p>
        </w:tc>
        <w:tc>
          <w:tcPr>
            <w:tcW w:w="100" w:type="dxa"/>
            <w:vAlign w:val="bottom"/>
            <w:tcBorders>
              <w:bottom w:val="single" w:sz="8" w:color="D2DCE5"/>
            </w:tcBorders>
          </w:tcPr>
          <w:p>
            <w:pPr>
              <w:spacing w:after="0"/>
              <w:rPr>
                <w:sz w:val="22"/>
                <w:szCs w:val="22"/>
                <w:color w:val="auto"/>
              </w:rPr>
            </w:pPr>
          </w:p>
        </w:tc>
        <w:tc>
          <w:tcPr>
            <w:tcW w:w="260" w:type="dxa"/>
            <w:vAlign w:val="bottom"/>
            <w:tcBorders>
              <w:bottom w:val="single" w:sz="8" w:color="D7282F"/>
            </w:tcBorders>
          </w:tcPr>
          <w:p>
            <w:pPr>
              <w:spacing w:after="0"/>
              <w:rPr>
                <w:sz w:val="22"/>
                <w:szCs w:val="22"/>
                <w:color w:val="auto"/>
              </w:rPr>
            </w:pPr>
          </w:p>
        </w:tc>
        <w:tc>
          <w:tcPr>
            <w:tcW w:w="800" w:type="dxa"/>
            <w:vAlign w:val="bottom"/>
            <w:tcBorders>
              <w:bottom w:val="single" w:sz="8" w:color="D7282F"/>
            </w:tcBorders>
          </w:tcPr>
          <w:p>
            <w:pPr>
              <w:jc w:val="right"/>
              <w:ind w:right="370"/>
              <w:spacing w:after="0"/>
              <w:rPr>
                <w:sz w:val="20"/>
                <w:szCs w:val="20"/>
                <w:color w:val="auto"/>
              </w:rPr>
            </w:pPr>
            <w:r>
              <w:rPr>
                <w:rFonts w:ascii="Arial" w:cs="Arial" w:eastAsia="Arial" w:hAnsi="Arial"/>
                <w:sz w:val="18"/>
                <w:szCs w:val="18"/>
                <w:b w:val="1"/>
                <w:bCs w:val="1"/>
                <w:color w:val="131E29"/>
              </w:rPr>
              <w:t>%</w:t>
            </w:r>
          </w:p>
        </w:tc>
      </w:tr>
      <w:tr>
        <w:trPr>
          <w:trHeight w:val="270"/>
        </w:trPr>
        <w:tc>
          <w:tcPr>
            <w:tcW w:w="6340" w:type="dxa"/>
            <w:vAlign w:val="bottom"/>
            <w:gridSpan w:val="2"/>
            <w:shd w:val="clear" w:color="auto" w:fill="D2DCE5"/>
          </w:tcPr>
          <w:p>
            <w:pPr>
              <w:ind w:left="20"/>
              <w:spacing w:after="0"/>
              <w:rPr>
                <w:sz w:val="20"/>
                <w:szCs w:val="20"/>
                <w:color w:val="auto"/>
              </w:rPr>
            </w:pPr>
            <w:r>
              <w:rPr>
                <w:rFonts w:ascii="Arial" w:cs="Arial" w:eastAsia="Arial" w:hAnsi="Arial"/>
                <w:sz w:val="18"/>
                <w:szCs w:val="18"/>
                <w:b w:val="1"/>
                <w:bCs w:val="1"/>
                <w:color w:val="131E29"/>
              </w:rPr>
              <w:t>Selling, general, and administrative</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73,176</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006098"/>
              </w:rPr>
              <w:t>15.8</w:t>
            </w:r>
          </w:p>
        </w:tc>
        <w:tc>
          <w:tcPr>
            <w:tcW w:w="10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58,921</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b w:val="1"/>
                <w:bCs w:val="1"/>
                <w:color w:val="131E29"/>
              </w:rPr>
              <w:t>16.6</w:t>
            </w:r>
          </w:p>
        </w:tc>
      </w:tr>
      <w:tr>
        <w:trPr>
          <w:trHeight w:val="270"/>
        </w:trPr>
        <w:tc>
          <w:tcPr>
            <w:tcW w:w="6340" w:type="dxa"/>
            <w:vAlign w:val="bottom"/>
            <w:gridSpan w:val="2"/>
          </w:tcPr>
          <w:p>
            <w:pPr>
              <w:ind w:left="180"/>
              <w:spacing w:after="0"/>
              <w:rPr>
                <w:sz w:val="20"/>
                <w:szCs w:val="20"/>
                <w:color w:val="auto"/>
              </w:rPr>
            </w:pPr>
            <w:r>
              <w:rPr>
                <w:rFonts w:ascii="Arial" w:cs="Arial" w:eastAsia="Arial" w:hAnsi="Arial"/>
                <w:sz w:val="18"/>
                <w:szCs w:val="18"/>
                <w:color w:val="131E29"/>
              </w:rPr>
              <w:t>Depreciation and amortization</w:t>
            </w:r>
          </w:p>
        </w:tc>
        <w:tc>
          <w:tcPr>
            <w:tcW w:w="1240" w:type="dxa"/>
            <w:vAlign w:val="bottom"/>
          </w:tcPr>
          <w:p>
            <w:pPr>
              <w:jc w:val="right"/>
              <w:spacing w:after="0"/>
              <w:rPr>
                <w:sz w:val="20"/>
                <w:szCs w:val="20"/>
                <w:color w:val="auto"/>
              </w:rPr>
            </w:pPr>
            <w:r>
              <w:rPr>
                <w:rFonts w:ascii="Arial" w:cs="Arial" w:eastAsia="Arial" w:hAnsi="Arial"/>
                <w:sz w:val="18"/>
                <w:szCs w:val="18"/>
                <w:color w:val="006098"/>
              </w:rPr>
              <w:t>(1,430)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006098"/>
              </w:rPr>
              <w:t>(0.3)</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131E29"/>
              </w:rPr>
              <w:t>(402)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131E29"/>
              </w:rPr>
              <w:t>(0.1)</w:t>
            </w:r>
          </w:p>
        </w:tc>
      </w:tr>
      <w:tr>
        <w:trPr>
          <w:trHeight w:val="270"/>
        </w:trPr>
        <w:tc>
          <w:tcPr>
            <w:tcW w:w="6340" w:type="dxa"/>
            <w:vAlign w:val="bottom"/>
            <w:gridSpan w:val="2"/>
            <w:shd w:val="clear" w:color="auto" w:fill="D2DCE5"/>
          </w:tcPr>
          <w:p>
            <w:pPr>
              <w:ind w:left="180"/>
              <w:spacing w:after="0"/>
              <w:rPr>
                <w:sz w:val="20"/>
                <w:szCs w:val="20"/>
                <w:color w:val="auto"/>
              </w:rPr>
            </w:pPr>
            <w:r>
              <w:rPr>
                <w:rFonts w:ascii="Arial" w:cs="Arial" w:eastAsia="Arial" w:hAnsi="Arial"/>
                <w:sz w:val="18"/>
                <w:szCs w:val="18"/>
                <w:color w:val="131E29"/>
              </w:rPr>
              <w:t>Equity-based compensation</w:t>
            </w: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(4,619)</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(1.1)</w:t>
            </w:r>
          </w:p>
        </w:tc>
        <w:tc>
          <w:tcPr>
            <w:tcW w:w="100" w:type="dxa"/>
            <w:vAlign w:val="bottom"/>
            <w:shd w:val="clear" w:color="auto" w:fill="D2DCE5"/>
          </w:tcPr>
          <w:p>
            <w:pPr>
              <w:spacing w:after="0"/>
              <w:rPr>
                <w:sz w:val="23"/>
                <w:szCs w:val="23"/>
                <w:color w:val="auto"/>
              </w:rPr>
            </w:pPr>
          </w:p>
        </w:tc>
        <w:tc>
          <w:tcPr>
            <w:tcW w:w="124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(3,794)</w:t>
            </w:r>
          </w:p>
        </w:tc>
        <w:tc>
          <w:tcPr>
            <w:tcW w:w="100" w:type="dxa"/>
            <w:vAlign w:val="bottom"/>
            <w:shd w:val="clear" w:color="auto" w:fill="D2DCE5"/>
          </w:tcPr>
          <w:p>
            <w:pPr>
              <w:spacing w:after="0"/>
              <w:rPr>
                <w:sz w:val="23"/>
                <w:szCs w:val="23"/>
                <w:color w:val="auto"/>
              </w:rPr>
            </w:pPr>
          </w:p>
        </w:tc>
        <w:tc>
          <w:tcPr>
            <w:tcW w:w="260" w:type="dxa"/>
            <w:vAlign w:val="bottom"/>
            <w:shd w:val="clear" w:color="auto" w:fill="D2DCE5"/>
          </w:tcPr>
          <w:p>
            <w:pPr>
              <w:spacing w:after="0"/>
              <w:rPr>
                <w:sz w:val="23"/>
                <w:szCs w:val="23"/>
                <w:color w:val="auto"/>
              </w:rPr>
            </w:pPr>
          </w:p>
        </w:tc>
        <w:tc>
          <w:tcPr>
            <w:tcW w:w="800" w:type="dxa"/>
            <w:vAlign w:val="bottom"/>
            <w:shd w:val="clear" w:color="auto" w:fill="D2DCE5"/>
          </w:tcPr>
          <w:p>
            <w:pPr>
              <w:jc w:val="right"/>
              <w:spacing w:after="0"/>
              <w:rPr>
                <w:sz w:val="20"/>
                <w:szCs w:val="20"/>
                <w:color w:val="auto"/>
              </w:rPr>
            </w:pPr>
            <w:r>
              <w:rPr>
                <w:rFonts w:ascii="Arial" w:cs="Arial" w:eastAsia="Arial" w:hAnsi="Arial"/>
                <w:sz w:val="18"/>
                <w:szCs w:val="18"/>
                <w:color w:val="131E29"/>
              </w:rPr>
              <w:t>(1.0)</w:t>
            </w:r>
          </w:p>
        </w:tc>
      </w:tr>
      <w:tr>
        <w:trPr>
          <w:trHeight w:val="270"/>
        </w:trPr>
        <w:tc>
          <w:tcPr>
            <w:tcW w:w="6340" w:type="dxa"/>
            <w:vAlign w:val="bottom"/>
            <w:tcBorders>
              <w:bottom w:val="single" w:sz="8" w:color="D2DCE5"/>
            </w:tcBorders>
            <w:gridSpan w:val="2"/>
          </w:tcPr>
          <w:p>
            <w:pPr>
              <w:ind w:left="180"/>
              <w:spacing w:after="0"/>
              <w:rPr>
                <w:sz w:val="20"/>
                <w:szCs w:val="20"/>
                <w:color w:val="auto"/>
              </w:rPr>
            </w:pPr>
            <w:r>
              <w:rPr>
                <w:rFonts w:ascii="Arial" w:cs="Arial" w:eastAsia="Arial" w:hAnsi="Arial"/>
                <w:sz w:val="18"/>
                <w:szCs w:val="18"/>
                <w:color w:val="131E29"/>
              </w:rPr>
              <w:t>Organization realignment and restructurings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(1,615)</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06098"/>
              </w:rPr>
              <w:t>(0.3)</w:t>
            </w:r>
          </w:p>
        </w:tc>
        <w:tc>
          <w:tcPr>
            <w:tcW w:w="100" w:type="dxa"/>
            <w:vAlign w:val="bottom"/>
            <w:tcBorders>
              <w:bottom w:val="single" w:sz="8" w:color="D2DCE5"/>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(1,228)</w:t>
            </w:r>
          </w:p>
        </w:tc>
        <w:tc>
          <w:tcPr>
            <w:tcW w:w="100" w:type="dxa"/>
            <w:vAlign w:val="bottom"/>
            <w:tcBorders>
              <w:bottom w:val="single" w:sz="8" w:color="D2DCE5"/>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131E29"/>
              </w:rPr>
              <w:t>(0.4)</w:t>
            </w:r>
          </w:p>
        </w:tc>
      </w:tr>
      <w:tr>
        <w:trPr>
          <w:trHeight w:val="248"/>
        </w:trPr>
        <w:tc>
          <w:tcPr>
            <w:tcW w:w="6340" w:type="dxa"/>
            <w:vAlign w:val="bottom"/>
            <w:tcBorders>
              <w:bottom w:val="single" w:sz="8" w:color="D2DCE5"/>
            </w:tcBorders>
            <w:gridSpan w:val="2"/>
            <w:shd w:val="clear" w:color="auto" w:fill="D2DCE5"/>
          </w:tcPr>
          <w:p>
            <w:pPr>
              <w:ind w:left="360"/>
              <w:spacing w:after="0"/>
              <w:rPr>
                <w:sz w:val="20"/>
                <w:szCs w:val="20"/>
                <w:color w:val="auto"/>
              </w:rPr>
            </w:pPr>
            <w:r>
              <w:rPr>
                <w:rFonts w:ascii="Arial" w:cs="Arial" w:eastAsia="Arial" w:hAnsi="Arial"/>
                <w:sz w:val="18"/>
                <w:szCs w:val="18"/>
                <w:b w:val="1"/>
                <w:bCs w:val="1"/>
                <w:color w:val="131E29"/>
              </w:rPr>
              <w:t>Adjusted selling, general, and administrative</w:t>
            </w: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65,512</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auto"/>
            </w:tcBorders>
            <w:shd w:val="clear" w:color="auto" w:fill="D2DCE5"/>
          </w:tcPr>
          <w:p>
            <w:pPr>
              <w:spacing w:after="0"/>
              <w:rPr>
                <w:sz w:val="21"/>
                <w:szCs w:val="21"/>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006098"/>
              </w:rPr>
              <w:t>14.1</w:t>
            </w:r>
          </w:p>
        </w:tc>
        <w:tc>
          <w:tcPr>
            <w:tcW w:w="100" w:type="dxa"/>
            <w:vAlign w:val="bottom"/>
            <w:tcBorders>
              <w:bottom w:val="single" w:sz="8" w:color="D2DCE5"/>
            </w:tcBorders>
            <w:shd w:val="clear" w:color="auto" w:fill="D2DCE5"/>
          </w:tcPr>
          <w:p>
            <w:pPr>
              <w:spacing w:after="0"/>
              <w:rPr>
                <w:sz w:val="21"/>
                <w:szCs w:val="21"/>
                <w:color w:val="auto"/>
              </w:rPr>
            </w:pPr>
          </w:p>
        </w:tc>
        <w:tc>
          <w:tcPr>
            <w:tcW w:w="12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53,497</w:t>
            </w:r>
          </w:p>
        </w:tc>
        <w:tc>
          <w:tcPr>
            <w:tcW w:w="100" w:type="dxa"/>
            <w:vAlign w:val="bottom"/>
            <w:tcBorders>
              <w:bottom w:val="single" w:sz="8" w:color="D2DCE5"/>
            </w:tcBorders>
            <w:shd w:val="clear" w:color="auto" w:fill="D2DCE5"/>
          </w:tcPr>
          <w:p>
            <w:pPr>
              <w:spacing w:after="0"/>
              <w:rPr>
                <w:sz w:val="21"/>
                <w:szCs w:val="21"/>
                <w:color w:val="auto"/>
              </w:rPr>
            </w:pPr>
          </w:p>
        </w:tc>
        <w:tc>
          <w:tcPr>
            <w:tcW w:w="260" w:type="dxa"/>
            <w:vAlign w:val="bottom"/>
            <w:tcBorders>
              <w:bottom w:val="single" w:sz="8" w:color="auto"/>
            </w:tcBorders>
            <w:shd w:val="clear" w:color="auto" w:fill="D2DCE5"/>
          </w:tcPr>
          <w:p>
            <w:pPr>
              <w:spacing w:after="0"/>
              <w:rPr>
                <w:sz w:val="21"/>
                <w:szCs w:val="21"/>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8"/>
                <w:szCs w:val="18"/>
                <w:b w:val="1"/>
                <w:bCs w:val="1"/>
                <w:color w:val="131E29"/>
              </w:rPr>
              <w:t>15.1</w:t>
            </w:r>
          </w:p>
        </w:tc>
      </w:tr>
      <w:tr>
        <w:trPr>
          <w:trHeight w:val="20"/>
        </w:trPr>
        <w:tc>
          <w:tcPr>
            <w:tcW w:w="62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8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2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80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QUANTITATIVE AND QUALITATIVE DISCLOSURES ABOUT MARKET RISK</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Commodity Risks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and making operational adjustments that increase productivity. However, tariffs,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Labor Costs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have experienced minimum wage increases, which directly affect our labor costs, and other upward pressure on wage rates in several states. Several states in which we operate have recently enacted increases to their minimum wage requirements, some of which will become effective in 2026. In the future, we may or may not be able to offset these cost increases with operational efficiencies, menu price increases, or other adjustments. As of March 31, 2026, we employed approximately 24,000 hourly workers in our company-operated shops.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Interest Rate Risk</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31E29"/>
        </w:rPr>
        <w:t>We have historically been exposed to interest rate risk through fluctuations in interest rates on our debt obligations. Our 2025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March 31, 2026, we had $50.0 million in revolving loans outstanding, and $147.2 million was outstanding on our term loan facility. A hypothetical increase of interest rates up to 1% on our outstanding term loan as of March 31, 2026 would result in an increase in our annual interest expense of approximately $2.0 million, excluding any potential impacts of interest rate swaps.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Impact of Inflation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131E29"/>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Evaluation of Disclosure Controls and Procedures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As of March 31, 2026,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Changes in Internal Control over Financial Reporting</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131E29"/>
        </w:rPr>
        <w:t>There have been no changes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 LEGAL PROCEEDINGS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We may, from time to time, be a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and adversely affect our business, financial condition, results of operations, and growth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131E29"/>
        </w:rPr>
        <w:t>Please refer to NOTE 16 — Commitments and Contingencies under the heading “Legal Proceedings”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1A. RISK FACTORS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31E29"/>
        </w:rPr>
        <w:t>There have been no material changes in our risk factors from those disclosed in Part I, Item 1A of our 2025 Form 10-K. The risk factors described in our 2025 Form 10-K, could materially and adversely affect our business, financial condition and results of operations, and should be carefully considered. The risks and uncertainties that we face, however, are not limited to those described in the 2025 Form 10-K. Additional risks and uncertainties not presently known to us or that we currently believe to be immaterial may also adversely affect our business and the trading price of our Class A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table summarizes purchases of Class A common stock during the three months ended March 31, 2026: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006098"/>
              </w:rPr>
              <w:t>Weighted-Average</w:t>
            </w:r>
          </w:p>
        </w:tc>
        <w:tc>
          <w:tcPr>
            <w:tcW w:w="2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006098"/>
                <w:w w:val="99"/>
              </w:rPr>
              <w:t>Total Number of Shares</w:t>
            </w:r>
          </w:p>
        </w:tc>
        <w:tc>
          <w:tcPr>
            <w:tcW w:w="2980" w:type="dxa"/>
            <w:vAlign w:val="bottom"/>
          </w:tcPr>
          <w:p>
            <w:pPr>
              <w:jc w:val="center"/>
              <w:spacing w:after="0"/>
              <w:rPr>
                <w:sz w:val="20"/>
                <w:szCs w:val="20"/>
                <w:color w:val="auto"/>
              </w:rPr>
            </w:pPr>
            <w:r>
              <w:rPr>
                <w:rFonts w:ascii="Arial" w:cs="Arial" w:eastAsia="Arial" w:hAnsi="Arial"/>
                <w:sz w:val="16"/>
                <w:szCs w:val="16"/>
                <w:b w:val="1"/>
                <w:bCs w:val="1"/>
                <w:color w:val="006098"/>
              </w:rPr>
              <w:t>Maximum Number (or Approximate</w:t>
            </w: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006098"/>
              </w:rPr>
              <w:t>Total Number of</w:t>
            </w:r>
          </w:p>
        </w:tc>
        <w:tc>
          <w:tcPr>
            <w:tcW w:w="1560" w:type="dxa"/>
            <w:vAlign w:val="bottom"/>
            <w:gridSpan w:val="3"/>
            <w:vMerge w:val="continue"/>
          </w:tcPr>
          <w:p>
            <w:pPr>
              <w:spacing w:after="0"/>
              <w:rPr>
                <w:sz w:val="14"/>
                <w:szCs w:val="14"/>
                <w:color w:val="auto"/>
              </w:rPr>
            </w:pPr>
          </w:p>
        </w:tc>
        <w:tc>
          <w:tcPr>
            <w:tcW w:w="22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006098"/>
              </w:rPr>
              <w:t>Purchased as Part of</w:t>
            </w:r>
          </w:p>
        </w:tc>
        <w:tc>
          <w:tcPr>
            <w:tcW w:w="2980" w:type="dxa"/>
            <w:vAlign w:val="bottom"/>
          </w:tcPr>
          <w:p>
            <w:pPr>
              <w:jc w:val="center"/>
              <w:spacing w:after="0" w:line="162" w:lineRule="exact"/>
              <w:rPr>
                <w:sz w:val="20"/>
                <w:szCs w:val="20"/>
                <w:color w:val="auto"/>
              </w:rPr>
            </w:pPr>
            <w:r>
              <w:rPr>
                <w:rFonts w:ascii="Arial" w:cs="Arial" w:eastAsia="Arial" w:hAnsi="Arial"/>
                <w:sz w:val="16"/>
                <w:szCs w:val="16"/>
                <w:b w:val="1"/>
                <w:bCs w:val="1"/>
                <w:color w:val="006098"/>
              </w:rPr>
              <w:t>Dollar Value) of Shares that May Yet</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1060"/>
              <w:spacing w:after="0"/>
              <w:rPr>
                <w:sz w:val="20"/>
                <w:szCs w:val="20"/>
                <w:color w:val="auto"/>
              </w:rPr>
            </w:pPr>
            <w:r>
              <w:rPr>
                <w:rFonts w:ascii="Arial" w:cs="Arial" w:eastAsia="Arial" w:hAnsi="Arial"/>
                <w:sz w:val="16"/>
                <w:szCs w:val="16"/>
                <w:b w:val="1"/>
                <w:bCs w:val="1"/>
                <w:color w:val="006098"/>
              </w:rPr>
              <w:t>Period</w:t>
            </w:r>
          </w:p>
        </w:tc>
        <w:tc>
          <w:tcPr>
            <w:tcW w:w="100" w:type="dxa"/>
            <w:vAlign w:val="bottom"/>
            <w:vMerge w:val="restart"/>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006098"/>
              </w:rPr>
              <w:t>Price Paid Per</w:t>
            </w:r>
          </w:p>
        </w:tc>
        <w:tc>
          <w:tcPr>
            <w:tcW w:w="22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006098"/>
              </w:rPr>
              <w:t>Publicly Announced Plans</w:t>
            </w:r>
          </w:p>
        </w:tc>
        <w:tc>
          <w:tcPr>
            <w:tcW w:w="2980" w:type="dxa"/>
            <w:vAlign w:val="bottom"/>
          </w:tcPr>
          <w:p>
            <w:pPr>
              <w:jc w:val="center"/>
              <w:spacing w:after="0" w:line="162" w:lineRule="exact"/>
              <w:rPr>
                <w:sz w:val="20"/>
                <w:szCs w:val="20"/>
                <w:color w:val="auto"/>
              </w:rPr>
            </w:pPr>
            <w:r>
              <w:rPr>
                <w:rFonts w:ascii="Arial" w:cs="Arial" w:eastAsia="Arial" w:hAnsi="Arial"/>
                <w:sz w:val="16"/>
                <w:szCs w:val="16"/>
                <w:b w:val="1"/>
                <w:bCs w:val="1"/>
                <w:color w:val="006098"/>
              </w:rPr>
              <w:t>Be Purchased Under the Plans or</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D7282F"/>
            </w:tcBorders>
            <w:vMerge w:val="continue"/>
          </w:tcPr>
          <w:p>
            <w:pPr>
              <w:spacing w:after="0"/>
              <w:rPr>
                <w:sz w:val="18"/>
                <w:szCs w:val="18"/>
                <w:color w:val="auto"/>
              </w:rPr>
            </w:pPr>
          </w:p>
        </w:tc>
        <w:tc>
          <w:tcPr>
            <w:tcW w:w="100" w:type="dxa"/>
            <w:vAlign w:val="bottom"/>
            <w:tcBorders>
              <w:bottom w:val="single" w:sz="8" w:color="D2DCE5"/>
            </w:tcBorders>
            <w:vMerge w:val="continue"/>
          </w:tcPr>
          <w:p>
            <w:pPr>
              <w:spacing w:after="0"/>
              <w:rPr>
                <w:sz w:val="18"/>
                <w:szCs w:val="18"/>
                <w:color w:val="auto"/>
              </w:rPr>
            </w:pPr>
          </w:p>
        </w:tc>
        <w:tc>
          <w:tcPr>
            <w:tcW w:w="1700" w:type="dxa"/>
            <w:vAlign w:val="bottom"/>
            <w:tcBorders>
              <w:bottom w:val="single" w:sz="8" w:color="D7282F"/>
            </w:tcBorders>
          </w:tcPr>
          <w:p>
            <w:pPr>
              <w:jc w:val="right"/>
              <w:ind w:right="14"/>
              <w:spacing w:after="0" w:line="216" w:lineRule="exact"/>
              <w:rPr>
                <w:sz w:val="20"/>
                <w:szCs w:val="20"/>
                <w:color w:val="auto"/>
              </w:rPr>
            </w:pPr>
            <w:r>
              <w:rPr>
                <w:rFonts w:ascii="Arial" w:cs="Arial" w:eastAsia="Arial" w:hAnsi="Arial"/>
                <w:sz w:val="16"/>
                <w:szCs w:val="16"/>
                <w:b w:val="1"/>
                <w:bCs w:val="1"/>
                <w:color w:val="006098"/>
              </w:rPr>
              <w:t xml:space="preserve">Shares Purchased </w:t>
            </w:r>
            <w:r>
              <w:rPr>
                <w:rFonts w:ascii="Arial" w:cs="Arial" w:eastAsia="Arial" w:hAnsi="Arial"/>
                <w:sz w:val="21"/>
                <w:szCs w:val="21"/>
                <w:b w:val="1"/>
                <w:bCs w:val="1"/>
                <w:color w:val="006098"/>
                <w:vertAlign w:val="superscript"/>
              </w:rPr>
              <w:t>1</w:t>
            </w:r>
          </w:p>
        </w:tc>
        <w:tc>
          <w:tcPr>
            <w:tcW w:w="80" w:type="dxa"/>
            <w:vAlign w:val="bottom"/>
            <w:tcBorders>
              <w:bottom w:val="single" w:sz="8" w:color="D2DCE5"/>
            </w:tcBorders>
          </w:tcPr>
          <w:p>
            <w:pPr>
              <w:spacing w:after="0"/>
              <w:rPr>
                <w:sz w:val="18"/>
                <w:szCs w:val="18"/>
                <w:color w:val="auto"/>
              </w:rPr>
            </w:pPr>
          </w:p>
        </w:tc>
        <w:tc>
          <w:tcPr>
            <w:tcW w:w="160" w:type="dxa"/>
            <w:vAlign w:val="bottom"/>
            <w:tcBorders>
              <w:bottom w:val="single" w:sz="8" w:color="D7282F"/>
            </w:tcBorders>
          </w:tcPr>
          <w:p>
            <w:pPr>
              <w:spacing w:after="0"/>
              <w:rPr>
                <w:sz w:val="18"/>
                <w:szCs w:val="18"/>
                <w:color w:val="auto"/>
              </w:rPr>
            </w:pPr>
          </w:p>
        </w:tc>
        <w:tc>
          <w:tcPr>
            <w:tcW w:w="1300" w:type="dxa"/>
            <w:vAlign w:val="bottom"/>
            <w:tcBorders>
              <w:bottom w:val="single" w:sz="8" w:color="D7282F"/>
            </w:tcBorders>
          </w:tcPr>
          <w:p>
            <w:pPr>
              <w:jc w:val="right"/>
              <w:ind w:right="414"/>
              <w:spacing w:after="0"/>
              <w:rPr>
                <w:sz w:val="20"/>
                <w:szCs w:val="20"/>
                <w:color w:val="auto"/>
              </w:rPr>
            </w:pPr>
            <w:r>
              <w:rPr>
                <w:rFonts w:ascii="Arial" w:cs="Arial" w:eastAsia="Arial" w:hAnsi="Arial"/>
                <w:sz w:val="16"/>
                <w:szCs w:val="16"/>
                <w:b w:val="1"/>
                <w:bCs w:val="1"/>
                <w:color w:val="006098"/>
              </w:rPr>
              <w:t>Share</w:t>
            </w:r>
          </w:p>
        </w:tc>
        <w:tc>
          <w:tcPr>
            <w:tcW w:w="100" w:type="dxa"/>
            <w:vAlign w:val="bottom"/>
            <w:tcBorders>
              <w:bottom w:val="single" w:sz="8" w:color="D2DCE5"/>
            </w:tcBorders>
          </w:tcPr>
          <w:p>
            <w:pPr>
              <w:spacing w:after="0"/>
              <w:rPr>
                <w:sz w:val="18"/>
                <w:szCs w:val="18"/>
                <w:color w:val="auto"/>
              </w:rPr>
            </w:pPr>
          </w:p>
        </w:tc>
        <w:tc>
          <w:tcPr>
            <w:tcW w:w="212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006098"/>
              </w:rPr>
              <w:t>or Programs</w:t>
            </w:r>
          </w:p>
        </w:tc>
        <w:tc>
          <w:tcPr>
            <w:tcW w:w="100" w:type="dxa"/>
            <w:vAlign w:val="bottom"/>
            <w:tcBorders>
              <w:bottom w:val="single" w:sz="8" w:color="D2DCE5"/>
            </w:tcBorders>
          </w:tcPr>
          <w:p>
            <w:pPr>
              <w:spacing w:after="0"/>
              <w:rPr>
                <w:sz w:val="18"/>
                <w:szCs w:val="18"/>
                <w:color w:val="auto"/>
              </w:rPr>
            </w:pPr>
          </w:p>
        </w:tc>
        <w:tc>
          <w:tcPr>
            <w:tcW w:w="2980" w:type="dxa"/>
            <w:vAlign w:val="bottom"/>
            <w:tcBorders>
              <w:bottom w:val="single" w:sz="8" w:color="D7282F"/>
            </w:tcBorders>
          </w:tcPr>
          <w:p>
            <w:pPr>
              <w:jc w:val="center"/>
              <w:spacing w:after="0"/>
              <w:rPr>
                <w:sz w:val="20"/>
                <w:szCs w:val="20"/>
                <w:color w:val="auto"/>
              </w:rPr>
            </w:pPr>
            <w:r>
              <w:rPr>
                <w:rFonts w:ascii="Arial" w:cs="Arial" w:eastAsia="Arial" w:hAnsi="Arial"/>
                <w:sz w:val="16"/>
                <w:szCs w:val="16"/>
                <w:b w:val="1"/>
                <w:bCs w:val="1"/>
                <w:color w:val="006098"/>
                <w:w w:val="99"/>
              </w:rPr>
              <w:t>Programs</w:t>
            </w:r>
          </w:p>
        </w:tc>
        <w:tc>
          <w:tcPr>
            <w:tcW w:w="0" w:type="dxa"/>
            <w:vAlign w:val="bottom"/>
          </w:tcPr>
          <w:p>
            <w:pPr>
              <w:spacing w:after="0"/>
              <w:rPr>
                <w:sz w:val="1"/>
                <w:szCs w:val="1"/>
                <w:color w:val="auto"/>
              </w:rPr>
            </w:pPr>
          </w:p>
        </w:tc>
      </w:tr>
      <w:tr>
        <w:trPr>
          <w:trHeight w:val="263"/>
        </w:trPr>
        <w:tc>
          <w:tcPr>
            <w:tcW w:w="27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January 1 - 31, 2026</w:t>
            </w:r>
          </w:p>
        </w:tc>
        <w:tc>
          <w:tcPr>
            <w:tcW w:w="178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006098"/>
              </w:rPr>
              <w:t>—</w:t>
            </w:r>
          </w:p>
        </w:tc>
        <w:tc>
          <w:tcPr>
            <w:tcW w:w="160" w:type="dxa"/>
            <w:vAlign w:val="bottom"/>
            <w:shd w:val="clear" w:color="auto" w:fill="D2DCE5"/>
          </w:tcPr>
          <w:p>
            <w:pPr>
              <w:spacing w:after="0"/>
              <w:rPr>
                <w:sz w:val="22"/>
                <w:szCs w:val="22"/>
                <w:color w:val="auto"/>
              </w:rPr>
            </w:pPr>
          </w:p>
        </w:tc>
        <w:tc>
          <w:tcPr>
            <w:tcW w:w="1400" w:type="dxa"/>
            <w:vAlign w:val="bottom"/>
            <w:gridSpan w:val="2"/>
            <w:shd w:val="clear" w:color="auto" w:fill="D2DCE5"/>
          </w:tcPr>
          <w:p>
            <w:pPr>
              <w:jc w:val="right"/>
              <w:ind w:right="160"/>
              <w:spacing w:after="0"/>
              <w:rPr>
                <w:sz w:val="20"/>
                <w:szCs w:val="20"/>
                <w:color w:val="auto"/>
              </w:rPr>
            </w:pPr>
            <w:r>
              <w:rPr>
                <w:rFonts w:ascii="Arial" w:cs="Arial" w:eastAsia="Arial" w:hAnsi="Arial"/>
                <w:sz w:val="18"/>
                <w:szCs w:val="18"/>
                <w:color w:val="006098"/>
              </w:rPr>
              <w:t>—</w:t>
            </w:r>
          </w:p>
        </w:tc>
        <w:tc>
          <w:tcPr>
            <w:tcW w:w="2220" w:type="dxa"/>
            <w:vAlign w:val="bottom"/>
            <w:gridSpan w:val="2"/>
            <w:shd w:val="clear" w:color="auto" w:fill="D2DCE5"/>
          </w:tcPr>
          <w:p>
            <w:pPr>
              <w:ind w:left="1860"/>
              <w:spacing w:after="0"/>
              <w:rPr>
                <w:sz w:val="20"/>
                <w:szCs w:val="20"/>
                <w:color w:val="auto"/>
              </w:rPr>
            </w:pPr>
            <w:r>
              <w:rPr>
                <w:rFonts w:ascii="Arial" w:cs="Arial" w:eastAsia="Arial" w:hAnsi="Arial"/>
                <w:sz w:val="18"/>
                <w:szCs w:val="18"/>
                <w:color w:val="006098"/>
              </w:rPr>
              <w:t>—</w:t>
            </w:r>
          </w:p>
        </w:tc>
        <w:tc>
          <w:tcPr>
            <w:tcW w:w="2980" w:type="dxa"/>
            <w:vAlign w:val="bottom"/>
            <w:shd w:val="clear" w:color="auto" w:fill="D2DCE5"/>
          </w:tcPr>
          <w:p>
            <w:pPr>
              <w:ind w:left="2720"/>
              <w:spacing w:after="0"/>
              <w:rPr>
                <w:sz w:val="20"/>
                <w:szCs w:val="20"/>
                <w:color w:val="auto"/>
              </w:rPr>
            </w:pPr>
            <w:r>
              <w:rPr>
                <w:rFonts w:ascii="Arial" w:cs="Arial" w:eastAsia="Arial" w:hAnsi="Arial"/>
                <w:sz w:val="18"/>
                <w:szCs w:val="18"/>
                <w:color w:val="006098"/>
              </w:rPr>
              <w:t>—</w:t>
            </w:r>
          </w:p>
        </w:tc>
        <w:tc>
          <w:tcPr>
            <w:tcW w:w="0" w:type="dxa"/>
            <w:vAlign w:val="bottom"/>
          </w:tcPr>
          <w:p>
            <w:pPr>
              <w:spacing w:after="0"/>
              <w:rPr>
                <w:sz w:val="1"/>
                <w:szCs w:val="1"/>
                <w:color w:val="auto"/>
              </w:rPr>
            </w:pPr>
          </w:p>
        </w:tc>
      </w:tr>
      <w:tr>
        <w:trPr>
          <w:trHeight w:val="270"/>
        </w:trPr>
        <w:tc>
          <w:tcPr>
            <w:tcW w:w="2700" w:type="dxa"/>
            <w:vAlign w:val="bottom"/>
            <w:gridSpan w:val="2"/>
          </w:tcPr>
          <w:p>
            <w:pPr>
              <w:ind w:left="20"/>
              <w:spacing w:after="0"/>
              <w:rPr>
                <w:sz w:val="20"/>
                <w:szCs w:val="20"/>
                <w:color w:val="auto"/>
              </w:rPr>
            </w:pPr>
            <w:r>
              <w:rPr>
                <w:rFonts w:ascii="Arial" w:cs="Arial" w:eastAsia="Arial" w:hAnsi="Arial"/>
                <w:sz w:val="18"/>
                <w:szCs w:val="18"/>
                <w:color w:val="131E29"/>
              </w:rPr>
              <w:t>February 1 - 28, 2026</w:t>
            </w:r>
          </w:p>
        </w:tc>
        <w:tc>
          <w:tcPr>
            <w:tcW w:w="1700" w:type="dxa"/>
            <w:vAlign w:val="bottom"/>
          </w:tcPr>
          <w:p>
            <w:pPr>
              <w:jc w:val="right"/>
              <w:spacing w:after="0"/>
              <w:rPr>
                <w:sz w:val="20"/>
                <w:szCs w:val="20"/>
                <w:color w:val="auto"/>
              </w:rPr>
            </w:pPr>
            <w:r>
              <w:rPr>
                <w:rFonts w:ascii="Arial" w:cs="Arial" w:eastAsia="Arial" w:hAnsi="Arial"/>
                <w:sz w:val="18"/>
                <w:szCs w:val="18"/>
                <w:color w:val="006098"/>
              </w:rPr>
              <w:t>21,244</w:t>
            </w:r>
          </w:p>
        </w:tc>
        <w:tc>
          <w:tcPr>
            <w:tcW w:w="8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006098"/>
              </w:rPr>
              <w:t>$</w:t>
            </w:r>
          </w:p>
        </w:tc>
        <w:tc>
          <w:tcPr>
            <w:tcW w:w="1300" w:type="dxa"/>
            <w:vAlign w:val="bottom"/>
          </w:tcPr>
          <w:p>
            <w:pPr>
              <w:jc w:val="right"/>
              <w:spacing w:after="0"/>
              <w:rPr>
                <w:sz w:val="20"/>
                <w:szCs w:val="20"/>
                <w:color w:val="auto"/>
              </w:rPr>
            </w:pPr>
            <w:r>
              <w:rPr>
                <w:rFonts w:ascii="Arial" w:cs="Arial" w:eastAsia="Arial" w:hAnsi="Arial"/>
                <w:sz w:val="18"/>
                <w:szCs w:val="18"/>
                <w:color w:val="006098"/>
              </w:rPr>
              <w:t>48.80</w:t>
            </w:r>
          </w:p>
        </w:tc>
        <w:tc>
          <w:tcPr>
            <w:tcW w:w="100" w:type="dxa"/>
            <w:vAlign w:val="bottom"/>
          </w:tcPr>
          <w:p>
            <w:pPr>
              <w:spacing w:after="0"/>
              <w:rPr>
                <w:sz w:val="23"/>
                <w:szCs w:val="23"/>
                <w:color w:val="auto"/>
              </w:rPr>
            </w:pPr>
          </w:p>
        </w:tc>
        <w:tc>
          <w:tcPr>
            <w:tcW w:w="2220" w:type="dxa"/>
            <w:vAlign w:val="bottom"/>
            <w:gridSpan w:val="2"/>
          </w:tcPr>
          <w:p>
            <w:pPr>
              <w:ind w:left="1860"/>
              <w:spacing w:after="0"/>
              <w:rPr>
                <w:sz w:val="20"/>
                <w:szCs w:val="20"/>
                <w:color w:val="auto"/>
              </w:rPr>
            </w:pPr>
            <w:r>
              <w:rPr>
                <w:rFonts w:ascii="Arial" w:cs="Arial" w:eastAsia="Arial" w:hAnsi="Arial"/>
                <w:sz w:val="18"/>
                <w:szCs w:val="18"/>
                <w:color w:val="006098"/>
              </w:rPr>
              <w:t>—</w:t>
            </w:r>
          </w:p>
        </w:tc>
        <w:tc>
          <w:tcPr>
            <w:tcW w:w="2980" w:type="dxa"/>
            <w:vAlign w:val="bottom"/>
          </w:tcPr>
          <w:p>
            <w:pPr>
              <w:ind w:left="2720"/>
              <w:spacing w:after="0"/>
              <w:rPr>
                <w:sz w:val="20"/>
                <w:szCs w:val="20"/>
                <w:color w:val="auto"/>
              </w:rPr>
            </w:pPr>
            <w:r>
              <w:rPr>
                <w:rFonts w:ascii="Arial" w:cs="Arial" w:eastAsia="Arial" w:hAnsi="Arial"/>
                <w:sz w:val="18"/>
                <w:szCs w:val="18"/>
                <w:color w:val="006098"/>
              </w:rPr>
              <w:t>—</w:t>
            </w:r>
          </w:p>
        </w:tc>
        <w:tc>
          <w:tcPr>
            <w:tcW w:w="0" w:type="dxa"/>
            <w:vAlign w:val="bottom"/>
          </w:tcPr>
          <w:p>
            <w:pPr>
              <w:spacing w:after="0"/>
              <w:rPr>
                <w:sz w:val="1"/>
                <w:szCs w:val="1"/>
                <w:color w:val="auto"/>
              </w:rPr>
            </w:pPr>
          </w:p>
        </w:tc>
      </w:tr>
      <w:tr>
        <w:trPr>
          <w:trHeight w:val="270"/>
        </w:trPr>
        <w:tc>
          <w:tcPr>
            <w:tcW w:w="2700" w:type="dxa"/>
            <w:vAlign w:val="bottom"/>
            <w:gridSpan w:val="2"/>
            <w:shd w:val="clear" w:color="auto" w:fill="D2DCE5"/>
          </w:tcPr>
          <w:p>
            <w:pPr>
              <w:ind w:left="20"/>
              <w:spacing w:after="0"/>
              <w:rPr>
                <w:sz w:val="20"/>
                <w:szCs w:val="20"/>
                <w:color w:val="auto"/>
              </w:rPr>
            </w:pPr>
            <w:r>
              <w:rPr>
                <w:rFonts w:ascii="Arial" w:cs="Arial" w:eastAsia="Arial" w:hAnsi="Arial"/>
                <w:sz w:val="18"/>
                <w:szCs w:val="18"/>
                <w:color w:val="131E29"/>
              </w:rPr>
              <w:t>March 1 - 31, 2026</w:t>
            </w:r>
          </w:p>
        </w:tc>
        <w:tc>
          <w:tcPr>
            <w:tcW w:w="17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96,029</w:t>
            </w:r>
          </w:p>
        </w:tc>
        <w:tc>
          <w:tcPr>
            <w:tcW w:w="80" w:type="dxa"/>
            <w:vAlign w:val="bottom"/>
            <w:shd w:val="clear" w:color="auto" w:fill="D2DCE5"/>
          </w:tcPr>
          <w:p>
            <w:pPr>
              <w:spacing w:after="0"/>
              <w:rPr>
                <w:sz w:val="23"/>
                <w:szCs w:val="23"/>
                <w:color w:val="auto"/>
              </w:rPr>
            </w:pPr>
          </w:p>
        </w:tc>
        <w:tc>
          <w:tcPr>
            <w:tcW w:w="160" w:type="dxa"/>
            <w:vAlign w:val="bottom"/>
            <w:shd w:val="clear" w:color="auto" w:fill="D2DCE5"/>
          </w:tcPr>
          <w:p>
            <w:pPr>
              <w:ind w:left="20"/>
              <w:spacing w:after="0"/>
              <w:rPr>
                <w:sz w:val="20"/>
                <w:szCs w:val="20"/>
                <w:color w:val="auto"/>
              </w:rPr>
            </w:pPr>
            <w:r>
              <w:rPr>
                <w:rFonts w:ascii="Arial" w:cs="Arial" w:eastAsia="Arial" w:hAnsi="Arial"/>
                <w:sz w:val="18"/>
                <w:szCs w:val="18"/>
                <w:color w:val="006098"/>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8"/>
                <w:szCs w:val="18"/>
                <w:color w:val="006098"/>
              </w:rPr>
              <w:t>53.61</w:t>
            </w:r>
          </w:p>
        </w:tc>
        <w:tc>
          <w:tcPr>
            <w:tcW w:w="100" w:type="dxa"/>
            <w:vAlign w:val="bottom"/>
            <w:shd w:val="clear" w:color="auto" w:fill="D2DCE5"/>
          </w:tcPr>
          <w:p>
            <w:pPr>
              <w:spacing w:after="0"/>
              <w:rPr>
                <w:sz w:val="23"/>
                <w:szCs w:val="23"/>
                <w:color w:val="auto"/>
              </w:rPr>
            </w:pPr>
          </w:p>
        </w:tc>
        <w:tc>
          <w:tcPr>
            <w:tcW w:w="2220" w:type="dxa"/>
            <w:vAlign w:val="bottom"/>
            <w:gridSpan w:val="2"/>
            <w:shd w:val="clear" w:color="auto" w:fill="D2DCE5"/>
          </w:tcPr>
          <w:p>
            <w:pPr>
              <w:ind w:left="1860"/>
              <w:spacing w:after="0"/>
              <w:rPr>
                <w:sz w:val="20"/>
                <w:szCs w:val="20"/>
                <w:color w:val="auto"/>
              </w:rPr>
            </w:pPr>
            <w:r>
              <w:rPr>
                <w:rFonts w:ascii="Arial" w:cs="Arial" w:eastAsia="Arial" w:hAnsi="Arial"/>
                <w:sz w:val="18"/>
                <w:szCs w:val="18"/>
                <w:color w:val="006098"/>
              </w:rPr>
              <w:t>—</w:t>
            </w:r>
          </w:p>
        </w:tc>
        <w:tc>
          <w:tcPr>
            <w:tcW w:w="2980" w:type="dxa"/>
            <w:vAlign w:val="bottom"/>
            <w:shd w:val="clear" w:color="auto" w:fill="D2DCE5"/>
          </w:tcPr>
          <w:p>
            <w:pPr>
              <w:ind w:left="2720"/>
              <w:spacing w:after="0"/>
              <w:rPr>
                <w:sz w:val="20"/>
                <w:szCs w:val="20"/>
                <w:color w:val="auto"/>
              </w:rPr>
            </w:pPr>
            <w:r>
              <w:rPr>
                <w:rFonts w:ascii="Arial" w:cs="Arial" w:eastAsia="Arial" w:hAnsi="Arial"/>
                <w:sz w:val="18"/>
                <w:szCs w:val="18"/>
                <w:color w:val="006098"/>
              </w:rPr>
              <w:t>—</w:t>
            </w:r>
          </w:p>
        </w:tc>
        <w:tc>
          <w:tcPr>
            <w:tcW w:w="0" w:type="dxa"/>
            <w:vAlign w:val="bottom"/>
          </w:tcPr>
          <w:p>
            <w:pPr>
              <w:spacing w:after="0"/>
              <w:rPr>
                <w:sz w:val="1"/>
                <w:szCs w:val="1"/>
                <w:color w:val="auto"/>
              </w:rPr>
            </w:pPr>
          </w:p>
        </w:tc>
      </w:tr>
      <w:tr>
        <w:trPr>
          <w:trHeight w:val="301"/>
        </w:trPr>
        <w:tc>
          <w:tcPr>
            <w:tcW w:w="2600" w:type="dxa"/>
            <w:vAlign w:val="bottom"/>
          </w:tcPr>
          <w:p>
            <w:pPr>
              <w:spacing w:after="0"/>
              <w:rPr>
                <w:sz w:val="20"/>
                <w:szCs w:val="20"/>
                <w:color w:val="auto"/>
              </w:rPr>
            </w:pPr>
            <w:r>
              <w:rPr>
                <w:rFonts w:ascii="Arial" w:cs="Arial" w:eastAsia="Arial" w:hAnsi="Arial"/>
                <w:sz w:val="18"/>
                <w:szCs w:val="18"/>
                <w:color w:val="131E29"/>
              </w:rPr>
              <w:t>_________________</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80" w:hanging="172"/>
        <w:spacing w:after="0" w:line="285" w:lineRule="auto"/>
        <w:tabs>
          <w:tab w:leader="none" w:pos="252" w:val="left"/>
        </w:tabs>
        <w:numPr>
          <w:ilvl w:val="0"/>
          <w:numId w:val="24"/>
        </w:numPr>
        <w:rPr>
          <w:rFonts w:ascii="Arial" w:cs="Arial" w:eastAsia="Arial" w:hAnsi="Arial"/>
          <w:sz w:val="9"/>
          <w:szCs w:val="9"/>
          <w:color w:val="auto"/>
        </w:rPr>
      </w:pPr>
      <w:r>
        <w:rPr>
          <w:rFonts w:ascii="Arial" w:cs="Arial" w:eastAsia="Arial" w:hAnsi="Arial"/>
          <w:sz w:val="14"/>
          <w:szCs w:val="14"/>
          <w:color w:val="auto"/>
        </w:rPr>
        <w:t>In connection with the vesting of RSUs granted pursuant to the Dutch Bros Inc. 2021 Equity Incentive Plan, as amended, shares of Class A common stock are delivered to Dutch Bros by employees to satisfy tax withholding obligations.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3. DEFAULTS UPON SENIOR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4. MINE SAFETY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131E29"/>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5. OTHER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00416B"/>
        </w:rPr>
        <w:t>Rule 10b5-1 Trading Arrangements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131E29"/>
        </w:rPr>
        <w:t>On February 19, 2026, Travis Boersma, our Executive Chairman, adopted a Rule 10b5-1 trading arrangement (the Trading Plan), providing for the sale of up to 12,000,000 shares of our Class A common stock. The Trading Plan’s expiration date is May 21, 2027. The Trading Plan is intended to satisfy the affirmative defense conditions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97155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D7282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131E29"/>
        </w:rPr>
        <w:t>(a)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131E29"/>
        </w:rPr>
        <w:t>The following exhibits are included herein or incorporated herein by reference: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2200" w:type="dxa"/>
            <w:vAlign w:val="bottom"/>
            <w:tcBorders>
              <w:bottom w:val="single" w:sz="8" w:color="D7282F"/>
            </w:tcBorders>
            <w:gridSpan w:val="4"/>
          </w:tcPr>
          <w:p>
            <w:pPr>
              <w:ind w:left="380"/>
              <w:spacing w:after="0"/>
              <w:rPr>
                <w:sz w:val="20"/>
                <w:szCs w:val="20"/>
                <w:color w:val="auto"/>
              </w:rPr>
            </w:pPr>
            <w:r>
              <w:rPr>
                <w:rFonts w:ascii="Arial" w:cs="Arial" w:eastAsia="Arial" w:hAnsi="Arial"/>
                <w:sz w:val="14"/>
                <w:szCs w:val="14"/>
                <w:b w:val="1"/>
                <w:bCs w:val="1"/>
                <w:color w:val="131E29"/>
              </w:rPr>
              <w:t>Incorporated by Reference</w:t>
            </w:r>
          </w:p>
        </w:tc>
        <w:tc>
          <w:tcPr>
            <w:tcW w:w="1240" w:type="dxa"/>
            <w:vAlign w:val="bottom"/>
            <w:tcBorders>
              <w:bottom w:val="single" w:sz="8" w:color="D7282F"/>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31E29"/>
              </w:rPr>
              <w:t>Exhibit</w:t>
            </w:r>
          </w:p>
        </w:tc>
        <w:tc>
          <w:tcPr>
            <w:tcW w:w="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131E29"/>
                <w:w w:val="97"/>
              </w:rPr>
              <w:t>Filed</w:t>
            </w:r>
          </w:p>
        </w:tc>
        <w:tc>
          <w:tcPr>
            <w:tcW w:w="0" w:type="dxa"/>
            <w:vAlign w:val="bottom"/>
          </w:tcPr>
          <w:p>
            <w:pPr>
              <w:spacing w:after="0"/>
              <w:rPr>
                <w:sz w:val="1"/>
                <w:szCs w:val="1"/>
                <w:color w:val="auto"/>
              </w:rPr>
            </w:pPr>
          </w:p>
        </w:tc>
      </w:tr>
      <w:tr>
        <w:trPr>
          <w:trHeight w:val="205"/>
        </w:trPr>
        <w:tc>
          <w:tcPr>
            <w:tcW w:w="10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Number</w:t>
            </w:r>
          </w:p>
        </w:tc>
        <w:tc>
          <w:tcPr>
            <w:tcW w:w="120" w:type="dxa"/>
            <w:vAlign w:val="bottom"/>
            <w:tcBorders>
              <w:bottom w:val="single" w:sz="8" w:color="D2DCE5"/>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4380" w:type="dxa"/>
            <w:vAlign w:val="bottom"/>
            <w:tcBorders>
              <w:bottom w:val="single" w:sz="8" w:color="D7282F"/>
            </w:tcBorders>
            <w:gridSpan w:val="9"/>
          </w:tcPr>
          <w:p>
            <w:pPr>
              <w:ind w:left="1600"/>
              <w:spacing w:after="0"/>
              <w:rPr>
                <w:sz w:val="20"/>
                <w:szCs w:val="20"/>
                <w:color w:val="auto"/>
              </w:rPr>
            </w:pPr>
            <w:r>
              <w:rPr>
                <w:rFonts w:ascii="Arial" w:cs="Arial" w:eastAsia="Arial" w:hAnsi="Arial"/>
                <w:sz w:val="14"/>
                <w:szCs w:val="14"/>
                <w:b w:val="1"/>
                <w:bCs w:val="1"/>
                <w:color w:val="131E29"/>
              </w:rPr>
              <w:t>Description</w:t>
            </w:r>
          </w:p>
        </w:tc>
        <w:tc>
          <w:tcPr>
            <w:tcW w:w="100" w:type="dxa"/>
            <w:vAlign w:val="bottom"/>
            <w:tcBorders>
              <w:bottom w:val="single" w:sz="8" w:color="D2DCE5"/>
            </w:tcBorders>
          </w:tcPr>
          <w:p>
            <w:pPr>
              <w:spacing w:after="0"/>
              <w:rPr>
                <w:sz w:val="17"/>
                <w:szCs w:val="17"/>
                <w:color w:val="auto"/>
              </w:rPr>
            </w:pPr>
          </w:p>
        </w:tc>
        <w:tc>
          <w:tcPr>
            <w:tcW w:w="7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Form</w:t>
            </w:r>
          </w:p>
        </w:tc>
        <w:tc>
          <w:tcPr>
            <w:tcW w:w="12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131E29"/>
              </w:rPr>
              <w:t>File No.</w:t>
            </w:r>
          </w:p>
        </w:tc>
        <w:tc>
          <w:tcPr>
            <w:tcW w:w="8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Exhibit</w:t>
            </w:r>
          </w:p>
        </w:tc>
        <w:tc>
          <w:tcPr>
            <w:tcW w:w="100" w:type="dxa"/>
            <w:vAlign w:val="bottom"/>
            <w:tcBorders>
              <w:bottom w:val="single" w:sz="8" w:color="D2DCE5"/>
            </w:tcBorders>
          </w:tcPr>
          <w:p>
            <w:pPr>
              <w:spacing w:after="0"/>
              <w:rPr>
                <w:sz w:val="17"/>
                <w:szCs w:val="17"/>
                <w:color w:val="auto"/>
              </w:rPr>
            </w:pPr>
          </w:p>
        </w:tc>
        <w:tc>
          <w:tcPr>
            <w:tcW w:w="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Filing Date</w:t>
            </w:r>
          </w:p>
        </w:tc>
        <w:tc>
          <w:tcPr>
            <w:tcW w:w="100" w:type="dxa"/>
            <w:vAlign w:val="bottom"/>
            <w:tcBorders>
              <w:bottom w:val="single" w:sz="8" w:color="D2DCE5"/>
            </w:tcBorders>
          </w:tcPr>
          <w:p>
            <w:pPr>
              <w:spacing w:after="0"/>
              <w:rPr>
                <w:sz w:val="17"/>
                <w:szCs w:val="17"/>
                <w:color w:val="auto"/>
              </w:rPr>
            </w:pPr>
          </w:p>
        </w:tc>
        <w:tc>
          <w:tcPr>
            <w:tcW w:w="9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131E29"/>
              </w:rPr>
              <w:t>Herewith</w:t>
            </w:r>
          </w:p>
        </w:tc>
        <w:tc>
          <w:tcPr>
            <w:tcW w:w="0" w:type="dxa"/>
            <w:vAlign w:val="bottom"/>
          </w:tcPr>
          <w:p>
            <w:pPr>
              <w:spacing w:after="0"/>
              <w:rPr>
                <w:sz w:val="1"/>
                <w:szCs w:val="1"/>
                <w:color w:val="auto"/>
              </w:rPr>
            </w:pPr>
          </w:p>
        </w:tc>
      </w:tr>
      <w:tr>
        <w:trPr>
          <w:trHeight w:val="215"/>
        </w:trPr>
        <w:tc>
          <w:tcPr>
            <w:tcW w:w="1020" w:type="dxa"/>
            <w:vAlign w:val="bottom"/>
            <w:shd w:val="clear" w:color="auto" w:fill="D2DCE5"/>
          </w:tcPr>
          <w:p>
            <w:pPr>
              <w:spacing w:after="0"/>
              <w:rPr>
                <w:sz w:val="18"/>
                <w:szCs w:val="18"/>
                <w:color w:val="auto"/>
              </w:rPr>
            </w:pPr>
          </w:p>
        </w:tc>
        <w:tc>
          <w:tcPr>
            <w:tcW w:w="120" w:type="dxa"/>
            <w:vAlign w:val="bottom"/>
            <w:tcBorders>
              <w:right w:val="single" w:sz="8" w:color="D2DCE5"/>
            </w:tcBorders>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12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20" w:type="dxa"/>
            <w:vAlign w:val="bottom"/>
            <w:tcBorders>
              <w:right w:val="single" w:sz="8" w:color="D2DCE5"/>
            </w:tcBorders>
            <w:shd w:val="clear" w:color="auto" w:fill="D2DCE5"/>
          </w:tcPr>
          <w:p>
            <w:pPr>
              <w:spacing w:after="0"/>
              <w:rPr>
                <w:sz w:val="18"/>
                <w:szCs w:val="18"/>
                <w:color w:val="auto"/>
              </w:rPr>
            </w:pPr>
          </w:p>
        </w:tc>
        <w:tc>
          <w:tcPr>
            <w:tcW w:w="120" w:type="dxa"/>
            <w:vAlign w:val="bottom"/>
            <w:tcBorders>
              <w:left w:val="single" w:sz="8" w:color="D2DCE5"/>
            </w:tcBorders>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7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340" w:type="dxa"/>
            <w:vAlign w:val="bottom"/>
            <w:gridSpan w:val="2"/>
            <w:shd w:val="clear" w:color="auto" w:fill="D2DCE5"/>
          </w:tcPr>
          <w:p>
            <w:pPr>
              <w:jc w:val="center"/>
              <w:ind w:right="140"/>
              <w:spacing w:after="0"/>
              <w:rPr>
                <w:sz w:val="20"/>
                <w:szCs w:val="20"/>
                <w:color w:val="auto"/>
              </w:rPr>
            </w:pPr>
            <w:r>
              <w:rPr>
                <w:rFonts w:ascii="Arial" w:cs="Arial" w:eastAsia="Arial" w:hAnsi="Arial"/>
                <w:sz w:val="16"/>
                <w:szCs w:val="16"/>
                <w:color w:val="131E29"/>
              </w:rPr>
              <w:t>September 17,</w:t>
            </w: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3.1</w:t>
            </w:r>
          </w:p>
        </w:tc>
        <w:tc>
          <w:tcPr>
            <w:tcW w:w="120" w:type="dxa"/>
            <w:vAlign w:val="bottom"/>
            <w:tcBorders>
              <w:right w:val="single" w:sz="8" w:color="D2DCE5"/>
            </w:tcBorders>
            <w:shd w:val="clear" w:color="auto" w:fill="D2DCE5"/>
          </w:tcPr>
          <w:p>
            <w:pPr>
              <w:spacing w:after="0"/>
              <w:rPr>
                <w:sz w:val="18"/>
                <w:szCs w:val="18"/>
                <w:color w:val="auto"/>
              </w:rPr>
            </w:pPr>
          </w:p>
        </w:tc>
        <w:tc>
          <w:tcPr>
            <w:tcW w:w="4840" w:type="dxa"/>
            <w:vAlign w:val="bottom"/>
            <w:gridSpan w:val="11"/>
            <w:shd w:val="clear" w:color="auto" w:fill="D2DCE5"/>
          </w:tcPr>
          <w:p>
            <w:pPr>
              <w:spacing w:after="0" w:line="176" w:lineRule="exact"/>
              <w:rPr>
                <w:rFonts w:ascii="Arial" w:cs="Arial" w:eastAsia="Arial" w:hAnsi="Arial"/>
                <w:sz w:val="16"/>
                <w:szCs w:val="16"/>
                <w:color w:val="auto"/>
              </w:rPr>
            </w:pPr>
            <w:hyperlink r:id="rId192">
              <w:r>
                <w:rPr>
                  <w:rFonts w:ascii="Arial" w:cs="Arial" w:eastAsia="Arial" w:hAnsi="Arial"/>
                  <w:sz w:val="16"/>
                  <w:szCs w:val="16"/>
                  <w:color w:val="auto"/>
                </w:rPr>
                <w:t>Amended and Restated Certificate of Incorporation of Registrant</w:t>
              </w:r>
            </w:hyperlink>
          </w:p>
        </w:tc>
        <w:tc>
          <w:tcPr>
            <w:tcW w:w="76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6"/>
              </w:rPr>
              <w:t>8-K</w:t>
            </w:r>
          </w:p>
        </w:tc>
        <w:tc>
          <w:tcPr>
            <w:tcW w:w="124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9"/>
              </w:rPr>
              <w:t>001-40798</w:t>
            </w:r>
          </w:p>
        </w:tc>
        <w:tc>
          <w:tcPr>
            <w:tcW w:w="82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3.1</w:t>
            </w:r>
          </w:p>
        </w:tc>
        <w:tc>
          <w:tcPr>
            <w:tcW w:w="10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240" w:type="dxa"/>
            <w:vAlign w:val="bottom"/>
            <w:shd w:val="clear" w:color="auto" w:fill="D2DCE5"/>
          </w:tcPr>
          <w:p>
            <w:pPr>
              <w:jc w:val="center"/>
              <w:spacing w:after="0" w:line="176" w:lineRule="exact"/>
              <w:rPr>
                <w:sz w:val="20"/>
                <w:szCs w:val="20"/>
                <w:color w:val="auto"/>
              </w:rPr>
            </w:pPr>
            <w:r>
              <w:rPr>
                <w:rFonts w:ascii="Arial" w:cs="Arial" w:eastAsia="Arial" w:hAnsi="Arial"/>
                <w:sz w:val="16"/>
                <w:szCs w:val="16"/>
                <w:color w:val="131E29"/>
              </w:rPr>
              <w:t>2021</w:t>
            </w:r>
          </w:p>
        </w:tc>
        <w:tc>
          <w:tcPr>
            <w:tcW w:w="10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2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w w:val="98"/>
              </w:rPr>
              <w:t>3.2</w:t>
            </w:r>
          </w:p>
        </w:tc>
        <w:tc>
          <w:tcPr>
            <w:tcW w:w="120" w:type="dxa"/>
            <w:vAlign w:val="bottom"/>
            <w:tcBorders>
              <w:top w:val="single" w:sz="8" w:color="D2DCE5"/>
            </w:tcBorders>
          </w:tcPr>
          <w:p>
            <w:pPr>
              <w:spacing w:after="0"/>
              <w:rPr>
                <w:sz w:val="16"/>
                <w:szCs w:val="16"/>
                <w:color w:val="auto"/>
              </w:rPr>
            </w:pPr>
          </w:p>
        </w:tc>
        <w:tc>
          <w:tcPr>
            <w:tcW w:w="4600" w:type="dxa"/>
            <w:vAlign w:val="bottom"/>
            <w:tcBorders>
              <w:top w:val="single" w:sz="8" w:color="auto"/>
            </w:tcBorders>
            <w:gridSpan w:val="8"/>
          </w:tcPr>
          <w:p>
            <w:pPr>
              <w:spacing w:after="0"/>
              <w:rPr>
                <w:rFonts w:ascii="Arial" w:cs="Arial" w:eastAsia="Arial" w:hAnsi="Arial"/>
                <w:sz w:val="16"/>
                <w:szCs w:val="16"/>
                <w:color w:val="auto"/>
              </w:rPr>
            </w:pPr>
            <w:hyperlink r:id="rId193">
              <w:r>
                <w:rPr>
                  <w:rFonts w:ascii="Arial" w:cs="Arial" w:eastAsia="Arial" w:hAnsi="Arial"/>
                  <w:sz w:val="16"/>
                  <w:szCs w:val="16"/>
                  <w:color w:val="auto"/>
                </w:rPr>
                <w:t>Amended and Restated Bylaws of Registrant</w:t>
              </w:r>
            </w:hyperlink>
          </w:p>
        </w:tc>
        <w:tc>
          <w:tcPr>
            <w:tcW w:w="240" w:type="dxa"/>
            <w:vAlign w:val="bottom"/>
            <w:tcBorders>
              <w:top w:val="single" w:sz="8" w:color="D2DCE5"/>
            </w:tcBorders>
            <w:gridSpan w:val="3"/>
          </w:tcPr>
          <w:p>
            <w:pPr>
              <w:spacing w:after="0"/>
              <w:rPr>
                <w:sz w:val="16"/>
                <w:szCs w:val="16"/>
                <w:color w:val="auto"/>
              </w:rPr>
            </w:pPr>
          </w:p>
        </w:tc>
        <w:tc>
          <w:tcPr>
            <w:tcW w:w="76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w w:val="96"/>
              </w:rPr>
              <w:t>S-1</w:t>
            </w:r>
          </w:p>
        </w:tc>
        <w:tc>
          <w:tcPr>
            <w:tcW w:w="124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rPr>
              <w:t>333-258988</w:t>
            </w:r>
          </w:p>
        </w:tc>
        <w:tc>
          <w:tcPr>
            <w:tcW w:w="820" w:type="dxa"/>
            <w:vAlign w:val="bottom"/>
            <w:tcBorders>
              <w:top w:val="single" w:sz="8" w:color="D2DCE5"/>
            </w:tcBorders>
          </w:tcPr>
          <w:p>
            <w:pPr>
              <w:jc w:val="center"/>
              <w:spacing w:after="0"/>
              <w:rPr>
                <w:sz w:val="20"/>
                <w:szCs w:val="20"/>
                <w:color w:val="auto"/>
              </w:rPr>
            </w:pPr>
            <w:r>
              <w:rPr>
                <w:rFonts w:ascii="Arial" w:cs="Arial" w:eastAsia="Arial" w:hAnsi="Arial"/>
                <w:sz w:val="16"/>
                <w:szCs w:val="16"/>
                <w:color w:val="131E29"/>
                <w:w w:val="98"/>
              </w:rPr>
              <w:t>3.4</w:t>
            </w:r>
          </w:p>
        </w:tc>
        <w:tc>
          <w:tcPr>
            <w:tcW w:w="100" w:type="dxa"/>
            <w:vAlign w:val="bottom"/>
            <w:tcBorders>
              <w:top w:val="single" w:sz="8" w:color="D2DCE5"/>
            </w:tcBorders>
          </w:tcPr>
          <w:p>
            <w:pPr>
              <w:spacing w:after="0"/>
              <w:rPr>
                <w:sz w:val="16"/>
                <w:szCs w:val="16"/>
                <w:color w:val="auto"/>
              </w:rPr>
            </w:pPr>
          </w:p>
        </w:tc>
        <w:tc>
          <w:tcPr>
            <w:tcW w:w="40" w:type="dxa"/>
            <w:vAlign w:val="bottom"/>
            <w:tcBorders>
              <w:top w:val="single" w:sz="8" w:color="D2DCE5"/>
            </w:tcBorders>
          </w:tcPr>
          <w:p>
            <w:pPr>
              <w:spacing w:after="0"/>
              <w:rPr>
                <w:sz w:val="16"/>
                <w:szCs w:val="16"/>
                <w:color w:val="auto"/>
              </w:rPr>
            </w:pPr>
          </w:p>
        </w:tc>
        <w:tc>
          <w:tcPr>
            <w:tcW w:w="1340" w:type="dxa"/>
            <w:vAlign w:val="bottom"/>
            <w:tcBorders>
              <w:top w:val="single" w:sz="8" w:color="D2DCE5"/>
            </w:tcBorders>
            <w:gridSpan w:val="2"/>
          </w:tcPr>
          <w:p>
            <w:pPr>
              <w:jc w:val="center"/>
              <w:ind w:right="160"/>
              <w:spacing w:after="0"/>
              <w:rPr>
                <w:sz w:val="20"/>
                <w:szCs w:val="20"/>
                <w:color w:val="auto"/>
              </w:rPr>
            </w:pPr>
            <w:r>
              <w:rPr>
                <w:rFonts w:ascii="Arial" w:cs="Arial" w:eastAsia="Arial" w:hAnsi="Arial"/>
                <w:sz w:val="16"/>
                <w:szCs w:val="16"/>
                <w:color w:val="131E29"/>
              </w:rPr>
              <w:t>August 20, 2021</w:t>
            </w:r>
          </w:p>
        </w:tc>
        <w:tc>
          <w:tcPr>
            <w:tcW w:w="960" w:type="dxa"/>
            <w:vAlign w:val="bottom"/>
            <w:tcBorders>
              <w:top w:val="single" w:sz="8" w:color="D2DCE5"/>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20" w:type="dxa"/>
            <w:vAlign w:val="bottom"/>
            <w:shd w:val="clear" w:color="auto" w:fill="D2DCE5"/>
          </w:tcPr>
          <w:p>
            <w:pPr>
              <w:spacing w:after="0"/>
              <w:rPr>
                <w:sz w:val="18"/>
                <w:szCs w:val="18"/>
                <w:color w:val="auto"/>
              </w:rPr>
            </w:pPr>
          </w:p>
        </w:tc>
        <w:tc>
          <w:tcPr>
            <w:tcW w:w="120" w:type="dxa"/>
            <w:vAlign w:val="bottom"/>
            <w:tcBorders>
              <w:right w:val="single" w:sz="8" w:color="D2DCE5"/>
            </w:tcBorders>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212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70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20" w:type="dxa"/>
            <w:vAlign w:val="bottom"/>
            <w:tcBorders>
              <w:right w:val="single" w:sz="8" w:color="D2DCE5"/>
            </w:tcBorders>
            <w:shd w:val="clear" w:color="auto" w:fill="D2DCE5"/>
          </w:tcPr>
          <w:p>
            <w:pPr>
              <w:spacing w:after="0"/>
              <w:rPr>
                <w:sz w:val="18"/>
                <w:szCs w:val="18"/>
                <w:color w:val="auto"/>
              </w:rPr>
            </w:pPr>
          </w:p>
        </w:tc>
        <w:tc>
          <w:tcPr>
            <w:tcW w:w="120" w:type="dxa"/>
            <w:vAlign w:val="bottom"/>
            <w:tcBorders>
              <w:left w:val="single" w:sz="8" w:color="D2DCE5"/>
            </w:tcBorders>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6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760" w:type="dxa"/>
            <w:vAlign w:val="bottom"/>
            <w:shd w:val="clear" w:color="auto" w:fill="D2DCE5"/>
          </w:tcPr>
          <w:p>
            <w:pPr>
              <w:spacing w:after="0"/>
              <w:rPr>
                <w:sz w:val="18"/>
                <w:szCs w:val="18"/>
                <w:color w:val="auto"/>
              </w:rPr>
            </w:pPr>
          </w:p>
        </w:tc>
        <w:tc>
          <w:tcPr>
            <w:tcW w:w="1240" w:type="dxa"/>
            <w:vAlign w:val="bottom"/>
            <w:shd w:val="clear" w:color="auto" w:fill="D2DCE5"/>
          </w:tcPr>
          <w:p>
            <w:pPr>
              <w:spacing w:after="0"/>
              <w:rPr>
                <w:sz w:val="18"/>
                <w:szCs w:val="18"/>
                <w:color w:val="auto"/>
              </w:rPr>
            </w:pPr>
          </w:p>
        </w:tc>
        <w:tc>
          <w:tcPr>
            <w:tcW w:w="8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1340" w:type="dxa"/>
            <w:vAlign w:val="bottom"/>
            <w:gridSpan w:val="2"/>
            <w:shd w:val="clear" w:color="auto" w:fill="D2DCE5"/>
          </w:tcPr>
          <w:p>
            <w:pPr>
              <w:jc w:val="center"/>
              <w:ind w:right="140"/>
              <w:spacing w:after="0"/>
              <w:rPr>
                <w:sz w:val="20"/>
                <w:szCs w:val="20"/>
                <w:color w:val="auto"/>
              </w:rPr>
            </w:pPr>
            <w:r>
              <w:rPr>
                <w:rFonts w:ascii="Arial" w:cs="Arial" w:eastAsia="Arial" w:hAnsi="Arial"/>
                <w:sz w:val="16"/>
                <w:szCs w:val="16"/>
                <w:color w:val="131E29"/>
              </w:rPr>
              <w:t>September 13,</w:t>
            </w:r>
          </w:p>
        </w:tc>
        <w:tc>
          <w:tcPr>
            <w:tcW w:w="96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4.1</w:t>
            </w:r>
          </w:p>
        </w:tc>
        <w:tc>
          <w:tcPr>
            <w:tcW w:w="120" w:type="dxa"/>
            <w:vAlign w:val="bottom"/>
            <w:tcBorders>
              <w:bottom w:val="single" w:sz="8" w:color="D2DCE5"/>
              <w:right w:val="single" w:sz="8" w:color="D2DCE5"/>
            </w:tcBorders>
            <w:shd w:val="clear" w:color="auto" w:fill="D2DCE5"/>
          </w:tcPr>
          <w:p>
            <w:pPr>
              <w:spacing w:after="0"/>
              <w:rPr>
                <w:sz w:val="18"/>
                <w:szCs w:val="18"/>
                <w:color w:val="auto"/>
              </w:rPr>
            </w:pPr>
          </w:p>
        </w:tc>
        <w:tc>
          <w:tcPr>
            <w:tcW w:w="2480" w:type="dxa"/>
            <w:vAlign w:val="bottom"/>
            <w:tcBorders>
              <w:bottom w:val="single" w:sz="8" w:color="auto"/>
            </w:tcBorders>
            <w:gridSpan w:val="2"/>
            <w:shd w:val="clear" w:color="auto" w:fill="D2DCE5"/>
          </w:tcPr>
          <w:p>
            <w:pPr>
              <w:spacing w:after="0" w:line="176" w:lineRule="exact"/>
              <w:rPr>
                <w:rFonts w:ascii="Arial" w:cs="Arial" w:eastAsia="Arial" w:hAnsi="Arial"/>
                <w:sz w:val="16"/>
                <w:szCs w:val="16"/>
                <w:color w:val="auto"/>
              </w:rPr>
            </w:pPr>
            <w:hyperlink r:id="rId194">
              <w:r>
                <w:rPr>
                  <w:rFonts w:ascii="Arial" w:cs="Arial" w:eastAsia="Arial" w:hAnsi="Arial"/>
                  <w:sz w:val="16"/>
                  <w:szCs w:val="16"/>
                  <w:color w:val="auto"/>
                </w:rPr>
                <w:t>Form of Common Stock Certificate</w:t>
              </w:r>
            </w:hyperlink>
          </w:p>
        </w:tc>
        <w:tc>
          <w:tcPr>
            <w:tcW w:w="2360" w:type="dxa"/>
            <w:vAlign w:val="bottom"/>
            <w:tcBorders>
              <w:bottom w:val="single" w:sz="8" w:color="D2DCE5"/>
            </w:tcBorders>
            <w:gridSpan w:val="9"/>
            <w:shd w:val="clear" w:color="auto" w:fill="D2DCE5"/>
          </w:tcPr>
          <w:p>
            <w:pPr>
              <w:spacing w:after="0"/>
              <w:rPr>
                <w:sz w:val="18"/>
                <w:szCs w:val="18"/>
                <w:color w:val="auto"/>
              </w:rPr>
            </w:pPr>
          </w:p>
        </w:tc>
        <w:tc>
          <w:tcPr>
            <w:tcW w:w="76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w w:val="99"/>
              </w:rPr>
              <w:t>S-1/A</w:t>
            </w:r>
          </w:p>
        </w:tc>
        <w:tc>
          <w:tcPr>
            <w:tcW w:w="124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rPr>
              <w:t>333-258988</w:t>
            </w:r>
          </w:p>
        </w:tc>
        <w:tc>
          <w:tcPr>
            <w:tcW w:w="82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w w:val="98"/>
              </w:rPr>
              <w:t>4.1</w:t>
            </w:r>
          </w:p>
        </w:tc>
        <w:tc>
          <w:tcPr>
            <w:tcW w:w="100" w:type="dxa"/>
            <w:vAlign w:val="bottom"/>
            <w:tcBorders>
              <w:bottom w:val="single" w:sz="8" w:color="D2DCE5"/>
            </w:tcBorders>
            <w:shd w:val="clear" w:color="auto" w:fill="D2DCE5"/>
          </w:tcPr>
          <w:p>
            <w:pPr>
              <w:spacing w:after="0"/>
              <w:rPr>
                <w:sz w:val="18"/>
                <w:szCs w:val="18"/>
                <w:color w:val="auto"/>
              </w:rPr>
            </w:pPr>
          </w:p>
        </w:tc>
        <w:tc>
          <w:tcPr>
            <w:tcW w:w="40" w:type="dxa"/>
            <w:vAlign w:val="bottom"/>
            <w:tcBorders>
              <w:bottom w:val="single" w:sz="8" w:color="D2DCE5"/>
            </w:tcBorders>
            <w:shd w:val="clear" w:color="auto" w:fill="D2DCE5"/>
          </w:tcPr>
          <w:p>
            <w:pPr>
              <w:spacing w:after="0"/>
              <w:rPr>
                <w:sz w:val="18"/>
                <w:szCs w:val="18"/>
                <w:color w:val="auto"/>
              </w:rPr>
            </w:pPr>
          </w:p>
        </w:tc>
        <w:tc>
          <w:tcPr>
            <w:tcW w:w="1240" w:type="dxa"/>
            <w:vAlign w:val="bottom"/>
            <w:tcBorders>
              <w:bottom w:val="single" w:sz="8" w:color="D2DCE5"/>
            </w:tcBorders>
            <w:shd w:val="clear" w:color="auto" w:fill="D2DCE5"/>
          </w:tcPr>
          <w:p>
            <w:pPr>
              <w:jc w:val="center"/>
              <w:spacing w:after="0" w:line="176" w:lineRule="exact"/>
              <w:rPr>
                <w:sz w:val="20"/>
                <w:szCs w:val="20"/>
                <w:color w:val="auto"/>
              </w:rPr>
            </w:pPr>
            <w:r>
              <w:rPr>
                <w:rFonts w:ascii="Arial" w:cs="Arial" w:eastAsia="Arial" w:hAnsi="Arial"/>
                <w:sz w:val="16"/>
                <w:szCs w:val="16"/>
                <w:color w:val="131E29"/>
              </w:rPr>
              <w:t>2021</w:t>
            </w:r>
          </w:p>
        </w:tc>
        <w:tc>
          <w:tcPr>
            <w:tcW w:w="100" w:type="dxa"/>
            <w:vAlign w:val="bottom"/>
            <w:tcBorders>
              <w:bottom w:val="single" w:sz="8" w:color="D2DCE5"/>
            </w:tcBorders>
            <w:shd w:val="clear" w:color="auto" w:fill="D2DCE5"/>
          </w:tcPr>
          <w:p>
            <w:pPr>
              <w:spacing w:after="0"/>
              <w:rPr>
                <w:sz w:val="18"/>
                <w:szCs w:val="18"/>
                <w:color w:val="auto"/>
              </w:rPr>
            </w:pPr>
          </w:p>
        </w:tc>
        <w:tc>
          <w:tcPr>
            <w:tcW w:w="960" w:type="dxa"/>
            <w:vAlign w:val="bottom"/>
            <w:tcBorders>
              <w:bottom w:val="single" w:sz="8" w:color="D2DCE5"/>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Borders>
              <w:bottom w:val="single" w:sz="8" w:color="auto"/>
            </w:tcBorders>
            <w:gridSpan w:val="7"/>
          </w:tcPr>
          <w:p>
            <w:pPr>
              <w:spacing w:after="0"/>
              <w:rPr>
                <w:sz w:val="20"/>
                <w:szCs w:val="20"/>
                <w:color w:val="auto"/>
              </w:rPr>
            </w:pPr>
            <w:r>
              <w:rPr>
                <w:rFonts w:ascii="Arial" w:cs="Arial" w:eastAsia="Arial" w:hAnsi="Arial"/>
                <w:sz w:val="16"/>
                <w:szCs w:val="16"/>
                <w:color w:val="auto"/>
              </w:rPr>
              <w:t>Certification of Chief Executive Officer Pursuant to Rules 13a-</w:t>
            </w:r>
          </w:p>
        </w:tc>
        <w:tc>
          <w:tcPr>
            <w:tcW w:w="360" w:type="dxa"/>
            <w:vAlign w:val="bottom"/>
            <w:gridSpan w:val="4"/>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40" w:type="dxa"/>
            <w:vAlign w:val="bottom"/>
            <w:gridSpan w:val="11"/>
          </w:tcPr>
          <w:p>
            <w:pPr>
              <w:spacing w:after="0" w:line="183" w:lineRule="exact"/>
              <w:rPr>
                <w:sz w:val="20"/>
                <w:szCs w:val="20"/>
                <w:color w:val="auto"/>
              </w:rPr>
            </w:pPr>
            <w:r>
              <w:rPr>
                <w:rFonts w:ascii="Arial" w:cs="Arial" w:eastAsia="Arial" w:hAnsi="Arial"/>
                <w:sz w:val="16"/>
                <w:szCs w:val="16"/>
                <w:color w:val="auto"/>
              </w:rPr>
              <w:t>14(a) and 15d-14(a) of the Securities Exchange Act of 1934, as</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Borders>
              <w:top w:val="single" w:sz="8" w:color="auto"/>
            </w:tcBorders>
            <w:gridSpan w:val="7"/>
          </w:tcPr>
          <w:p>
            <w:pPr>
              <w:spacing w:after="0" w:line="169" w:lineRule="exact"/>
              <w:rPr>
                <w:sz w:val="20"/>
                <w:szCs w:val="20"/>
                <w:color w:val="auto"/>
              </w:rPr>
            </w:pPr>
            <w:r>
              <w:rPr>
                <w:rFonts w:ascii="Arial" w:cs="Arial" w:eastAsia="Arial" w:hAnsi="Arial"/>
                <w:sz w:val="16"/>
                <w:szCs w:val="16"/>
                <w:color w:val="auto"/>
              </w:rPr>
              <w:t>Adopted Pursuant to Section 302 of the Sarbanes-Oxley Act of</w:t>
            </w:r>
          </w:p>
        </w:tc>
        <w:tc>
          <w:tcPr>
            <w:tcW w:w="20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jc w:val="center"/>
              <w:spacing w:after="0" w:line="183" w:lineRule="exact"/>
              <w:rPr>
                <w:sz w:val="20"/>
                <w:szCs w:val="20"/>
                <w:color w:val="auto"/>
              </w:rPr>
            </w:pPr>
            <w:r>
              <w:rPr>
                <w:rFonts w:ascii="Arial" w:cs="Arial" w:eastAsia="Arial" w:hAnsi="Arial"/>
                <w:sz w:val="16"/>
                <w:szCs w:val="16"/>
                <w:color w:val="131E29"/>
              </w:rPr>
              <w:t>31.1</w:t>
            </w:r>
          </w:p>
        </w:tc>
        <w:tc>
          <w:tcPr>
            <w:tcW w:w="120" w:type="dxa"/>
            <w:vAlign w:val="bottom"/>
          </w:tcPr>
          <w:p>
            <w:pPr>
              <w:spacing w:after="0"/>
              <w:rPr>
                <w:sz w:val="15"/>
                <w:szCs w:val="15"/>
                <w:color w:val="auto"/>
              </w:rPr>
            </w:pPr>
          </w:p>
        </w:tc>
        <w:tc>
          <w:tcPr>
            <w:tcW w:w="360" w:type="dxa"/>
            <w:vAlign w:val="bottom"/>
          </w:tcPr>
          <w:p>
            <w:pPr>
              <w:spacing w:after="0" w:line="183" w:lineRule="exact"/>
              <w:rPr>
                <w:sz w:val="20"/>
                <w:szCs w:val="20"/>
                <w:color w:val="auto"/>
              </w:rPr>
            </w:pPr>
            <w:r>
              <w:rPr>
                <w:rFonts w:ascii="Arial" w:cs="Arial" w:eastAsia="Arial" w:hAnsi="Arial"/>
                <w:sz w:val="16"/>
                <w:szCs w:val="16"/>
                <w:color w:val="auto"/>
                <w:w w:val="95"/>
              </w:rPr>
              <w:t>2002</w:t>
            </w:r>
          </w:p>
        </w:tc>
        <w:tc>
          <w:tcPr>
            <w:tcW w:w="2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line="183" w:lineRule="exact"/>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shd w:val="clear" w:color="auto" w:fill="D2DCE5"/>
          </w:tcPr>
          <w:p>
            <w:pPr>
              <w:spacing w:after="0"/>
              <w:rPr>
                <w:sz w:val="16"/>
                <w:szCs w:val="16"/>
                <w:color w:val="auto"/>
              </w:rPr>
            </w:pPr>
          </w:p>
        </w:tc>
        <w:tc>
          <w:tcPr>
            <w:tcW w:w="120" w:type="dxa"/>
            <w:vAlign w:val="bottom"/>
            <w:tcBorders>
              <w:right w:val="single" w:sz="8" w:color="D2DCE5"/>
            </w:tcBorders>
            <w:shd w:val="clear" w:color="auto" w:fill="D2DCE5"/>
          </w:tcPr>
          <w:p>
            <w:pPr>
              <w:spacing w:after="0"/>
              <w:rPr>
                <w:sz w:val="16"/>
                <w:szCs w:val="16"/>
                <w:color w:val="auto"/>
              </w:rPr>
            </w:pPr>
          </w:p>
        </w:tc>
        <w:tc>
          <w:tcPr>
            <w:tcW w:w="4840" w:type="dxa"/>
            <w:vAlign w:val="bottom"/>
            <w:gridSpan w:val="11"/>
            <w:shd w:val="clear" w:color="auto" w:fill="D2DCE5"/>
          </w:tcPr>
          <w:p>
            <w:pPr>
              <w:spacing w:after="0"/>
              <w:rPr>
                <w:sz w:val="20"/>
                <w:szCs w:val="20"/>
                <w:color w:val="auto"/>
              </w:rPr>
            </w:pPr>
            <w:r>
              <w:rPr>
                <w:rFonts w:ascii="Arial" w:cs="Arial" w:eastAsia="Arial" w:hAnsi="Arial"/>
                <w:sz w:val="16"/>
                <w:szCs w:val="16"/>
                <w:color w:val="auto"/>
              </w:rPr>
              <w:t>Certification of Chief Financial Officer Pursuant to Rules 13a-</w:t>
            </w:r>
          </w:p>
        </w:tc>
        <w:tc>
          <w:tcPr>
            <w:tcW w:w="76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D2DCE5"/>
          </w:tcPr>
          <w:p>
            <w:pPr>
              <w:spacing w:after="0" w:line="20" w:lineRule="exact"/>
              <w:rPr>
                <w:sz w:val="1"/>
                <w:szCs w:val="1"/>
                <w:color w:val="auto"/>
              </w:rPr>
            </w:pPr>
          </w:p>
        </w:tc>
        <w:tc>
          <w:tcPr>
            <w:tcW w:w="120" w:type="dxa"/>
            <w:vAlign w:val="bottom"/>
            <w:tcBorders>
              <w:right w:val="single" w:sz="8" w:color="D2DCE5"/>
            </w:tcBorders>
            <w:shd w:val="clear" w:color="auto" w:fill="D2DCE5"/>
          </w:tcPr>
          <w:p>
            <w:pPr>
              <w:spacing w:after="0" w:line="20" w:lineRule="exact"/>
              <w:rPr>
                <w:sz w:val="1"/>
                <w:szCs w:val="1"/>
                <w:color w:val="auto"/>
              </w:rPr>
            </w:pPr>
          </w:p>
        </w:tc>
        <w:tc>
          <w:tcPr>
            <w:tcW w:w="3540" w:type="dxa"/>
            <w:vAlign w:val="bottom"/>
            <w:gridSpan w:val="4"/>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3"/>
            <w:shd w:val="clear" w:color="auto" w:fill="D2DCE5"/>
          </w:tcPr>
          <w:p>
            <w:pPr>
              <w:spacing w:after="0" w:line="20" w:lineRule="exact"/>
              <w:rPr>
                <w:sz w:val="1"/>
                <w:szCs w:val="1"/>
                <w:color w:val="auto"/>
              </w:rPr>
            </w:pPr>
          </w:p>
        </w:tc>
        <w:tc>
          <w:tcPr>
            <w:tcW w:w="160" w:type="dxa"/>
            <w:vAlign w:val="bottom"/>
            <w:gridSpan w:val="2"/>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4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shd w:val="clear" w:color="auto" w:fill="D2DCE5"/>
          </w:tcPr>
          <w:p>
            <w:pPr>
              <w:spacing w:after="0"/>
              <w:rPr>
                <w:sz w:val="15"/>
                <w:szCs w:val="15"/>
                <w:color w:val="auto"/>
              </w:rPr>
            </w:pPr>
          </w:p>
        </w:tc>
        <w:tc>
          <w:tcPr>
            <w:tcW w:w="120" w:type="dxa"/>
            <w:vAlign w:val="bottom"/>
            <w:tcBorders>
              <w:right w:val="single" w:sz="8" w:color="D2DCE5"/>
            </w:tcBorders>
            <w:shd w:val="clear" w:color="auto" w:fill="D2DCE5"/>
          </w:tcPr>
          <w:p>
            <w:pPr>
              <w:spacing w:after="0"/>
              <w:rPr>
                <w:sz w:val="15"/>
                <w:szCs w:val="15"/>
                <w:color w:val="auto"/>
              </w:rPr>
            </w:pPr>
          </w:p>
        </w:tc>
        <w:tc>
          <w:tcPr>
            <w:tcW w:w="4840" w:type="dxa"/>
            <w:vAlign w:val="bottom"/>
            <w:gridSpan w:val="11"/>
            <w:shd w:val="clear" w:color="auto" w:fill="D2DCE5"/>
          </w:tcPr>
          <w:p>
            <w:pPr>
              <w:spacing w:after="0" w:line="183" w:lineRule="exact"/>
              <w:rPr>
                <w:sz w:val="20"/>
                <w:szCs w:val="20"/>
                <w:color w:val="auto"/>
              </w:rPr>
            </w:pPr>
            <w:r>
              <w:rPr>
                <w:rFonts w:ascii="Arial" w:cs="Arial" w:eastAsia="Arial" w:hAnsi="Arial"/>
                <w:sz w:val="16"/>
                <w:szCs w:val="16"/>
                <w:color w:val="auto"/>
              </w:rPr>
              <w:t>14(a) and 15d-14(a) of the Securities Exchange Act of 1934, as</w:t>
            </w: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Borders>
              <w:top w:val="single" w:sz="8" w:color="D2DCE5"/>
            </w:tcBorders>
            <w:shd w:val="clear" w:color="auto" w:fill="D2DCE5"/>
          </w:tcPr>
          <w:p>
            <w:pPr>
              <w:spacing w:after="0"/>
              <w:rPr>
                <w:sz w:val="14"/>
                <w:szCs w:val="14"/>
                <w:color w:val="auto"/>
              </w:rPr>
            </w:pPr>
          </w:p>
        </w:tc>
        <w:tc>
          <w:tcPr>
            <w:tcW w:w="120" w:type="dxa"/>
            <w:vAlign w:val="bottom"/>
            <w:tcBorders>
              <w:top w:val="single" w:sz="8" w:color="D2DCE5"/>
              <w:right w:val="single" w:sz="8" w:color="D2DCE5"/>
            </w:tcBorders>
            <w:shd w:val="clear" w:color="auto" w:fill="D2DCE5"/>
          </w:tcPr>
          <w:p>
            <w:pPr>
              <w:spacing w:after="0"/>
              <w:rPr>
                <w:sz w:val="14"/>
                <w:szCs w:val="14"/>
                <w:color w:val="auto"/>
              </w:rPr>
            </w:pPr>
          </w:p>
        </w:tc>
        <w:tc>
          <w:tcPr>
            <w:tcW w:w="4480" w:type="dxa"/>
            <w:vAlign w:val="bottom"/>
            <w:tcBorders>
              <w:top w:val="single" w:sz="8" w:color="auto"/>
              <w:right w:val="single" w:sz="8" w:color="D2DCE5"/>
            </w:tcBorders>
            <w:gridSpan w:val="7"/>
            <w:shd w:val="clear" w:color="auto" w:fill="D2DCE5"/>
          </w:tcPr>
          <w:p>
            <w:pPr>
              <w:spacing w:after="0" w:line="169" w:lineRule="exact"/>
              <w:rPr>
                <w:sz w:val="20"/>
                <w:szCs w:val="20"/>
                <w:color w:val="auto"/>
              </w:rPr>
            </w:pPr>
            <w:r>
              <w:rPr>
                <w:rFonts w:ascii="Arial" w:cs="Arial" w:eastAsia="Arial" w:hAnsi="Arial"/>
                <w:sz w:val="16"/>
                <w:szCs w:val="16"/>
                <w:color w:val="auto"/>
              </w:rPr>
              <w:t>Adopted Pursuant to Section 302 of the Sarbanes-Oxley Act of</w:t>
            </w:r>
          </w:p>
        </w:tc>
        <w:tc>
          <w:tcPr>
            <w:tcW w:w="200" w:type="dxa"/>
            <w:vAlign w:val="bottom"/>
            <w:tcBorders>
              <w:top w:val="single" w:sz="8" w:color="D2DCE5"/>
              <w:left w:val="single" w:sz="8" w:color="D2DCE5"/>
            </w:tcBorders>
            <w:gridSpan w:val="2"/>
            <w:shd w:val="clear" w:color="auto" w:fill="D2DCE5"/>
          </w:tcPr>
          <w:p>
            <w:pPr>
              <w:spacing w:after="0"/>
              <w:rPr>
                <w:sz w:val="14"/>
                <w:szCs w:val="14"/>
                <w:color w:val="auto"/>
              </w:rPr>
            </w:pPr>
          </w:p>
        </w:tc>
        <w:tc>
          <w:tcPr>
            <w:tcW w:w="160" w:type="dxa"/>
            <w:vAlign w:val="bottom"/>
            <w:tcBorders>
              <w:top w:val="single" w:sz="8" w:color="D2DCE5"/>
            </w:tcBorders>
            <w:gridSpan w:val="2"/>
            <w:shd w:val="clear" w:color="auto" w:fill="D2DCE5"/>
          </w:tcPr>
          <w:p>
            <w:pPr>
              <w:spacing w:after="0"/>
              <w:rPr>
                <w:sz w:val="14"/>
                <w:szCs w:val="14"/>
                <w:color w:val="auto"/>
              </w:rPr>
            </w:pPr>
          </w:p>
        </w:tc>
        <w:tc>
          <w:tcPr>
            <w:tcW w:w="760" w:type="dxa"/>
            <w:vAlign w:val="bottom"/>
            <w:tcBorders>
              <w:top w:val="single" w:sz="8" w:color="D2DCE5"/>
            </w:tcBorders>
            <w:shd w:val="clear" w:color="auto" w:fill="D2DCE5"/>
          </w:tcPr>
          <w:p>
            <w:pPr>
              <w:spacing w:after="0"/>
              <w:rPr>
                <w:sz w:val="14"/>
                <w:szCs w:val="14"/>
                <w:color w:val="auto"/>
              </w:rPr>
            </w:pPr>
          </w:p>
        </w:tc>
        <w:tc>
          <w:tcPr>
            <w:tcW w:w="1240" w:type="dxa"/>
            <w:vAlign w:val="bottom"/>
            <w:tcBorders>
              <w:top w:val="single" w:sz="8" w:color="D2DCE5"/>
            </w:tcBorders>
            <w:shd w:val="clear" w:color="auto" w:fill="D2DCE5"/>
          </w:tcPr>
          <w:p>
            <w:pPr>
              <w:spacing w:after="0"/>
              <w:rPr>
                <w:sz w:val="14"/>
                <w:szCs w:val="14"/>
                <w:color w:val="auto"/>
              </w:rPr>
            </w:pPr>
          </w:p>
        </w:tc>
        <w:tc>
          <w:tcPr>
            <w:tcW w:w="820" w:type="dxa"/>
            <w:vAlign w:val="bottom"/>
            <w:tcBorders>
              <w:top w:val="single" w:sz="8" w:color="D2DCE5"/>
            </w:tcBorders>
            <w:shd w:val="clear" w:color="auto" w:fill="D2DCE5"/>
          </w:tcPr>
          <w:p>
            <w:pPr>
              <w:spacing w:after="0"/>
              <w:rPr>
                <w:sz w:val="14"/>
                <w:szCs w:val="14"/>
                <w:color w:val="auto"/>
              </w:rPr>
            </w:pPr>
          </w:p>
        </w:tc>
        <w:tc>
          <w:tcPr>
            <w:tcW w:w="100" w:type="dxa"/>
            <w:vAlign w:val="bottom"/>
            <w:tcBorders>
              <w:top w:val="single" w:sz="8" w:color="D2DCE5"/>
            </w:tcBorders>
            <w:shd w:val="clear" w:color="auto" w:fill="D2DCE5"/>
          </w:tcPr>
          <w:p>
            <w:pPr>
              <w:spacing w:after="0"/>
              <w:rPr>
                <w:sz w:val="14"/>
                <w:szCs w:val="14"/>
                <w:color w:val="auto"/>
              </w:rPr>
            </w:pPr>
          </w:p>
        </w:tc>
        <w:tc>
          <w:tcPr>
            <w:tcW w:w="40" w:type="dxa"/>
            <w:vAlign w:val="bottom"/>
            <w:tcBorders>
              <w:top w:val="single" w:sz="8" w:color="D2DCE5"/>
            </w:tcBorders>
            <w:shd w:val="clear" w:color="auto" w:fill="D2DCE5"/>
          </w:tcPr>
          <w:p>
            <w:pPr>
              <w:spacing w:after="0"/>
              <w:rPr>
                <w:sz w:val="14"/>
                <w:szCs w:val="14"/>
                <w:color w:val="auto"/>
              </w:rPr>
            </w:pPr>
          </w:p>
        </w:tc>
        <w:tc>
          <w:tcPr>
            <w:tcW w:w="1240" w:type="dxa"/>
            <w:vAlign w:val="bottom"/>
            <w:tcBorders>
              <w:top w:val="single" w:sz="8" w:color="D2DCE5"/>
            </w:tcBorders>
            <w:shd w:val="clear" w:color="auto" w:fill="D2DCE5"/>
          </w:tcPr>
          <w:p>
            <w:pPr>
              <w:spacing w:after="0"/>
              <w:rPr>
                <w:sz w:val="14"/>
                <w:szCs w:val="14"/>
                <w:color w:val="auto"/>
              </w:rPr>
            </w:pPr>
          </w:p>
        </w:tc>
        <w:tc>
          <w:tcPr>
            <w:tcW w:w="100" w:type="dxa"/>
            <w:vAlign w:val="bottom"/>
            <w:tcBorders>
              <w:top w:val="single" w:sz="8" w:color="D2DCE5"/>
            </w:tcBorders>
            <w:shd w:val="clear" w:color="auto" w:fill="D2DCE5"/>
          </w:tcPr>
          <w:p>
            <w:pPr>
              <w:spacing w:after="0"/>
              <w:rPr>
                <w:sz w:val="14"/>
                <w:szCs w:val="14"/>
                <w:color w:val="auto"/>
              </w:rPr>
            </w:pPr>
          </w:p>
        </w:tc>
        <w:tc>
          <w:tcPr>
            <w:tcW w:w="960" w:type="dxa"/>
            <w:vAlign w:val="bottom"/>
            <w:tcBorders>
              <w:top w:val="single" w:sz="8" w:color="D2DCE5"/>
            </w:tcBorders>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D2DCE5"/>
          </w:tcPr>
          <w:p>
            <w:pPr>
              <w:spacing w:after="0" w:line="20" w:lineRule="exact"/>
              <w:rPr>
                <w:sz w:val="1"/>
                <w:szCs w:val="1"/>
                <w:color w:val="auto"/>
              </w:rPr>
            </w:pPr>
          </w:p>
        </w:tc>
        <w:tc>
          <w:tcPr>
            <w:tcW w:w="120" w:type="dxa"/>
            <w:vAlign w:val="bottom"/>
            <w:tcBorders>
              <w:right w:val="single" w:sz="8" w:color="D2DCE5"/>
            </w:tcBorders>
            <w:shd w:val="clear" w:color="auto" w:fill="D2DCE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D2DCE5"/>
            </w:tcBorders>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6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76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40" w:type="dxa"/>
            <w:vAlign w:val="bottom"/>
            <w:shd w:val="clear" w:color="auto" w:fill="D2DCE5"/>
          </w:tcPr>
          <w:p>
            <w:pPr>
              <w:spacing w:after="0" w:line="20" w:lineRule="exact"/>
              <w:rPr>
                <w:sz w:val="1"/>
                <w:szCs w:val="1"/>
                <w:color w:val="auto"/>
              </w:rPr>
            </w:pPr>
          </w:p>
        </w:tc>
        <w:tc>
          <w:tcPr>
            <w:tcW w:w="124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960" w:type="dxa"/>
            <w:vAlign w:val="bottom"/>
            <w:shd w:val="clear" w:color="auto" w:fill="D2DCE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31.2</w:t>
            </w:r>
          </w:p>
        </w:tc>
        <w:tc>
          <w:tcPr>
            <w:tcW w:w="120" w:type="dxa"/>
            <w:vAlign w:val="bottom"/>
            <w:tcBorders>
              <w:right w:val="single" w:sz="8" w:color="D2DCE5"/>
            </w:tcBorders>
            <w:shd w:val="clear" w:color="auto" w:fill="D2DCE5"/>
          </w:tcPr>
          <w:p>
            <w:pPr>
              <w:spacing w:after="0"/>
              <w:rPr>
                <w:sz w:val="15"/>
                <w:szCs w:val="15"/>
                <w:color w:val="auto"/>
              </w:rPr>
            </w:pPr>
          </w:p>
        </w:tc>
        <w:tc>
          <w:tcPr>
            <w:tcW w:w="360" w:type="dxa"/>
            <w:vAlign w:val="bottom"/>
            <w:shd w:val="clear" w:color="auto" w:fill="D2DCE5"/>
          </w:tcPr>
          <w:p>
            <w:pPr>
              <w:spacing w:after="0" w:line="183" w:lineRule="exact"/>
              <w:rPr>
                <w:sz w:val="20"/>
                <w:szCs w:val="20"/>
                <w:color w:val="auto"/>
              </w:rPr>
            </w:pPr>
            <w:r>
              <w:rPr>
                <w:rFonts w:ascii="Arial" w:cs="Arial" w:eastAsia="Arial" w:hAnsi="Arial"/>
                <w:sz w:val="16"/>
                <w:szCs w:val="16"/>
                <w:color w:val="auto"/>
                <w:w w:val="95"/>
              </w:rPr>
              <w:t>2002</w:t>
            </w:r>
          </w:p>
        </w:tc>
        <w:tc>
          <w:tcPr>
            <w:tcW w:w="2120" w:type="dxa"/>
            <w:vAlign w:val="bottom"/>
            <w:shd w:val="clear" w:color="auto" w:fill="D2DCE5"/>
          </w:tcPr>
          <w:p>
            <w:pPr>
              <w:spacing w:after="0"/>
              <w:rPr>
                <w:sz w:val="15"/>
                <w:szCs w:val="15"/>
                <w:color w:val="auto"/>
              </w:rPr>
            </w:pPr>
          </w:p>
        </w:tc>
        <w:tc>
          <w:tcPr>
            <w:tcW w:w="74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70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120" w:type="dxa"/>
            <w:vAlign w:val="bottom"/>
            <w:tcBorders>
              <w:right w:val="single" w:sz="8" w:color="D2DCE5"/>
            </w:tcBorders>
            <w:shd w:val="clear" w:color="auto" w:fill="D2DCE5"/>
          </w:tcPr>
          <w:p>
            <w:pPr>
              <w:spacing w:after="0"/>
              <w:rPr>
                <w:sz w:val="15"/>
                <w:szCs w:val="15"/>
                <w:color w:val="auto"/>
              </w:rPr>
            </w:pPr>
          </w:p>
        </w:tc>
        <w:tc>
          <w:tcPr>
            <w:tcW w:w="120" w:type="dxa"/>
            <w:vAlign w:val="bottom"/>
            <w:tcBorders>
              <w:left w:val="single" w:sz="8" w:color="D2DCE5"/>
            </w:tcBorders>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76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8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12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60" w:type="dxa"/>
            <w:vAlign w:val="bottom"/>
            <w:shd w:val="clear" w:color="auto" w:fill="D2DCE5"/>
          </w:tcPr>
          <w:p>
            <w:pPr>
              <w:jc w:val="center"/>
              <w:spacing w:after="0" w:line="183" w:lineRule="exact"/>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34"/>
        </w:trPr>
        <w:tc>
          <w:tcPr>
            <w:tcW w:w="102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right w:val="single" w:sz="8" w:color="D2DCE5"/>
            </w:tcBorders>
            <w:shd w:val="clear" w:color="auto" w:fill="D2DCE5"/>
          </w:tcPr>
          <w:p>
            <w:pPr>
              <w:spacing w:after="0"/>
              <w:rPr>
                <w:sz w:val="2"/>
                <w:szCs w:val="2"/>
                <w:color w:val="auto"/>
              </w:rPr>
            </w:pPr>
          </w:p>
        </w:tc>
        <w:tc>
          <w:tcPr>
            <w:tcW w:w="360" w:type="dxa"/>
            <w:vAlign w:val="bottom"/>
            <w:tcBorders>
              <w:top w:val="single" w:sz="8" w:color="auto"/>
            </w:tcBorders>
            <w:shd w:val="clear" w:color="auto" w:fill="D2DCE5"/>
          </w:tcPr>
          <w:p>
            <w:pPr>
              <w:spacing w:after="0"/>
              <w:rPr>
                <w:sz w:val="2"/>
                <w:szCs w:val="2"/>
                <w:color w:val="auto"/>
              </w:rPr>
            </w:pPr>
          </w:p>
        </w:tc>
        <w:tc>
          <w:tcPr>
            <w:tcW w:w="2120" w:type="dxa"/>
            <w:vAlign w:val="bottom"/>
            <w:tcBorders>
              <w:top w:val="single" w:sz="8" w:color="D2DCE5"/>
            </w:tcBorders>
            <w:shd w:val="clear" w:color="auto" w:fill="D2DCE5"/>
          </w:tcPr>
          <w:p>
            <w:pPr>
              <w:spacing w:after="0"/>
              <w:rPr>
                <w:sz w:val="2"/>
                <w:szCs w:val="2"/>
                <w:color w:val="auto"/>
              </w:rPr>
            </w:pPr>
          </w:p>
        </w:tc>
        <w:tc>
          <w:tcPr>
            <w:tcW w:w="740" w:type="dxa"/>
            <w:vAlign w:val="bottom"/>
            <w:tcBorders>
              <w:top w:val="single" w:sz="8" w:color="D2DCE5"/>
            </w:tcBorders>
            <w:shd w:val="clear" w:color="auto" w:fill="D2DCE5"/>
          </w:tcPr>
          <w:p>
            <w:pPr>
              <w:spacing w:after="0"/>
              <w:rPr>
                <w:sz w:val="2"/>
                <w:szCs w:val="2"/>
                <w:color w:val="auto"/>
              </w:rPr>
            </w:pPr>
          </w:p>
        </w:tc>
        <w:tc>
          <w:tcPr>
            <w:tcW w:w="320" w:type="dxa"/>
            <w:vAlign w:val="bottom"/>
            <w:tcBorders>
              <w:top w:val="single" w:sz="8" w:color="D2DCE5"/>
            </w:tcBorders>
            <w:shd w:val="clear" w:color="auto" w:fill="D2DCE5"/>
          </w:tcPr>
          <w:p>
            <w:pPr>
              <w:spacing w:after="0"/>
              <w:rPr>
                <w:sz w:val="2"/>
                <w:szCs w:val="2"/>
                <w:color w:val="auto"/>
              </w:rPr>
            </w:pPr>
          </w:p>
        </w:tc>
        <w:tc>
          <w:tcPr>
            <w:tcW w:w="70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tcBorders>
            <w:shd w:val="clear" w:color="auto" w:fill="D2DCE5"/>
          </w:tcPr>
          <w:p>
            <w:pPr>
              <w:spacing w:after="0"/>
              <w:rPr>
                <w:sz w:val="2"/>
                <w:szCs w:val="2"/>
                <w:color w:val="auto"/>
              </w:rPr>
            </w:pPr>
          </w:p>
        </w:tc>
        <w:tc>
          <w:tcPr>
            <w:tcW w:w="120" w:type="dxa"/>
            <w:vAlign w:val="bottom"/>
            <w:tcBorders>
              <w:top w:val="single" w:sz="8" w:color="D2DCE5"/>
              <w:right w:val="single" w:sz="8" w:color="D2DCE5"/>
            </w:tcBorders>
            <w:shd w:val="clear" w:color="auto" w:fill="D2DCE5"/>
          </w:tcPr>
          <w:p>
            <w:pPr>
              <w:spacing w:after="0"/>
              <w:rPr>
                <w:sz w:val="2"/>
                <w:szCs w:val="2"/>
                <w:color w:val="auto"/>
              </w:rPr>
            </w:pPr>
          </w:p>
        </w:tc>
        <w:tc>
          <w:tcPr>
            <w:tcW w:w="120" w:type="dxa"/>
            <w:vAlign w:val="bottom"/>
            <w:tcBorders>
              <w:top w:val="single" w:sz="8" w:color="D2DCE5"/>
              <w:left w:val="single" w:sz="8" w:color="D2DCE5"/>
            </w:tcBorders>
            <w:shd w:val="clear" w:color="auto" w:fill="D2DCE5"/>
          </w:tcPr>
          <w:p>
            <w:pPr>
              <w:spacing w:after="0"/>
              <w:rPr>
                <w:sz w:val="2"/>
                <w:szCs w:val="2"/>
                <w:color w:val="auto"/>
              </w:rPr>
            </w:pPr>
          </w:p>
        </w:tc>
        <w:tc>
          <w:tcPr>
            <w:tcW w:w="80" w:type="dxa"/>
            <w:vAlign w:val="bottom"/>
            <w:tcBorders>
              <w:top w:val="single" w:sz="8" w:color="D2DCE5"/>
            </w:tcBorders>
            <w:shd w:val="clear" w:color="auto" w:fill="D2DCE5"/>
          </w:tcPr>
          <w:p>
            <w:pPr>
              <w:spacing w:after="0"/>
              <w:rPr>
                <w:sz w:val="2"/>
                <w:szCs w:val="2"/>
                <w:color w:val="auto"/>
              </w:rPr>
            </w:pPr>
          </w:p>
        </w:tc>
        <w:tc>
          <w:tcPr>
            <w:tcW w:w="6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76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82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40" w:type="dxa"/>
            <w:vAlign w:val="bottom"/>
            <w:tcBorders>
              <w:top w:val="single" w:sz="8" w:color="D2DCE5"/>
            </w:tcBorders>
            <w:shd w:val="clear" w:color="auto" w:fill="D2DCE5"/>
          </w:tcPr>
          <w:p>
            <w:pPr>
              <w:spacing w:after="0"/>
              <w:rPr>
                <w:sz w:val="2"/>
                <w:szCs w:val="2"/>
                <w:color w:val="auto"/>
              </w:rPr>
            </w:pPr>
          </w:p>
        </w:tc>
        <w:tc>
          <w:tcPr>
            <w:tcW w:w="1240" w:type="dxa"/>
            <w:vAlign w:val="bottom"/>
            <w:tcBorders>
              <w:top w:val="single" w:sz="8" w:color="D2DCE5"/>
            </w:tcBorders>
            <w:shd w:val="clear" w:color="auto" w:fill="D2DCE5"/>
          </w:tcPr>
          <w:p>
            <w:pPr>
              <w:spacing w:after="0"/>
              <w:rPr>
                <w:sz w:val="2"/>
                <w:szCs w:val="2"/>
                <w:color w:val="auto"/>
              </w:rPr>
            </w:pPr>
          </w:p>
        </w:tc>
        <w:tc>
          <w:tcPr>
            <w:tcW w:w="100" w:type="dxa"/>
            <w:vAlign w:val="bottom"/>
            <w:tcBorders>
              <w:top w:val="single" w:sz="8" w:color="D2DCE5"/>
            </w:tcBorders>
            <w:shd w:val="clear" w:color="auto" w:fill="D2DCE5"/>
          </w:tcPr>
          <w:p>
            <w:pPr>
              <w:spacing w:after="0"/>
              <w:rPr>
                <w:sz w:val="2"/>
                <w:szCs w:val="2"/>
                <w:color w:val="auto"/>
              </w:rPr>
            </w:pPr>
          </w:p>
        </w:tc>
        <w:tc>
          <w:tcPr>
            <w:tcW w:w="960" w:type="dxa"/>
            <w:vAlign w:val="bottom"/>
            <w:tcBorders>
              <w:top w:val="single" w:sz="8" w:color="D2DCE5"/>
            </w:tcBorders>
            <w:shd w:val="clear" w:color="auto" w:fill="D2DC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rPr>
              <w:t>Certifications of Chief Executive Officer and Chief Financial</w:t>
            </w:r>
          </w:p>
        </w:tc>
        <w:tc>
          <w:tcPr>
            <w:tcW w:w="600" w:type="dxa"/>
            <w:vAlign w:val="bottom"/>
            <w:gridSpan w:val="6"/>
          </w:tcPr>
          <w:p>
            <w:pPr>
              <w:spacing w:after="0"/>
              <w:rPr>
                <w:sz w:val="16"/>
                <w:szCs w:val="16"/>
                <w:color w:val="auto"/>
              </w:rPr>
            </w:pPr>
          </w:p>
        </w:tc>
        <w:tc>
          <w:tcPr>
            <w:tcW w:w="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vMerge w:val="restart"/>
          </w:tcPr>
          <w:p>
            <w:pPr>
              <w:jc w:val="center"/>
              <w:spacing w:after="0"/>
              <w:rPr>
                <w:sz w:val="20"/>
                <w:szCs w:val="20"/>
                <w:color w:val="auto"/>
              </w:rPr>
            </w:pPr>
            <w:r>
              <w:rPr>
                <w:rFonts w:ascii="Arial" w:cs="Arial" w:eastAsia="Arial" w:hAnsi="Arial"/>
                <w:sz w:val="16"/>
                <w:szCs w:val="16"/>
                <w:color w:val="131E29"/>
              </w:rPr>
              <w:t>32.1*</w:t>
            </w:r>
          </w:p>
        </w:tc>
        <w:tc>
          <w:tcPr>
            <w:tcW w:w="120" w:type="dxa"/>
            <w:vAlign w:val="bottom"/>
          </w:tcPr>
          <w:p>
            <w:pPr>
              <w:spacing w:after="0"/>
              <w:rPr>
                <w:sz w:val="15"/>
                <w:szCs w:val="15"/>
                <w:color w:val="auto"/>
              </w:rPr>
            </w:pPr>
          </w:p>
        </w:tc>
        <w:tc>
          <w:tcPr>
            <w:tcW w:w="4840" w:type="dxa"/>
            <w:vAlign w:val="bottom"/>
            <w:gridSpan w:val="11"/>
          </w:tcPr>
          <w:p>
            <w:pPr>
              <w:spacing w:after="0" w:line="183" w:lineRule="exact"/>
              <w:rPr>
                <w:sz w:val="20"/>
                <w:szCs w:val="20"/>
                <w:color w:val="auto"/>
              </w:rPr>
            </w:pPr>
            <w:r>
              <w:rPr>
                <w:rFonts w:ascii="Arial" w:cs="Arial" w:eastAsia="Arial" w:hAnsi="Arial"/>
                <w:sz w:val="16"/>
                <w:szCs w:val="16"/>
                <w:color w:val="auto"/>
              </w:rPr>
              <w:t>Officer Pursuant to 18 U.S.C. Section 1350, as Adopted Pursuant</w:t>
            </w:r>
          </w:p>
        </w:tc>
        <w:tc>
          <w:tcPr>
            <w:tcW w:w="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tcBorders>
              <w:top w:val="single" w:sz="8" w:color="auto"/>
            </w:tcBorders>
            <w:gridSpan w:val="9"/>
          </w:tcPr>
          <w:p>
            <w:pPr>
              <w:spacing w:after="0" w:line="169" w:lineRule="exact"/>
              <w:rPr>
                <w:sz w:val="20"/>
                <w:szCs w:val="20"/>
                <w:color w:val="auto"/>
              </w:rPr>
            </w:pPr>
            <w:r>
              <w:rPr>
                <w:rFonts w:ascii="Arial" w:cs="Arial" w:eastAsia="Arial" w:hAnsi="Arial"/>
                <w:sz w:val="16"/>
                <w:szCs w:val="16"/>
                <w:color w:val="auto"/>
              </w:rPr>
              <w:t>to Section 906 of the Sarbanes-Oxley Act of 2002</w:t>
            </w:r>
          </w:p>
        </w:tc>
        <w:tc>
          <w:tcPr>
            <w:tcW w:w="1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tcBorders>
              <w:right w:val="single" w:sz="8" w:color="D2DCE5"/>
            </w:tcBorders>
            <w:gridSpan w:val="2"/>
            <w:shd w:val="clear" w:color="auto" w:fill="D2DCE5"/>
          </w:tcPr>
          <w:p>
            <w:pPr>
              <w:jc w:val="center"/>
              <w:ind w:right="120"/>
              <w:spacing w:after="0"/>
              <w:rPr>
                <w:sz w:val="20"/>
                <w:szCs w:val="20"/>
                <w:color w:val="auto"/>
              </w:rPr>
            </w:pPr>
            <w:r>
              <w:rPr>
                <w:rFonts w:ascii="Arial" w:cs="Arial" w:eastAsia="Arial" w:hAnsi="Arial"/>
                <w:sz w:val="16"/>
                <w:szCs w:val="16"/>
                <w:color w:val="131E29"/>
              </w:rPr>
              <w:t>101.INS</w:t>
            </w:r>
          </w:p>
        </w:tc>
        <w:tc>
          <w:tcPr>
            <w:tcW w:w="484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XBRL Instance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131E29"/>
              </w:rPr>
              <w:t>101.SCH</w:t>
            </w:r>
          </w:p>
        </w:tc>
        <w:tc>
          <w:tcPr>
            <w:tcW w:w="4840" w:type="dxa"/>
            <w:vAlign w:val="bottom"/>
            <w:gridSpan w:val="11"/>
          </w:tcPr>
          <w:p>
            <w:pPr>
              <w:spacing w:after="0"/>
              <w:rPr>
                <w:sz w:val="20"/>
                <w:szCs w:val="20"/>
                <w:color w:val="auto"/>
              </w:rPr>
            </w:pPr>
            <w:r>
              <w:rPr>
                <w:rFonts w:ascii="Arial" w:cs="Arial" w:eastAsia="Arial" w:hAnsi="Arial"/>
                <w:sz w:val="16"/>
                <w:szCs w:val="16"/>
                <w:color w:val="131E29"/>
              </w:rPr>
              <w:t>XBRL Taxonomy Extension Schema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1"/>
        </w:trPr>
        <w:tc>
          <w:tcPr>
            <w:tcW w:w="1140" w:type="dxa"/>
            <w:vAlign w:val="bottom"/>
            <w:tcBorders>
              <w:right w:val="single" w:sz="8" w:color="D2DCE5"/>
            </w:tcBorders>
            <w:gridSpan w:val="2"/>
            <w:shd w:val="clear" w:color="auto" w:fill="D2DCE5"/>
          </w:tcPr>
          <w:p>
            <w:pPr>
              <w:jc w:val="center"/>
              <w:ind w:right="120"/>
              <w:spacing w:after="0"/>
              <w:rPr>
                <w:sz w:val="20"/>
                <w:szCs w:val="20"/>
                <w:color w:val="auto"/>
              </w:rPr>
            </w:pPr>
            <w:r>
              <w:rPr>
                <w:rFonts w:ascii="Arial" w:cs="Arial" w:eastAsia="Arial" w:hAnsi="Arial"/>
                <w:sz w:val="16"/>
                <w:szCs w:val="16"/>
                <w:color w:val="131E29"/>
                <w:w w:val="99"/>
              </w:rPr>
              <w:t>101.CAL</w:t>
            </w:r>
          </w:p>
        </w:tc>
        <w:tc>
          <w:tcPr>
            <w:tcW w:w="484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XBRL Taxonomy Extension Calculation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131E29"/>
              </w:rPr>
              <w:t>101.DEF</w:t>
            </w:r>
          </w:p>
        </w:tc>
        <w:tc>
          <w:tcPr>
            <w:tcW w:w="4840" w:type="dxa"/>
            <w:vAlign w:val="bottom"/>
            <w:gridSpan w:val="11"/>
          </w:tcPr>
          <w:p>
            <w:pPr>
              <w:spacing w:after="0"/>
              <w:rPr>
                <w:sz w:val="20"/>
                <w:szCs w:val="20"/>
                <w:color w:val="auto"/>
              </w:rPr>
            </w:pPr>
            <w:r>
              <w:rPr>
                <w:rFonts w:ascii="Arial" w:cs="Arial" w:eastAsia="Arial" w:hAnsi="Arial"/>
                <w:sz w:val="16"/>
                <w:szCs w:val="16"/>
                <w:color w:val="131E29"/>
              </w:rPr>
              <w:t>XBRL Taxonomy Extension Definition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51"/>
        </w:trPr>
        <w:tc>
          <w:tcPr>
            <w:tcW w:w="1140" w:type="dxa"/>
            <w:vAlign w:val="bottom"/>
            <w:tcBorders>
              <w:right w:val="single" w:sz="8" w:color="D2DCE5"/>
            </w:tcBorders>
            <w:gridSpan w:val="2"/>
            <w:shd w:val="clear" w:color="auto" w:fill="D2DCE5"/>
          </w:tcPr>
          <w:p>
            <w:pPr>
              <w:jc w:val="center"/>
              <w:ind w:right="120"/>
              <w:spacing w:after="0"/>
              <w:rPr>
                <w:sz w:val="20"/>
                <w:szCs w:val="20"/>
                <w:color w:val="auto"/>
              </w:rPr>
            </w:pPr>
            <w:r>
              <w:rPr>
                <w:rFonts w:ascii="Arial" w:cs="Arial" w:eastAsia="Arial" w:hAnsi="Arial"/>
                <w:sz w:val="16"/>
                <w:szCs w:val="16"/>
                <w:color w:val="131E29"/>
              </w:rPr>
              <w:t>101.LAB</w:t>
            </w:r>
          </w:p>
        </w:tc>
        <w:tc>
          <w:tcPr>
            <w:tcW w:w="484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XBRL Taxonomy Extension Label Linkbase Document</w:t>
            </w:r>
          </w:p>
        </w:tc>
        <w:tc>
          <w:tcPr>
            <w:tcW w:w="76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82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40" w:type="dxa"/>
            <w:vAlign w:val="bottom"/>
            <w:shd w:val="clear" w:color="auto" w:fill="D2DCE5"/>
          </w:tcPr>
          <w:p>
            <w:pPr>
              <w:spacing w:after="0"/>
              <w:rPr>
                <w:sz w:val="21"/>
                <w:szCs w:val="21"/>
                <w:color w:val="auto"/>
              </w:rPr>
            </w:pPr>
          </w:p>
        </w:tc>
        <w:tc>
          <w:tcPr>
            <w:tcW w:w="1240" w:type="dxa"/>
            <w:vAlign w:val="bottom"/>
            <w:shd w:val="clear" w:color="auto" w:fill="D2DCE5"/>
          </w:tcPr>
          <w:p>
            <w:pPr>
              <w:spacing w:after="0"/>
              <w:rPr>
                <w:sz w:val="21"/>
                <w:szCs w:val="21"/>
                <w:color w:val="auto"/>
              </w:rPr>
            </w:pPr>
          </w:p>
        </w:tc>
        <w:tc>
          <w:tcPr>
            <w:tcW w:w="100" w:type="dxa"/>
            <w:vAlign w:val="bottom"/>
            <w:shd w:val="clear" w:color="auto" w:fill="D2DCE5"/>
          </w:tcPr>
          <w:p>
            <w:pPr>
              <w:spacing w:after="0"/>
              <w:rPr>
                <w:sz w:val="21"/>
                <w:szCs w:val="21"/>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35"/>
        </w:trPr>
        <w:tc>
          <w:tcPr>
            <w:tcW w:w="1140" w:type="dxa"/>
            <w:vAlign w:val="bottom"/>
            <w:gridSpan w:val="2"/>
          </w:tcPr>
          <w:p>
            <w:pPr>
              <w:jc w:val="center"/>
              <w:ind w:right="100"/>
              <w:spacing w:after="0"/>
              <w:rPr>
                <w:sz w:val="20"/>
                <w:szCs w:val="20"/>
                <w:color w:val="auto"/>
              </w:rPr>
            </w:pPr>
            <w:r>
              <w:rPr>
                <w:rFonts w:ascii="Arial" w:cs="Arial" w:eastAsia="Arial" w:hAnsi="Arial"/>
                <w:sz w:val="16"/>
                <w:szCs w:val="16"/>
                <w:color w:val="131E29"/>
                <w:w w:val="99"/>
              </w:rPr>
              <w:t>101.PRE</w:t>
            </w:r>
          </w:p>
        </w:tc>
        <w:tc>
          <w:tcPr>
            <w:tcW w:w="4840" w:type="dxa"/>
            <w:vAlign w:val="bottom"/>
            <w:gridSpan w:val="11"/>
          </w:tcPr>
          <w:p>
            <w:pPr>
              <w:spacing w:after="0"/>
              <w:rPr>
                <w:sz w:val="20"/>
                <w:szCs w:val="20"/>
                <w:color w:val="auto"/>
              </w:rPr>
            </w:pPr>
            <w:r>
              <w:rPr>
                <w:rFonts w:ascii="Arial" w:cs="Arial" w:eastAsia="Arial" w:hAnsi="Arial"/>
                <w:sz w:val="16"/>
                <w:szCs w:val="16"/>
                <w:color w:val="131E29"/>
              </w:rPr>
              <w:t>XBRL Taxonomy Extension Presentation Linkbase Document</w:t>
            </w:r>
          </w:p>
        </w:tc>
        <w:tc>
          <w:tcPr>
            <w:tcW w:w="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r>
        <w:trPr>
          <w:trHeight w:val="223"/>
        </w:trPr>
        <w:tc>
          <w:tcPr>
            <w:tcW w:w="1020" w:type="dxa"/>
            <w:vAlign w:val="bottom"/>
            <w:shd w:val="clear" w:color="auto" w:fill="D2DCE5"/>
          </w:tcPr>
          <w:p>
            <w:pPr>
              <w:spacing w:after="0"/>
              <w:rPr>
                <w:sz w:val="19"/>
                <w:szCs w:val="19"/>
                <w:color w:val="auto"/>
              </w:rPr>
            </w:pPr>
          </w:p>
        </w:tc>
        <w:tc>
          <w:tcPr>
            <w:tcW w:w="120" w:type="dxa"/>
            <w:vAlign w:val="bottom"/>
            <w:tcBorders>
              <w:right w:val="single" w:sz="8" w:color="D2DCE5"/>
            </w:tcBorders>
            <w:shd w:val="clear" w:color="auto" w:fill="D2DCE5"/>
          </w:tcPr>
          <w:p>
            <w:pPr>
              <w:spacing w:after="0"/>
              <w:rPr>
                <w:sz w:val="19"/>
                <w:szCs w:val="19"/>
                <w:color w:val="auto"/>
              </w:rPr>
            </w:pPr>
          </w:p>
        </w:tc>
        <w:tc>
          <w:tcPr>
            <w:tcW w:w="484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Cover Page with Interactive Data File (formatted as Inline XBRL</w:t>
            </w:r>
          </w:p>
        </w:tc>
        <w:tc>
          <w:tcPr>
            <w:tcW w:w="760" w:type="dxa"/>
            <w:vAlign w:val="bottom"/>
            <w:shd w:val="clear" w:color="auto" w:fill="D2DCE5"/>
          </w:tcPr>
          <w:p>
            <w:pPr>
              <w:spacing w:after="0"/>
              <w:rPr>
                <w:sz w:val="19"/>
                <w:szCs w:val="19"/>
                <w:color w:val="auto"/>
              </w:rPr>
            </w:pPr>
          </w:p>
        </w:tc>
        <w:tc>
          <w:tcPr>
            <w:tcW w:w="1240" w:type="dxa"/>
            <w:vAlign w:val="bottom"/>
            <w:shd w:val="clear" w:color="auto" w:fill="D2DCE5"/>
          </w:tcPr>
          <w:p>
            <w:pPr>
              <w:spacing w:after="0"/>
              <w:rPr>
                <w:sz w:val="19"/>
                <w:szCs w:val="19"/>
                <w:color w:val="auto"/>
              </w:rPr>
            </w:pPr>
          </w:p>
        </w:tc>
        <w:tc>
          <w:tcPr>
            <w:tcW w:w="8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12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20" w:type="dxa"/>
            <w:vAlign w:val="bottom"/>
            <w:shd w:val="clear" w:color="auto" w:fill="D2DCE5"/>
          </w:tcPr>
          <w:p>
            <w:pPr>
              <w:spacing w:after="0"/>
              <w:rPr>
                <w:sz w:val="16"/>
                <w:szCs w:val="16"/>
                <w:color w:val="auto"/>
              </w:rPr>
            </w:pPr>
          </w:p>
        </w:tc>
        <w:tc>
          <w:tcPr>
            <w:tcW w:w="120" w:type="dxa"/>
            <w:vAlign w:val="bottom"/>
            <w:tcBorders>
              <w:right w:val="single" w:sz="8" w:color="D2DCE5"/>
            </w:tcBorders>
            <w:shd w:val="clear" w:color="auto" w:fill="D2DCE5"/>
          </w:tcPr>
          <w:p>
            <w:pPr>
              <w:spacing w:after="0"/>
              <w:rPr>
                <w:sz w:val="16"/>
                <w:szCs w:val="16"/>
                <w:color w:val="auto"/>
              </w:rPr>
            </w:pPr>
          </w:p>
        </w:tc>
        <w:tc>
          <w:tcPr>
            <w:tcW w:w="484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with applicable taxonomy extension information contained in</w:t>
            </w:r>
          </w:p>
        </w:tc>
        <w:tc>
          <w:tcPr>
            <w:tcW w:w="76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40" w:type="dxa"/>
            <w:vAlign w:val="bottom"/>
            <w:shd w:val="clear" w:color="auto" w:fill="D2DCE5"/>
          </w:tcPr>
          <w:p>
            <w:pPr>
              <w:spacing w:after="0"/>
              <w:rPr>
                <w:sz w:val="16"/>
                <w:szCs w:val="16"/>
                <w:color w:val="auto"/>
              </w:rPr>
            </w:pPr>
          </w:p>
        </w:tc>
        <w:tc>
          <w:tcPr>
            <w:tcW w:w="12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6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D2DCE5"/>
          </w:tcPr>
          <w:p>
            <w:pPr>
              <w:jc w:val="center"/>
              <w:spacing w:after="0"/>
              <w:rPr>
                <w:sz w:val="20"/>
                <w:szCs w:val="20"/>
                <w:color w:val="auto"/>
              </w:rPr>
            </w:pPr>
            <w:r>
              <w:rPr>
                <w:rFonts w:ascii="Arial" w:cs="Arial" w:eastAsia="Arial" w:hAnsi="Arial"/>
                <w:sz w:val="16"/>
                <w:szCs w:val="16"/>
                <w:color w:val="131E29"/>
                <w:w w:val="97"/>
              </w:rPr>
              <w:t>104</w:t>
            </w:r>
          </w:p>
        </w:tc>
        <w:tc>
          <w:tcPr>
            <w:tcW w:w="120" w:type="dxa"/>
            <w:vAlign w:val="bottom"/>
            <w:tcBorders>
              <w:right w:val="single" w:sz="8" w:color="D2DCE5"/>
            </w:tcBorders>
            <w:shd w:val="clear" w:color="auto" w:fill="D2DCE5"/>
          </w:tcPr>
          <w:p>
            <w:pPr>
              <w:spacing w:after="0"/>
              <w:rPr>
                <w:sz w:val="20"/>
                <w:szCs w:val="20"/>
                <w:color w:val="auto"/>
              </w:rPr>
            </w:pPr>
          </w:p>
        </w:tc>
        <w:tc>
          <w:tcPr>
            <w:tcW w:w="4840" w:type="dxa"/>
            <w:vAlign w:val="bottom"/>
            <w:gridSpan w:val="11"/>
            <w:shd w:val="clear" w:color="auto" w:fill="D2DCE5"/>
          </w:tcPr>
          <w:p>
            <w:pPr>
              <w:spacing w:after="0"/>
              <w:rPr>
                <w:sz w:val="20"/>
                <w:szCs w:val="20"/>
                <w:color w:val="auto"/>
              </w:rPr>
            </w:pPr>
            <w:r>
              <w:rPr>
                <w:rFonts w:ascii="Arial" w:cs="Arial" w:eastAsia="Arial" w:hAnsi="Arial"/>
                <w:sz w:val="16"/>
                <w:szCs w:val="16"/>
                <w:color w:val="131E29"/>
              </w:rPr>
              <w:t>Exhibits 101)</w:t>
            </w:r>
          </w:p>
        </w:tc>
        <w:tc>
          <w:tcPr>
            <w:tcW w:w="760" w:type="dxa"/>
            <w:vAlign w:val="bottom"/>
            <w:shd w:val="clear" w:color="auto" w:fill="D2DCE5"/>
          </w:tcPr>
          <w:p>
            <w:pPr>
              <w:spacing w:after="0"/>
              <w:rPr>
                <w:sz w:val="20"/>
                <w:szCs w:val="20"/>
                <w:color w:val="auto"/>
              </w:rPr>
            </w:pPr>
          </w:p>
        </w:tc>
        <w:tc>
          <w:tcPr>
            <w:tcW w:w="1240" w:type="dxa"/>
            <w:vAlign w:val="bottom"/>
            <w:shd w:val="clear" w:color="auto" w:fill="D2DCE5"/>
          </w:tcPr>
          <w:p>
            <w:pPr>
              <w:spacing w:after="0"/>
              <w:rPr>
                <w:sz w:val="20"/>
                <w:szCs w:val="20"/>
                <w:color w:val="auto"/>
              </w:rPr>
            </w:pPr>
          </w:p>
        </w:tc>
        <w:tc>
          <w:tcPr>
            <w:tcW w:w="82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40" w:type="dxa"/>
            <w:vAlign w:val="bottom"/>
            <w:shd w:val="clear" w:color="auto" w:fill="D2DCE5"/>
          </w:tcPr>
          <w:p>
            <w:pPr>
              <w:spacing w:after="0"/>
              <w:rPr>
                <w:sz w:val="20"/>
                <w:szCs w:val="20"/>
                <w:color w:val="auto"/>
              </w:rPr>
            </w:pPr>
          </w:p>
        </w:tc>
        <w:tc>
          <w:tcPr>
            <w:tcW w:w="12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6"/>
                <w:szCs w:val="16"/>
                <w:color w:val="131E29"/>
              </w:rPr>
              <w:t>X</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29" w:lineRule="exact"/>
        <w:rPr>
          <w:sz w:val="20"/>
          <w:szCs w:val="20"/>
          <w:color w:val="auto"/>
        </w:rPr>
      </w:pPr>
    </w:p>
    <w:p>
      <w:pPr>
        <w:ind w:left="180" w:hanging="172"/>
        <w:spacing w:after="0" w:line="284" w:lineRule="auto"/>
        <w:tabs>
          <w:tab w:leader="none" w:pos="238"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18"/>
          <w:szCs w:val="18"/>
          <w:color w:val="131E29"/>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60" w:type="dxa"/>
            <w:vAlign w:val="bottom"/>
          </w:tcPr>
          <w:p>
            <w:pPr>
              <w:spacing w:after="0"/>
              <w:rPr>
                <w:sz w:val="21"/>
                <w:szCs w:val="21"/>
                <w:color w:val="auto"/>
              </w:rPr>
            </w:pPr>
          </w:p>
        </w:tc>
        <w:tc>
          <w:tcPr>
            <w:tcW w:w="8580" w:type="dxa"/>
            <w:vAlign w:val="bottom"/>
            <w:gridSpan w:val="2"/>
          </w:tcPr>
          <w:p>
            <w:pPr>
              <w:ind w:left="3260"/>
              <w:spacing w:after="0"/>
              <w:rPr>
                <w:sz w:val="20"/>
                <w:szCs w:val="20"/>
                <w:color w:val="auto"/>
              </w:rPr>
            </w:pPr>
            <w:r>
              <w:rPr>
                <w:rFonts w:ascii="Arial" w:cs="Arial" w:eastAsia="Arial" w:hAnsi="Arial"/>
                <w:sz w:val="18"/>
                <w:szCs w:val="18"/>
                <w:b w:val="1"/>
                <w:bCs w:val="1"/>
                <w:color w:val="131E29"/>
              </w:rPr>
              <w:t>DUTCH BROS INC.</w:t>
            </w:r>
          </w:p>
        </w:tc>
      </w:tr>
      <w:tr>
        <w:trPr>
          <w:trHeight w:val="424"/>
        </w:trPr>
        <w:tc>
          <w:tcPr>
            <w:tcW w:w="2660" w:type="dxa"/>
            <w:vAlign w:val="bottom"/>
          </w:tcPr>
          <w:p>
            <w:pPr>
              <w:spacing w:after="0"/>
              <w:rPr>
                <w:sz w:val="24"/>
                <w:szCs w:val="24"/>
                <w:color w:val="auto"/>
              </w:rPr>
            </w:pPr>
          </w:p>
        </w:tc>
        <w:tc>
          <w:tcPr>
            <w:tcW w:w="8580" w:type="dxa"/>
            <w:vAlign w:val="bottom"/>
            <w:gridSpan w:val="2"/>
          </w:tcPr>
          <w:p>
            <w:pPr>
              <w:ind w:left="3260"/>
              <w:spacing w:after="0"/>
              <w:rPr>
                <w:sz w:val="20"/>
                <w:szCs w:val="20"/>
                <w:color w:val="auto"/>
              </w:rPr>
            </w:pPr>
            <w:r>
              <w:rPr>
                <w:rFonts w:ascii="Arial" w:cs="Arial" w:eastAsia="Arial" w:hAnsi="Arial"/>
                <w:sz w:val="18"/>
                <w:szCs w:val="18"/>
                <w:color w:val="131E29"/>
              </w:rPr>
              <w:t>(Registrant)</w:t>
            </w:r>
          </w:p>
        </w:tc>
      </w:tr>
      <w:tr>
        <w:trPr>
          <w:trHeight w:val="684"/>
        </w:trPr>
        <w:tc>
          <w:tcPr>
            <w:tcW w:w="2660" w:type="dxa"/>
            <w:vAlign w:val="bottom"/>
          </w:tcPr>
          <w:p>
            <w:pPr>
              <w:ind w:left="20"/>
              <w:spacing w:after="0"/>
              <w:rPr>
                <w:sz w:val="20"/>
                <w:szCs w:val="20"/>
                <w:color w:val="auto"/>
              </w:rPr>
            </w:pPr>
            <w:r>
              <w:rPr>
                <w:rFonts w:ascii="Arial" w:cs="Arial" w:eastAsia="Arial" w:hAnsi="Arial"/>
                <w:sz w:val="18"/>
                <w:szCs w:val="18"/>
                <w:color w:val="131E29"/>
              </w:rPr>
              <w:t>May 6, 2026</w:t>
            </w:r>
          </w:p>
        </w:tc>
        <w:tc>
          <w:tcPr>
            <w:tcW w:w="8580" w:type="dxa"/>
            <w:vAlign w:val="bottom"/>
            <w:gridSpan w:val="2"/>
          </w:tcPr>
          <w:p>
            <w:pPr>
              <w:ind w:left="3260"/>
              <w:spacing w:after="0"/>
              <w:rPr>
                <w:sz w:val="20"/>
                <w:szCs w:val="20"/>
                <w:color w:val="auto"/>
              </w:rPr>
            </w:pPr>
            <w:r>
              <w:rPr>
                <w:rFonts w:ascii="Arial" w:cs="Arial" w:eastAsia="Arial" w:hAnsi="Arial"/>
                <w:sz w:val="18"/>
                <w:szCs w:val="18"/>
                <w:color w:val="131E29"/>
              </w:rPr>
              <w:t>By:</w:t>
            </w:r>
          </w:p>
        </w:tc>
      </w:tr>
      <w:tr>
        <w:trPr>
          <w:trHeight w:val="243"/>
        </w:trPr>
        <w:tc>
          <w:tcPr>
            <w:tcW w:w="2660" w:type="dxa"/>
            <w:vAlign w:val="bottom"/>
            <w:tcBorders>
              <w:bottom w:val="single" w:sz="8" w:color="auto"/>
            </w:tcBorders>
          </w:tcPr>
          <w:p>
            <w:pPr>
              <w:spacing w:after="0"/>
              <w:rPr>
                <w:sz w:val="21"/>
                <w:szCs w:val="21"/>
                <w:color w:val="auto"/>
              </w:rPr>
            </w:pPr>
          </w:p>
        </w:tc>
        <w:tc>
          <w:tcPr>
            <w:tcW w:w="3800" w:type="dxa"/>
            <w:vAlign w:val="bottom"/>
          </w:tcPr>
          <w:p>
            <w:pPr>
              <w:spacing w:after="0"/>
              <w:rPr>
                <w:sz w:val="21"/>
                <w:szCs w:val="21"/>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/s/ Christine Barone</w:t>
            </w:r>
          </w:p>
        </w:tc>
      </w:tr>
      <w:tr>
        <w:trPr>
          <w:trHeight w:val="241"/>
        </w:trPr>
        <w:tc>
          <w:tcPr>
            <w:tcW w:w="2660" w:type="dxa"/>
            <w:vAlign w:val="bottom"/>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131E29"/>
                <w:w w:val="99"/>
              </w:rPr>
              <w:t>Christine Barone</w:t>
            </w:r>
          </w:p>
        </w:tc>
      </w:tr>
      <w:tr>
        <w:trPr>
          <w:trHeight w:val="432"/>
        </w:trPr>
        <w:tc>
          <w:tcPr>
            <w:tcW w:w="2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131E29"/>
                <w:w w:val="99"/>
              </w:rPr>
              <w:t>Chief Executive Officer and President</w:t>
            </w:r>
          </w:p>
        </w:tc>
      </w:tr>
      <w:tr>
        <w:trPr>
          <w:trHeight w:val="432"/>
        </w:trPr>
        <w:tc>
          <w:tcPr>
            <w:tcW w:w="2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131E29"/>
                <w:w w:val="99"/>
              </w:rPr>
              <w:t>(Principal Executive Officer)</w:t>
            </w:r>
          </w:p>
        </w:tc>
      </w:tr>
      <w:tr>
        <w:trPr>
          <w:trHeight w:val="725"/>
        </w:trPr>
        <w:tc>
          <w:tcPr>
            <w:tcW w:w="2660" w:type="dxa"/>
            <w:vAlign w:val="bottom"/>
          </w:tcPr>
          <w:p>
            <w:pPr>
              <w:ind w:left="20"/>
              <w:spacing w:after="0"/>
              <w:rPr>
                <w:sz w:val="20"/>
                <w:szCs w:val="20"/>
                <w:color w:val="auto"/>
              </w:rPr>
            </w:pPr>
            <w:r>
              <w:rPr>
                <w:rFonts w:ascii="Arial" w:cs="Arial" w:eastAsia="Arial" w:hAnsi="Arial"/>
                <w:sz w:val="18"/>
                <w:szCs w:val="18"/>
                <w:color w:val="131E29"/>
              </w:rPr>
              <w:t>May 6, 2026</w:t>
            </w:r>
          </w:p>
        </w:tc>
        <w:tc>
          <w:tcPr>
            <w:tcW w:w="8580" w:type="dxa"/>
            <w:vAlign w:val="bottom"/>
            <w:gridSpan w:val="2"/>
          </w:tcPr>
          <w:p>
            <w:pPr>
              <w:ind w:left="3260"/>
              <w:spacing w:after="0"/>
              <w:rPr>
                <w:sz w:val="20"/>
                <w:szCs w:val="20"/>
                <w:color w:val="auto"/>
              </w:rPr>
            </w:pPr>
            <w:r>
              <w:rPr>
                <w:rFonts w:ascii="Arial" w:cs="Arial" w:eastAsia="Arial" w:hAnsi="Arial"/>
                <w:sz w:val="18"/>
                <w:szCs w:val="18"/>
                <w:color w:val="131E29"/>
              </w:rPr>
              <w:t>By:</w:t>
            </w:r>
          </w:p>
        </w:tc>
      </w:tr>
      <w:tr>
        <w:trPr>
          <w:trHeight w:val="243"/>
        </w:trPr>
        <w:tc>
          <w:tcPr>
            <w:tcW w:w="2660" w:type="dxa"/>
            <w:vAlign w:val="bottom"/>
            <w:tcBorders>
              <w:bottom w:val="single" w:sz="8" w:color="auto"/>
            </w:tcBorders>
          </w:tcPr>
          <w:p>
            <w:pPr>
              <w:spacing w:after="0"/>
              <w:rPr>
                <w:sz w:val="21"/>
                <w:szCs w:val="21"/>
                <w:color w:val="auto"/>
              </w:rPr>
            </w:pPr>
          </w:p>
        </w:tc>
        <w:tc>
          <w:tcPr>
            <w:tcW w:w="3800" w:type="dxa"/>
            <w:vAlign w:val="bottom"/>
          </w:tcPr>
          <w:p>
            <w:pPr>
              <w:spacing w:after="0"/>
              <w:rPr>
                <w:sz w:val="21"/>
                <w:szCs w:val="21"/>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/s/ Joshua Guenser</w:t>
            </w:r>
          </w:p>
        </w:tc>
      </w:tr>
      <w:tr>
        <w:trPr>
          <w:trHeight w:val="240"/>
        </w:trPr>
        <w:tc>
          <w:tcPr>
            <w:tcW w:w="2660" w:type="dxa"/>
            <w:vAlign w:val="bottom"/>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131E29"/>
                <w:w w:val="99"/>
              </w:rPr>
              <w:t>Joshua Guenser</w:t>
            </w:r>
          </w:p>
        </w:tc>
      </w:tr>
      <w:tr>
        <w:trPr>
          <w:trHeight w:val="432"/>
        </w:trPr>
        <w:tc>
          <w:tcPr>
            <w:tcW w:w="2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131E29"/>
              </w:rPr>
              <w:t>Chief Financial Officer</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131E29"/>
                <w:w w:val="99"/>
              </w:rPr>
              <w:t>(Principal Financial Officer)</w:t>
            </w:r>
          </w:p>
        </w:tc>
      </w:tr>
      <w:tr>
        <w:trPr>
          <w:trHeight w:val="752"/>
        </w:trPr>
        <w:tc>
          <w:tcPr>
            <w:tcW w:w="2660" w:type="dxa"/>
            <w:vAlign w:val="bottom"/>
          </w:tcPr>
          <w:p>
            <w:pPr>
              <w:ind w:left="20"/>
              <w:spacing w:after="0"/>
              <w:rPr>
                <w:sz w:val="20"/>
                <w:szCs w:val="20"/>
                <w:color w:val="auto"/>
              </w:rPr>
            </w:pPr>
            <w:r>
              <w:rPr>
                <w:rFonts w:ascii="Arial" w:cs="Arial" w:eastAsia="Arial" w:hAnsi="Arial"/>
                <w:sz w:val="18"/>
                <w:szCs w:val="18"/>
                <w:color w:val="131E29"/>
              </w:rPr>
              <w:t>May 6, 2026</w:t>
            </w:r>
          </w:p>
        </w:tc>
        <w:tc>
          <w:tcPr>
            <w:tcW w:w="8580" w:type="dxa"/>
            <w:vAlign w:val="bottom"/>
            <w:gridSpan w:val="2"/>
          </w:tcPr>
          <w:p>
            <w:pPr>
              <w:ind w:left="3260"/>
              <w:spacing w:after="0"/>
              <w:rPr>
                <w:sz w:val="20"/>
                <w:szCs w:val="20"/>
                <w:color w:val="auto"/>
              </w:rPr>
            </w:pPr>
            <w:r>
              <w:rPr>
                <w:rFonts w:ascii="Arial" w:cs="Arial" w:eastAsia="Arial" w:hAnsi="Arial"/>
                <w:sz w:val="18"/>
                <w:szCs w:val="18"/>
                <w:color w:val="131E29"/>
              </w:rPr>
              <w:t>By:</w:t>
            </w:r>
          </w:p>
        </w:tc>
      </w:tr>
      <w:tr>
        <w:trPr>
          <w:trHeight w:val="243"/>
        </w:trPr>
        <w:tc>
          <w:tcPr>
            <w:tcW w:w="2660" w:type="dxa"/>
            <w:vAlign w:val="bottom"/>
            <w:tcBorders>
              <w:bottom w:val="single" w:sz="8" w:color="auto"/>
            </w:tcBorders>
          </w:tcPr>
          <w:p>
            <w:pPr>
              <w:spacing w:after="0"/>
              <w:rPr>
                <w:sz w:val="21"/>
                <w:szCs w:val="21"/>
                <w:color w:val="auto"/>
              </w:rPr>
            </w:pPr>
          </w:p>
        </w:tc>
        <w:tc>
          <w:tcPr>
            <w:tcW w:w="3800" w:type="dxa"/>
            <w:vAlign w:val="bottom"/>
          </w:tcPr>
          <w:p>
            <w:pPr>
              <w:spacing w:after="0"/>
              <w:rPr>
                <w:sz w:val="21"/>
                <w:szCs w:val="21"/>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131E29"/>
                <w:w w:val="99"/>
              </w:rPr>
              <w:t>/s/ Nicholas Daddario</w:t>
            </w:r>
          </w:p>
        </w:tc>
      </w:tr>
      <w:tr>
        <w:trPr>
          <w:trHeight w:val="240"/>
        </w:trPr>
        <w:tc>
          <w:tcPr>
            <w:tcW w:w="2660" w:type="dxa"/>
            <w:vAlign w:val="bottom"/>
          </w:tcPr>
          <w:p>
            <w:pPr>
              <w:ind w:left="20"/>
              <w:spacing w:after="0"/>
              <w:rPr>
                <w:sz w:val="20"/>
                <w:szCs w:val="20"/>
                <w:color w:val="auto"/>
              </w:rPr>
            </w:pPr>
            <w:r>
              <w:rPr>
                <w:rFonts w:ascii="Arial" w:cs="Arial" w:eastAsia="Arial" w:hAnsi="Arial"/>
                <w:sz w:val="18"/>
                <w:szCs w:val="18"/>
                <w:color w:val="131E29"/>
              </w:rPr>
              <w:t>Date</w:t>
            </w:r>
          </w:p>
        </w:tc>
        <w:tc>
          <w:tcPr>
            <w:tcW w:w="3800" w:type="dxa"/>
            <w:vAlign w:val="bottom"/>
          </w:tcPr>
          <w:p>
            <w:pPr>
              <w:spacing w:after="0"/>
              <w:rPr>
                <w:sz w:val="20"/>
                <w:szCs w:val="20"/>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131E29"/>
                <w:w w:val="99"/>
              </w:rPr>
              <w:t>Nicholas Daddario</w:t>
            </w:r>
          </w:p>
        </w:tc>
      </w:tr>
      <w:tr>
        <w:trPr>
          <w:trHeight w:val="432"/>
        </w:trPr>
        <w:tc>
          <w:tcPr>
            <w:tcW w:w="2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780" w:type="dxa"/>
            <w:vAlign w:val="bottom"/>
          </w:tcPr>
          <w:p>
            <w:pPr>
              <w:jc w:val="center"/>
              <w:spacing w:after="0"/>
              <w:rPr>
                <w:sz w:val="20"/>
                <w:szCs w:val="20"/>
                <w:color w:val="auto"/>
              </w:rPr>
            </w:pPr>
            <w:r>
              <w:rPr>
                <w:rFonts w:ascii="Arial" w:cs="Arial" w:eastAsia="Arial" w:hAnsi="Arial"/>
                <w:sz w:val="18"/>
                <w:szCs w:val="18"/>
                <w:color w:val="131E29"/>
                <w:w w:val="99"/>
              </w:rPr>
              <w:t>Chief Accounting Officer</w:t>
            </w:r>
          </w:p>
        </w:tc>
      </w:tr>
      <w:tr>
        <w:trPr>
          <w:trHeight w:val="270"/>
        </w:trPr>
        <w:tc>
          <w:tcPr>
            <w:tcW w:w="266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4780" w:type="dxa"/>
            <w:vAlign w:val="bottom"/>
          </w:tcPr>
          <w:p>
            <w:pPr>
              <w:jc w:val="center"/>
              <w:spacing w:after="0"/>
              <w:rPr>
                <w:sz w:val="20"/>
                <w:szCs w:val="20"/>
                <w:color w:val="auto"/>
              </w:rPr>
            </w:pPr>
            <w:r>
              <w:rPr>
                <w:rFonts w:ascii="Arial" w:cs="Arial" w:eastAsia="Arial" w:hAnsi="Arial"/>
                <w:sz w:val="18"/>
                <w:szCs w:val="18"/>
                <w:i w:val="1"/>
                <w:iCs w:val="1"/>
                <w:color w:val="131E2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sz w:val="1"/>
          <w:szCs w:val="1"/>
          <w:color w:val="auto"/>
        </w:rPr>
        <w:drawing>
          <wp:inline distT="0" distB="0" distL="0" distR="0">
            <wp:extent cx="171450" cy="24003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Form 10-Q </w:t>
      </w:r>
      <w:r>
        <w:rPr>
          <w:rFonts w:ascii="Arial" w:cs="Arial" w:eastAsia="Arial" w:hAnsi="Arial"/>
          <w:sz w:val="14"/>
          <w:szCs w:val="14"/>
          <w:b w:val="1"/>
          <w:bCs w:val="1"/>
          <w:color w:val="006098"/>
        </w:rPr>
        <w:t>|</w:t>
      </w:r>
      <w:r>
        <w:rPr>
          <w:rFonts w:ascii="Arial" w:cs="Arial" w:eastAsia="Arial" w:hAnsi="Arial"/>
          <w:sz w:val="14"/>
          <w:szCs w:val="14"/>
          <w:color w:val="131E29"/>
        </w:rPr>
        <w:t xml:space="preserve"> </w:t>
      </w:r>
      <w:r>
        <w:rPr>
          <w:rFonts w:ascii="Arial" w:cs="Arial" w:eastAsia="Arial" w:hAnsi="Arial"/>
          <w:sz w:val="14"/>
          <w:szCs w:val="14"/>
          <w:b w:val="1"/>
          <w:bCs w:val="1"/>
          <w:color w:val="D7282F"/>
        </w:rPr>
        <w:t>45</w:t>
      </w:r>
    </w:p>
    <w:p>
      <w:pPr>
        <w:sectPr>
          <w:pgSz w:w="11900" w:h="16838" w:orient="portrait"/>
          <w:cols w:equalWidth="0" w:num="1">
            <w:col w:w="11240"/>
          </w:cols>
          <w:pgMar w:left="320" w:top="13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131E29"/>
        </w:rPr>
        <w:t>Exhibit 31.1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Christine Barone, certify that:</w:t>
      </w:r>
    </w:p>
    <w:p>
      <w:pPr>
        <w:spacing w:after="0" w:line="171"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March 31, 2026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6"/>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26"/>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May 6, 2026</w:t>
            </w:r>
          </w:p>
        </w:tc>
        <w:tc>
          <w:tcPr>
            <w:tcW w:w="49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3460" w:type="dxa"/>
            <w:vAlign w:val="bottom"/>
          </w:tcPr>
          <w:p>
            <w:pPr>
              <w:spacing w:after="0"/>
              <w:rPr>
                <w:sz w:val="18"/>
                <w:szCs w:val="18"/>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c>
          <w:tcPr>
            <w:tcW w:w="20" w:type="dxa"/>
            <w:vAlign w:val="bottom"/>
          </w:tcPr>
          <w:p>
            <w:pPr>
              <w:spacing w:after="0"/>
              <w:rPr>
                <w:sz w:val="18"/>
                <w:szCs w:val="18"/>
                <w:color w:val="auto"/>
              </w:rPr>
            </w:pPr>
          </w:p>
        </w:tc>
      </w:tr>
      <w:tr>
        <w:trPr>
          <w:trHeight w:val="232"/>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20" w:type="dxa"/>
            <w:vAlign w:val="bottom"/>
            <w:gridSpan w:val="2"/>
          </w:tcPr>
          <w:p>
            <w:pPr>
              <w:jc w:val="center"/>
              <w:ind w:right="2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1074"/>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20" w:type="dxa"/>
            <w:vAlign w:val="bottom"/>
            <w:gridSpan w:val="2"/>
          </w:tcPr>
          <w:p>
            <w:pPr>
              <w:ind w:left="308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-306705</wp:posOffset>
            </wp:positionV>
            <wp:extent cx="171450" cy="2400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131E29"/>
        </w:rPr>
        <w:t>Exhibit 31.2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131E29"/>
        </w:rPr>
        <w:t>I, Joshua Guenser, certify that:</w:t>
      </w:r>
    </w:p>
    <w:p>
      <w:pPr>
        <w:spacing w:after="0" w:line="252"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I have reviewed this Quarterly Report on Form 10-Q for the period ended March 31, 2026 of Dutch Bros Inc.;</w:t>
      </w:r>
    </w:p>
    <w:p>
      <w:pPr>
        <w:spacing w:after="0" w:line="117"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131E29"/>
        </w:rPr>
      </w:pPr>
    </w:p>
    <w:p>
      <w:pPr>
        <w:jc w:val="both"/>
        <w:ind w:left="660" w:hanging="328"/>
        <w:spacing w:after="0" w:line="292"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4"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131E29"/>
        </w:rPr>
      </w:pPr>
    </w:p>
    <w:p>
      <w:pPr>
        <w:jc w:val="both"/>
        <w:ind w:left="660" w:hanging="328"/>
        <w:spacing w:after="0" w:line="268" w:lineRule="auto"/>
        <w:tabs>
          <w:tab w:leader="none" w:pos="648" w:val="left"/>
        </w:tabs>
        <w:numPr>
          <w:ilvl w:val="0"/>
          <w:numId w:val="27"/>
        </w:numPr>
        <w:rPr>
          <w:rFonts w:ascii="Arial" w:cs="Arial" w:eastAsia="Arial" w:hAnsi="Arial"/>
          <w:sz w:val="18"/>
          <w:szCs w:val="18"/>
          <w:color w:val="131E29"/>
        </w:rPr>
      </w:pPr>
      <w:r>
        <w:rPr>
          <w:rFonts w:ascii="Arial" w:cs="Arial" w:eastAsia="Arial" w:hAnsi="Arial"/>
          <w:sz w:val="18"/>
          <w:szCs w:val="18"/>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131E29"/>
        </w:rPr>
      </w:pPr>
    </w:p>
    <w:p>
      <w:pPr>
        <w:jc w:val="both"/>
        <w:ind w:left="980" w:hanging="324"/>
        <w:spacing w:after="0" w:line="268"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131E29"/>
        </w:rPr>
      </w:pPr>
    </w:p>
    <w:p>
      <w:pPr>
        <w:ind w:left="980" w:hanging="324"/>
        <w:spacing w:after="0" w:line="287" w:lineRule="auto"/>
        <w:tabs>
          <w:tab w:leader="none" w:pos="970" w:val="left"/>
        </w:tabs>
        <w:numPr>
          <w:ilvl w:val="1"/>
          <w:numId w:val="27"/>
        </w:numPr>
        <w:rPr>
          <w:rFonts w:ascii="Arial" w:cs="Arial" w:eastAsia="Arial" w:hAnsi="Arial"/>
          <w:sz w:val="18"/>
          <w:szCs w:val="18"/>
          <w:color w:val="131E29"/>
        </w:rPr>
      </w:pPr>
      <w:r>
        <w:rPr>
          <w:rFonts w:ascii="Arial" w:cs="Arial" w:eastAsia="Arial" w:hAnsi="Arial"/>
          <w:sz w:val="18"/>
          <w:szCs w:val="18"/>
          <w:color w:val="131E29"/>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May 6, 2026</w:t>
            </w:r>
          </w:p>
        </w:tc>
        <w:tc>
          <w:tcPr>
            <w:tcW w:w="5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/s/ Joshua Guenser</w:t>
            </w:r>
          </w:p>
        </w:tc>
      </w:tr>
      <w:tr>
        <w:trPr>
          <w:trHeight w:val="218"/>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18"/>
                <w:szCs w:val="18"/>
                <w:color w:val="auto"/>
              </w:rPr>
            </w:pPr>
          </w:p>
        </w:tc>
        <w:tc>
          <w:tcPr>
            <w:tcW w:w="5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Joshua Guenser</w:t>
            </w:r>
          </w:p>
        </w:tc>
        <w:tc>
          <w:tcPr>
            <w:tcW w:w="60" w:type="dxa"/>
            <w:vAlign w:val="bottom"/>
          </w:tcPr>
          <w:p>
            <w:pPr>
              <w:spacing w:after="0"/>
              <w:rPr>
                <w:sz w:val="18"/>
                <w:szCs w:val="18"/>
                <w:color w:val="auto"/>
              </w:rPr>
            </w:pPr>
          </w:p>
        </w:tc>
      </w:tr>
      <w:tr>
        <w:trPr>
          <w:trHeight w:val="231"/>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7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720" w:type="dxa"/>
            <w:vAlign w:val="bottom"/>
            <w:gridSpan w:val="2"/>
          </w:tcPr>
          <w:p>
            <w:pPr>
              <w:jc w:val="center"/>
              <w:ind w:right="80"/>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1061"/>
        </w:trPr>
        <w:tc>
          <w:tcPr>
            <w:tcW w:w="2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20" w:type="dxa"/>
            <w:vAlign w:val="bottom"/>
            <w:gridSpan w:val="2"/>
          </w:tcPr>
          <w:p>
            <w:pPr>
              <w:ind w:left="3900"/>
              <w:spacing w:after="0"/>
              <w:rPr>
                <w:sz w:val="20"/>
                <w:szCs w:val="20"/>
                <w:color w:val="auto"/>
              </w:rPr>
            </w:pP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-298450</wp:posOffset>
            </wp:positionV>
            <wp:extent cx="171450" cy="2400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16B"/>
        </w:rPr>
        <w:t>DUTCH BROS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131E29"/>
        </w:rPr>
        <w:t>THE SARBANES-OXLEY ACT OF 2002</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In connection with the Quarterly Report of Dutch Bros Inc. (the Company) on Form 10-Q for the period ended March 31, 2026,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spacing w:after="0" w:line="20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the Report fully complies with the requirements of Section 13(a) or Section 15(d) of the Securities Exchange Act of 1934; and</w:t>
      </w:r>
    </w:p>
    <w:p>
      <w:pPr>
        <w:spacing w:after="0" w:line="27" w:lineRule="exact"/>
        <w:rPr>
          <w:rFonts w:ascii="Arial" w:cs="Arial" w:eastAsia="Arial" w:hAnsi="Arial"/>
          <w:sz w:val="18"/>
          <w:szCs w:val="18"/>
          <w:color w:val="131E29"/>
        </w:rPr>
      </w:pPr>
    </w:p>
    <w:p>
      <w:pPr>
        <w:ind w:left="660" w:hanging="328"/>
        <w:spacing w:after="0" w:line="266" w:lineRule="auto"/>
        <w:tabs>
          <w:tab w:leader="none" w:pos="648" w:val="left"/>
        </w:tabs>
        <w:numPr>
          <w:ilvl w:val="0"/>
          <w:numId w:val="28"/>
        </w:numPr>
        <w:rPr>
          <w:rFonts w:ascii="Arial" w:cs="Arial" w:eastAsia="Arial" w:hAnsi="Arial"/>
          <w:sz w:val="18"/>
          <w:szCs w:val="18"/>
          <w:color w:val="131E29"/>
        </w:rPr>
      </w:pPr>
      <w:r>
        <w:rPr>
          <w:rFonts w:ascii="Arial" w:cs="Arial" w:eastAsia="Arial" w:hAnsi="Arial"/>
          <w:sz w:val="18"/>
          <w:szCs w:val="18"/>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May 6, 2026</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Christine Barone</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Christine Barone</w:t>
            </w:r>
          </w:p>
        </w:tc>
      </w:tr>
      <w:tr>
        <w:trPr>
          <w:trHeight w:val="232"/>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Executive Officer and President</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May 6, 2026</w:t>
            </w:r>
          </w:p>
        </w:tc>
        <w:tc>
          <w:tcPr>
            <w:tcW w:w="5680" w:type="dxa"/>
            <w:vAlign w:val="bottom"/>
          </w:tcPr>
          <w:p>
            <w:pPr>
              <w:jc w:val="center"/>
              <w:spacing w:after="0"/>
              <w:rPr>
                <w:sz w:val="20"/>
                <w:szCs w:val="20"/>
                <w:color w:val="auto"/>
              </w:rPr>
            </w:pPr>
            <w:r>
              <w:rPr>
                <w:rFonts w:ascii="Arial" w:cs="Arial" w:eastAsia="Arial" w:hAnsi="Arial"/>
                <w:sz w:val="18"/>
                <w:szCs w:val="18"/>
                <w:b w:val="1"/>
                <w:bCs w:val="1"/>
                <w:color w:val="auto"/>
                <w:w w:val="99"/>
              </w:rPr>
              <w:t>/s/ Joshua Guenser</w:t>
            </w:r>
          </w:p>
        </w:tc>
      </w:tr>
      <w:tr>
        <w:trPr>
          <w:trHeight w:val="21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18"/>
                <w:szCs w:val="18"/>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Joshua Guenser</w:t>
            </w:r>
          </w:p>
        </w:tc>
      </w:tr>
      <w:tr>
        <w:trPr>
          <w:trHeight w:val="231"/>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r>
      <w:tr>
        <w:trPr>
          <w:trHeight w:val="237"/>
        </w:trPr>
        <w:tc>
          <w:tcPr>
            <w:tcW w:w="28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Officer)</w:t>
            </w:r>
          </w:p>
        </w:tc>
      </w:tr>
    </w:tbl>
    <w:p>
      <w:pPr>
        <w:spacing w:after="0" w:line="3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160"/>
        <w:spacing w:after="0"/>
        <w:rPr>
          <w:sz w:val="20"/>
          <w:szCs w:val="20"/>
          <w:color w:val="auto"/>
        </w:rPr>
      </w:pPr>
      <w:r>
        <w:rPr>
          <w:sz w:val="1"/>
          <w:szCs w:val="1"/>
          <w:color w:val="auto"/>
        </w:rPr>
        <w:drawing>
          <wp:inline distT="0" distB="0" distL="0" distR="0">
            <wp:extent cx="171450" cy="24003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171450" cy="240030"/>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32.1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24"/>
    </w:lvl>
  </w:abstractNum>
  <w:abstractNum w:abstractNumId="3">
    <w:nsid w:val="6B68079A"/>
    <w:multiLevelType w:val="hybridMultilevel"/>
    <w:lvl w:ilvl="0">
      <w:lvlJc w:val="left"/>
      <w:lvlText w:val="(%1)"/>
      <w:numFmt w:val="decimal"/>
      <w:start w:val="81"/>
    </w:lvl>
  </w:abstractNum>
  <w:abstractNum w:abstractNumId="4">
    <w:nsid w:val="4E6AFB66"/>
    <w:multiLevelType w:val="hybridMultilevel"/>
    <w:lvl w:ilvl="0">
      <w:lvlJc w:val="left"/>
      <w:lvlText w:val="1"/>
      <w:numFmt w:val="bullet"/>
      <w:start w:val="1"/>
    </w:lvl>
  </w:abstractNum>
  <w:abstractNum w:abstractNumId="5">
    <w:nsid w:val="25E45D32"/>
    <w:multiLevelType w:val="hybridMultilevel"/>
    <w:lvl w:ilvl="0">
      <w:lvlJc w:val="left"/>
      <w:lvlText w:val="1"/>
      <w:numFmt w:val="bullet"/>
      <w:start w:val="1"/>
    </w:lvl>
  </w:abstractNum>
  <w:abstractNum w:abstractNumId="6">
    <w:nsid w:val="519B500D"/>
    <w:multiLevelType w:val="hybridMultilevel"/>
    <w:lvl w:ilvl="0">
      <w:lvlJc w:val="left"/>
      <w:lvlText w:val="2"/>
      <w:numFmt w:val="bullet"/>
      <w:start w:val="1"/>
    </w:lvl>
  </w:abstractNum>
  <w:abstractNum w:abstractNumId="7">
    <w:nsid w:val="431BD7B7"/>
    <w:multiLevelType w:val="hybridMultilevel"/>
    <w:lvl w:ilvl="0">
      <w:lvlJc w:val="left"/>
      <w:lvlText w:val="1"/>
      <w:numFmt w:val="bullet"/>
      <w:start w:val="1"/>
    </w:lvl>
  </w:abstractNum>
  <w:abstractNum w:abstractNumId="8">
    <w:nsid w:val="3F2DBA31"/>
    <w:multiLevelType w:val="hybridMultilevel"/>
    <w:lvl w:ilvl="0">
      <w:lvlJc w:val="left"/>
      <w:lvlText w:val="1"/>
      <w:numFmt w:val="bullet"/>
      <w:start w:val="1"/>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1"/>
      <w:numFmt w:val="bullet"/>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1"/>
      <w:numFmt w:val="bullet"/>
      <w:start w:val="1"/>
    </w:lvl>
  </w:abstractNum>
  <w:abstractNum w:abstractNumId="13">
    <w:nsid w:val="628C895D"/>
    <w:multiLevelType w:val="hybridMultilevel"/>
    <w:lvl w:ilvl="0">
      <w:lvlJc w:val="left"/>
      <w:lvlText w:val="1"/>
      <w:numFmt w:val="bullet"/>
      <w:start w:val="1"/>
    </w:lvl>
  </w:abstractNum>
  <w:abstractNum w:abstractNumId="14">
    <w:nsid w:val="333AB105"/>
    <w:multiLevelType w:val="hybridMultilevel"/>
    <w:lvl w:ilvl="0">
      <w:lvlJc w:val="left"/>
      <w:lvlText w:val="%1"/>
      <w:numFmt w:val="decimal"/>
      <w:start w:val="18"/>
    </w:lvl>
  </w:abstractNum>
  <w:abstractNum w:abstractNumId="15">
    <w:nsid w:val="721DA317"/>
    <w:multiLevelType w:val="hybridMultilevel"/>
    <w:lvl w:ilvl="0">
      <w:lvlJc w:val="left"/>
      <w:lvlText w:val="%1"/>
      <w:numFmt w:val="decimal"/>
      <w:start w:val="290"/>
    </w:lvl>
  </w:abstractNum>
  <w:abstractNum w:abstractNumId="16">
    <w:nsid w:val="2443A858"/>
    <w:multiLevelType w:val="hybridMultilevel"/>
    <w:lvl w:ilvl="0">
      <w:lvlJc w:val="left"/>
      <w:lvlText w:val="1"/>
      <w:numFmt w:val="bullet"/>
      <w:start w:val="1"/>
    </w:lvl>
  </w:abstractNum>
  <w:abstractNum w:abstractNumId="17">
    <w:nsid w:val="2D1D5AE9"/>
    <w:multiLevelType w:val="hybridMultilevel"/>
    <w:lvl w:ilvl="0">
      <w:lvlJc w:val="left"/>
      <w:lvlText w:val="1"/>
      <w:numFmt w:val="bullet"/>
      <w:start w:val="1"/>
    </w:lvl>
  </w:abstractNum>
  <w:abstractNum w:abstractNumId="18">
    <w:nsid w:val="6763845E"/>
    <w:multiLevelType w:val="hybridMultilevel"/>
    <w:lvl w:ilvl="0">
      <w:lvlJc w:val="left"/>
      <w:lvlText w:val="1"/>
      <w:numFmt w:val="bullet"/>
      <w:start w:val="1"/>
    </w:lvl>
  </w:abstractNum>
  <w:abstractNum w:abstractNumId="19">
    <w:nsid w:val="75A2A8D4"/>
    <w:multiLevelType w:val="hybridMultilevel"/>
    <w:lvl w:ilvl="0">
      <w:lvlJc w:val="left"/>
      <w:lvlText w:val="2"/>
      <w:numFmt w:val="bullet"/>
      <w:start w:val="1"/>
    </w:lvl>
  </w:abstractNum>
  <w:abstractNum w:abstractNumId="20">
    <w:nsid w:val="8EDBDAB"/>
    <w:multiLevelType w:val="hybridMultilevel"/>
    <w:lvl w:ilvl="0">
      <w:lvlJc w:val="left"/>
      <w:lvlText w:val="3"/>
      <w:numFmt w:val="bullet"/>
      <w:start w:val="1"/>
    </w:lvl>
  </w:abstractNum>
  <w:abstractNum w:abstractNumId="21">
    <w:nsid w:val="79838CB2"/>
    <w:multiLevelType w:val="hybridMultilevel"/>
    <w:lvl w:ilvl="0">
      <w:lvlJc w:val="left"/>
      <w:lvlText w:val="4"/>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5" Type="http://schemas.openxmlformats.org/officeDocument/2006/relationships/image" Target="media/image185.jpe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jpeg"/><Relationship Id="rId199" Type="http://schemas.openxmlformats.org/officeDocument/2006/relationships/image" Target="media/image189.jpeg"/><Relationship Id="rId200" Type="http://schemas.openxmlformats.org/officeDocument/2006/relationships/image" Target="media/image190.jpeg"/><Relationship Id="rId201" Type="http://schemas.openxmlformats.org/officeDocument/2006/relationships/image" Target="media/image191.jpeg"/><Relationship Id="rId192" Type="http://schemas.openxmlformats.org/officeDocument/2006/relationships/hyperlink" Target="https://www.sec.gov/Archives/edgar/data/0001866581/000162828021018861/exhibit31-8xk.htm" TargetMode="External"/><Relationship Id="rId193" Type="http://schemas.openxmlformats.org/officeDocument/2006/relationships/hyperlink" Target="https://www.sec.gov/Archives/edgar/data/1866581/000162828021017441/exhibit34-sx1.htm" TargetMode="External"/><Relationship Id="rId194" Type="http://schemas.openxmlformats.org/officeDocument/2006/relationships/hyperlink" Target="https://www.sec.gov/Archives/edgar/data/0001866581/000162828021018116/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2026-05-06T16:26:40Z</dcterms:created>
  <dcterms:modified xsi:type="dcterms:W3CDTF">2026-05-06T16:26:40Z</dcterms:modified>
</cp:coreProperties>
</file>