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05.jpeg" ContentType="image/jpeg"/>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60.jpeg" ContentType="image/jpeg"/>
  <Override PartName="/word/media/image61.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lineRule="auto" w:line="288" w:before="0" w:after="0"/>
        <w:rPr>
          <w:rFonts w:ascii="Arial;sans-serif" w:hAnsi="Arial;sans-serif"/>
          <w:b/>
          <w:color w:val="131E29"/>
          <w:sz w:val="20"/>
        </w:rPr>
      </w:pPr>
      <w:r>
        <w:rPr>
          <w:rFonts w:ascii="Arial;sans-serif" w:hAnsi="Arial;sans-serif"/>
          <w:b/>
          <w:color w:val="131E29"/>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color w:val="131E29"/>
              </w:rPr>
            </w:pPr>
            <w:r>
              <w:rPr>
                <w:color w:val="131E29"/>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color w:val="131E29"/>
                <w:sz w:val="20"/>
              </w:rPr>
            </w:pPr>
            <w:r>
              <w:rPr>
                <w:rFonts w:ascii="Arial;sans-serif" w:hAnsi="Arial;sans-serif"/>
                <w:b/>
                <w:color w:val="131E29"/>
                <w:sz w:val="20"/>
              </w:rPr>
              <w:t>QUARTERLY REPORT PURSUANT TO SECTION 13 OR 15(d) OF THE SECURITIES EXCHANGE ACT OF 1934</w:t>
            </w:r>
          </w:p>
        </w:tc>
      </w:tr>
    </w:tbl>
    <w:p>
      <w:pPr>
        <w:pStyle w:val="TextBody"/>
        <w:spacing w:lineRule="auto" w:line="288" w:before="0" w:after="180"/>
        <w:jc w:val="center"/>
        <w:rPr>
          <w:rFonts w:ascii="Arial;sans-serif" w:hAnsi="Arial;sans-serif"/>
          <w:b/>
          <w:color w:val="131E29"/>
          <w:sz w:val="20"/>
        </w:rPr>
      </w:pPr>
      <w:r>
        <w:rPr>
          <w:rFonts w:ascii="Arial;sans-serif" w:hAnsi="Arial;sans-serif"/>
          <w:b/>
          <w:color w:val="131E29"/>
          <w:sz w:val="20"/>
        </w:rPr>
        <w:t>For the Quarterly Period ended March 31, 2022</w:t>
      </w:r>
    </w:p>
    <w:p>
      <w:pPr>
        <w:pStyle w:val="TextBody"/>
        <w:spacing w:lineRule="auto" w:line="288" w:before="0" w:after="180"/>
        <w:jc w:val="center"/>
        <w:rPr>
          <w:rFonts w:ascii="Arial;sans-serif" w:hAnsi="Arial;sans-serif"/>
          <w:b/>
          <w:color w:val="131E29"/>
          <w:sz w:val="20"/>
        </w:rPr>
      </w:pPr>
      <w:r>
        <w:rPr>
          <w:rFonts w:ascii="Arial;sans-serif" w:hAnsi="Arial;sans-serif"/>
          <w:b/>
          <w:color w:val="131E29"/>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color w:val="131E29"/>
              </w:rPr>
            </w:pPr>
            <w:r>
              <w:rPr>
                <w:color w:val="131E29"/>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before="0" w:after="0"/>
        <w:jc w:val="center"/>
        <w:rPr/>
      </w:pPr>
      <w:r>
        <w:rPr/>
        <w:drawing>
          <wp:inline distT="0" distB="6350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p>
    <w:p>
      <w:pPr>
        <w:pStyle w:val="TextBody"/>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6007" w:type="dxa"/>
        <w:jc w:val="center"/>
        <w:tblInd w:w="0" w:type="dxa"/>
        <w:tblCellMar>
          <w:top w:w="28" w:type="dxa"/>
          <w:left w:w="28" w:type="dxa"/>
          <w:bottom w:w="28" w:type="dxa"/>
          <w:right w:w="28" w:type="dxa"/>
        </w:tblCellMar>
      </w:tblPr>
      <w:tblGrid>
        <w:gridCol w:w="289"/>
        <w:gridCol w:w="253"/>
        <w:gridCol w:w="253"/>
        <w:gridCol w:w="468"/>
        <w:gridCol w:w="468"/>
        <w:gridCol w:w="468"/>
        <w:gridCol w:w="270"/>
        <w:gridCol w:w="270"/>
        <w:gridCol w:w="287"/>
        <w:gridCol w:w="109"/>
        <w:gridCol w:w="109"/>
        <w:gridCol w:w="109"/>
        <w:gridCol w:w="775"/>
        <w:gridCol w:w="775"/>
        <w:gridCol w:w="1104"/>
      </w:tblGrid>
      <w:tr>
        <w:trPr/>
        <w:tc>
          <w:tcPr>
            <w:tcW w:w="28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87-1041305</w:t>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20"/>
              </w:rPr>
            </w:pPr>
            <w:r>
              <w:rPr>
                <w:rFonts w:ascii="Arial;sans-serif" w:hAnsi="Arial;sans-serif"/>
                <w:b/>
                <w:color w:val="131E29"/>
                <w:sz w:val="20"/>
              </w:rPr>
              <w:t>110 SW 4th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131E29"/>
                <w:sz w:val="20"/>
              </w:rPr>
            </w:pPr>
            <w:r>
              <w:rPr>
                <w:rFonts w:ascii="Arial;sans-serif" w:hAnsi="Arial;sans-serif"/>
                <w:b/>
                <w:color w:val="131E29"/>
                <w:sz w:val="20"/>
              </w:rPr>
              <w:t xml:space="preserve">Grants Pass, </w:t>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Oregon</w:t>
            </w:r>
          </w:p>
        </w:tc>
        <w:tc>
          <w:tcPr>
            <w:tcW w:w="327" w:type="dxa"/>
            <w:gridSpan w:val="3"/>
            <w:tcBorders/>
            <w:shd w:fill="auto" w:val="clear"/>
            <w:tcMar>
              <w:top w:w="0" w:type="dxa"/>
              <w:left w:w="0" w:type="dxa"/>
              <w:bottom w:w="0" w:type="dxa"/>
              <w:right w:w="0" w:type="dxa"/>
            </w:tcMar>
            <w:vAlign w:val="center"/>
          </w:tcPr>
          <w:p>
            <w:pPr>
              <w:pStyle w:val="TableContents"/>
              <w:spacing w:before="0" w:after="180"/>
              <w:jc w:val="center"/>
              <w:rPr/>
            </w:pPr>
            <w:r>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97526</w:t>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spacing w:lineRule="auto" w:line="288" w:before="0" w:after="0"/>
        <w:jc w:val="center"/>
        <w:rPr>
          <w:rFonts w:ascii="Arial;sans-serif" w:hAnsi="Arial;sans-serif"/>
          <w:b/>
          <w:color w:val="131E29"/>
          <w:sz w:val="20"/>
        </w:rPr>
      </w:pPr>
      <w:r>
        <w:rPr>
          <w:rFonts w:ascii="Arial;sans-serif" w:hAnsi="Arial;sans-serif"/>
          <w:b/>
          <w:color w:val="131E29"/>
          <w:sz w:val="20"/>
        </w:rPr>
        <w:t>(541) 955-4700</w:t>
      </w:r>
    </w:p>
    <w:p>
      <w:pPr>
        <w:pStyle w:val="TextBody"/>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before="0" w:after="0"/>
        <w:rPr/>
      </w:pPr>
      <w:r>
        <w:rPr/>
      </w:r>
    </w:p>
    <w:p>
      <w:pPr>
        <w:pStyle w:val="TextBody"/>
        <w:spacing w:lineRule="auto" w:line="288" w:before="0" w:after="180"/>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CellMar>
          <w:top w:w="28" w:type="dxa"/>
          <w:left w:w="28" w:type="dxa"/>
          <w:bottom w:w="28" w:type="dxa"/>
          <w:right w:w="28" w:type="dxa"/>
        </w:tblCellMar>
      </w:tblPr>
      <w:tblGrid>
        <w:gridCol w:w="954"/>
        <w:gridCol w:w="841"/>
        <w:gridCol w:w="845"/>
        <w:gridCol w:w="534"/>
        <w:gridCol w:w="534"/>
        <w:gridCol w:w="536"/>
        <w:gridCol w:w="1128"/>
        <w:gridCol w:w="1128"/>
        <w:gridCol w:w="1598"/>
      </w:tblGrid>
      <w:tr>
        <w:trPr/>
        <w:tc>
          <w:tcPr>
            <w:tcW w:w="95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Name of Exchange on which Registered</w:t>
            </w:r>
          </w:p>
        </w:tc>
      </w:tr>
      <w:tr>
        <w:trPr/>
        <w:tc>
          <w:tcPr>
            <w:tcW w:w="26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Class A Common Stock, </w:t>
              <w:br/>
              <w:t>par value $0.00001 per share</w:t>
            </w:r>
          </w:p>
        </w:tc>
        <w:tc>
          <w:tcPr>
            <w:tcW w:w="16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spacing w:before="0" w:after="0"/>
        <w:jc w:val="center"/>
        <w:rPr/>
      </w:pPr>
      <w:r>
        <w:rPr/>
      </w:r>
    </w:p>
    <w:p>
      <w:pPr>
        <w:pStyle w:val="TextBody"/>
        <w:spacing w:lineRule="auto" w:line="288" w:before="0" w:after="0"/>
        <w:jc w:val="both"/>
        <w:rPr/>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spacing w:before="0" w:after="180"/>
        <w:rPr/>
      </w:pPr>
      <w:r>
        <w:rPr/>
      </w:r>
    </w:p>
    <w:p>
      <w:pPr>
        <w:pStyle w:val="TextBody"/>
        <w:spacing w:lineRule="auto" w:line="288" w:before="0" w:after="180"/>
        <w:jc w:val="both"/>
        <w:rPr/>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r>
    </w:tbl>
    <w:p>
      <w:pPr>
        <w:pStyle w:val="TextBody"/>
        <w:spacing w:lineRule="auto" w:line="288" w:before="0" w:after="180"/>
        <w:jc w:val="both"/>
        <w:rPr/>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31E29"/>
          <w:sz w:val="20"/>
        </w:rPr>
        <w:t>o</w:t>
      </w:r>
    </w:p>
    <w:p>
      <w:pPr>
        <w:pStyle w:val="TextBody"/>
        <w:spacing w:lineRule="auto" w:line="288" w:before="0" w:after="180"/>
        <w:jc w:val="both"/>
        <w:rPr/>
      </w:pPr>
      <w:r>
        <w:rPr>
          <w:rFonts w:ascii="Arial;sans-serif" w:hAnsi="Arial;sans-serif"/>
          <w:b w:val="false"/>
          <w:color w:val="131E29"/>
          <w:sz w:val="20"/>
        </w:rPr>
        <w:t>Indicate by check mark whether the registrant is a shell company (as defined in Rule 12b-2 of the Act). Yes  </w:t>
      </w:r>
      <w:r>
        <w:rPr>
          <w:rFonts w:ascii="Wingdings;sans-serif" w:hAnsi="Wingdings;sans-serif"/>
          <w:b w:val="false"/>
          <w:color w:val="131E29"/>
          <w:sz w:val="20"/>
        </w:rPr>
        <w:t>o</w:t>
      </w:r>
      <w:r>
        <w:rPr>
          <w:color w:val="131E29"/>
        </w:rPr>
        <w:t>  </w:t>
      </w:r>
      <w:r>
        <w:rPr>
          <w:rFonts w:ascii="Arial;sans-serif" w:hAnsi="Arial;sans-serif"/>
          <w:b w:val="false"/>
          <w:color w:val="131E29"/>
          <w:sz w:val="20"/>
        </w:rPr>
        <w:t>No  </w:t>
      </w:r>
      <w:r>
        <w:rPr>
          <w:rFonts w:ascii="Wingdings;sans-serif" w:hAnsi="Wingdings;sans-serif"/>
          <w:b w:val="false"/>
          <w:color w:val="131E29"/>
          <w:sz w:val="20"/>
        </w:rPr>
        <w:t>x</w:t>
      </w:r>
    </w:p>
    <w:p>
      <w:pPr>
        <w:pStyle w:val="TextBody"/>
        <w:spacing w:lineRule="auto" w:line="288" w:before="0" w:after="0"/>
        <w:rPr>
          <w:rFonts w:ascii="Arial;sans-serif" w:hAnsi="Arial;sans-serif"/>
          <w:b w:val="false"/>
          <w:color w:val="131E29"/>
          <w:sz w:val="20"/>
        </w:rPr>
      </w:pPr>
      <w:r>
        <w:rPr>
          <w:rFonts w:ascii="Arial;sans-serif" w:hAnsi="Arial;sans-serif"/>
          <w:b w:val="false"/>
          <w:color w:val="131E29"/>
          <w:sz w:val="20"/>
        </w:rPr>
        <w:t>As of May 9, 2022, the registrant’s outstanding shares of common stock were as follows:</w:t>
      </w:r>
    </w:p>
    <w:p>
      <w:pPr>
        <w:pStyle w:val="TextBody"/>
        <w:spacing w:before="0" w:after="0"/>
        <w:jc w:val="center"/>
        <w:rPr/>
      </w:pPr>
      <w:r>
        <w:rPr/>
      </w:r>
    </w:p>
    <w:tbl>
      <w:tblPr>
        <w:tblW w:w="3271" w:type="dxa"/>
        <w:jc w:val="center"/>
        <w:tblInd w:w="0" w:type="dxa"/>
        <w:tblCellMar>
          <w:top w:w="28" w:type="dxa"/>
          <w:left w:w="28" w:type="dxa"/>
          <w:bottom w:w="28" w:type="dxa"/>
          <w:right w:w="28" w:type="dxa"/>
        </w:tblCellMar>
      </w:tblPr>
      <w:tblGrid>
        <w:gridCol w:w="781"/>
        <w:gridCol w:w="687"/>
        <w:gridCol w:w="692"/>
        <w:gridCol w:w="325"/>
        <w:gridCol w:w="325"/>
        <w:gridCol w:w="461"/>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r>
          </w:p>
        </w:tc>
        <w:tc>
          <w:tcPr>
            <w:tcW w:w="111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39,556,909</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B common stock</w:t>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64,699,136</w:t>
            </w:r>
          </w:p>
        </w:tc>
      </w:tr>
      <w:tr>
        <w:trPr/>
        <w:tc>
          <w:tcPr>
            <w:tcW w:w="216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C common stock</w:t>
            </w:r>
          </w:p>
        </w:tc>
        <w:tc>
          <w:tcPr>
            <w:tcW w:w="111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45,385,636</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D common stock</w:t>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14,061,817</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before="0" w:after="180"/>
        <w:rPr/>
      </w:pPr>
      <w:r>
        <w:rPr/>
      </w: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20"/>
        <w:jc w:val="center"/>
        <w:rPr>
          <w:rFonts w:ascii="Arial;sans-serif" w:hAnsi="Arial;sans-serif"/>
          <w:b w:val="false"/>
          <w:color w:val="131E29"/>
          <w:sz w:val="20"/>
        </w:rPr>
      </w:pPr>
      <w:r>
        <w:rPr>
          <w:rFonts w:ascii="Arial;sans-serif" w:hAnsi="Arial;sans-serif"/>
          <w:b w:val="false"/>
          <w:color w:val="131E29"/>
          <w:sz w:val="20"/>
        </w:rPr>
        <w:t>QUARTERLY REPORT ON FORM 10-Q</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TABLE OF CONTENTS</w:t>
      </w:r>
    </w:p>
    <w:tbl>
      <w:tblPr>
        <w:tblW w:w="8272" w:type="dxa"/>
        <w:jc w:val="left"/>
        <w:tblInd w:w="0" w:type="dxa"/>
        <w:tblCellMar>
          <w:top w:w="28" w:type="dxa"/>
          <w:left w:w="28" w:type="dxa"/>
          <w:bottom w:w="28" w:type="dxa"/>
          <w:right w:w="28" w:type="dxa"/>
        </w:tblCellMar>
      </w:tblPr>
      <w:tblGrid>
        <w:gridCol w:w="483"/>
        <w:gridCol w:w="422"/>
        <w:gridCol w:w="422"/>
        <w:gridCol w:w="2079"/>
        <w:gridCol w:w="2079"/>
        <w:gridCol w:w="2171"/>
        <w:gridCol w:w="180"/>
        <w:gridCol w:w="180"/>
        <w:gridCol w:w="256"/>
      </w:tblGrid>
      <w:tr>
        <w:trPr/>
        <w:tc>
          <w:tcPr>
            <w:tcW w:w="483"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079" w:type="dxa"/>
            <w:tcBorders/>
            <w:shd w:fill="auto" w:val="clear"/>
            <w:vAlign w:val="center"/>
          </w:tcPr>
          <w:p>
            <w:pPr>
              <w:pStyle w:val="TableContents"/>
              <w:spacing w:before="0" w:after="283"/>
              <w:rPr>
                <w:sz w:val="4"/>
                <w:szCs w:val="4"/>
              </w:rPr>
            </w:pPr>
            <w:r>
              <w:rPr>
                <w:sz w:val="4"/>
                <w:szCs w:val="4"/>
              </w:rPr>
            </w:r>
          </w:p>
        </w:tc>
        <w:tc>
          <w:tcPr>
            <w:tcW w:w="2079"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6"/>
            <w:tcBorders>
              <w:bottom w:val="single" w:sz="8" w:space="0" w:color="D2DCE5"/>
            </w:tcBorders>
            <w:shd w:fill="auto" w:val="clear"/>
            <w:tcMar>
              <w:top w:w="0" w:type="dxa"/>
              <w:left w:w="0" w:type="dxa"/>
              <w:bottom w:w="30" w:type="dxa"/>
              <w:right w:w="0" w:type="dxa"/>
            </w:tcMar>
            <w:vAlign w:val="center"/>
          </w:tcPr>
          <w:p>
            <w:pPr>
              <w:pStyle w:val="TableContents"/>
              <w:spacing w:lineRule="auto" w:line="288" w:before="0" w:after="180"/>
              <w:jc w:val="left"/>
              <w:rPr/>
            </w:pPr>
            <w:hyperlink w:anchor="i08d36940599d4c4a854e086ebf05d520_22">
              <w:r>
                <w:rPr>
                  <w:rStyle w:val="InternetLink"/>
                  <w:rFonts w:ascii="Arial;sans-serif" w:hAnsi="Arial;sans-serif"/>
                  <w:b w:val="false"/>
                  <w:strike w:val="false"/>
                  <w:dstrike w:val="false"/>
                  <w:color w:val="131E29"/>
                  <w:sz w:val="20"/>
                  <w:u w:val="none"/>
                  <w:effect w:val="none"/>
                </w:rPr>
                <w:t>Glossary</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1929">
              <w:r>
                <w:rPr>
                  <w:rStyle w:val="InternetLink"/>
                  <w:rFonts w:ascii="Arial;sans-serif" w:hAnsi="Arial;sans-serif"/>
                  <w:b w:val="false"/>
                  <w:strike w:val="false"/>
                  <w:dstrike w:val="false"/>
                  <w:color w:val="131E29"/>
                  <w:sz w:val="20"/>
                  <w:u w:val="none"/>
                  <w:effect w:val="none"/>
                </w:rPr>
                <w:t>1</w:t>
              </w:r>
            </w:hyperlink>
          </w:p>
        </w:tc>
      </w:tr>
      <w:tr>
        <w:trPr/>
        <w:tc>
          <w:tcPr>
            <w:tcW w:w="7656" w:type="dxa"/>
            <w:gridSpan w:val="6"/>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25">
              <w:r>
                <w:rPr>
                  <w:rStyle w:val="InternetLink"/>
                  <w:rFonts w:ascii="Arial;sans-serif" w:hAnsi="Arial;sans-serif"/>
                  <w:b w:val="false"/>
                  <w:strike w:val="false"/>
                  <w:dstrike w:val="false"/>
                  <w:color w:val="131E29"/>
                  <w:sz w:val="20"/>
                  <w:u w:val="none"/>
                  <w:effect w:val="none"/>
                </w:rPr>
                <w:t>Forward-Looking Statements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1996">
              <w:r>
                <w:rPr>
                  <w:rStyle w:val="InternetLink"/>
                  <w:rFonts w:ascii="Arial;sans-serif" w:hAnsi="Arial;sans-serif"/>
                  <w:b w:val="false"/>
                  <w:strike w:val="false"/>
                  <w:dstrike w:val="false"/>
                  <w:color w:val="131E29"/>
                  <w:sz w:val="20"/>
                  <w:u w:val="none"/>
                  <w:effect w:val="none"/>
                </w:rPr>
                <w:t>2</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6098"/>
                <w:sz w:val="20"/>
              </w:rPr>
            </w:pPr>
            <w:r>
              <w:rPr>
                <w:rFonts w:ascii="Arial;sans-serif" w:hAnsi="Arial;sans-serif"/>
                <w:b/>
                <w:color w:val="006098"/>
                <w:sz w:val="20"/>
              </w:rPr>
              <w:t>PART I</w:t>
            </w:r>
          </w:p>
        </w:tc>
        <w:tc>
          <w:tcPr>
            <w:tcW w:w="632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08d36940599d4c4a854e086ebf05d520_565">
              <w:r>
                <w:rPr>
                  <w:rStyle w:val="InternetLink"/>
                  <w:rFonts w:ascii="Arial;sans-serif" w:hAnsi="Arial;sans-serif"/>
                  <w:b/>
                  <w:strike w:val="false"/>
                  <w:dstrike w:val="false"/>
                  <w:color w:val="006098"/>
                  <w:sz w:val="20"/>
                  <w:u w:val="none"/>
                  <w:effect w:val="none"/>
                </w:rPr>
                <w:t>FINANCIAL INFORMATION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565">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w:t>
            </w:r>
          </w:p>
        </w:tc>
        <w:tc>
          <w:tcPr>
            <w:tcW w:w="632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08d36940599d4c4a854e086ebf05d520_283">
              <w:r>
                <w:rPr>
                  <w:rStyle w:val="InternetLink"/>
                  <w:rFonts w:ascii="Arial;sans-serif" w:hAnsi="Arial;sans-serif"/>
                  <w:b w:val="false"/>
                  <w:strike w:val="false"/>
                  <w:dstrike w:val="false"/>
                  <w:color w:val="131E29"/>
                  <w:sz w:val="20"/>
                  <w:u w:val="none"/>
                  <w:effect w:val="none"/>
                </w:rPr>
                <w:t>Financial Statements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283">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295">
              <w:r>
                <w:rPr>
                  <w:rStyle w:val="InternetLink"/>
                  <w:rFonts w:ascii="Arial;sans-serif" w:hAnsi="Arial;sans-serif"/>
                  <w:b w:val="false"/>
                  <w:strike w:val="false"/>
                  <w:dstrike w:val="false"/>
                  <w:color w:val="131E29"/>
                  <w:sz w:val="20"/>
                  <w:u w:val="none"/>
                  <w:effect w:val="none"/>
                </w:rPr>
                <w:t>Condensed Consolidated Balance Sheets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295">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301">
              <w:r>
                <w:rPr>
                  <w:rStyle w:val="InternetLink"/>
                  <w:rFonts w:ascii="Arial;sans-serif" w:hAnsi="Arial;sans-serif"/>
                  <w:b w:val="false"/>
                  <w:strike w:val="false"/>
                  <w:dstrike w:val="false"/>
                  <w:color w:val="131E29"/>
                  <w:sz w:val="20"/>
                  <w:u w:val="none"/>
                  <w:effect w:val="none"/>
                </w:rPr>
                <w:t>Condensed Consolidated Statements of Operations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301">
              <w:r>
                <w:rPr>
                  <w:rStyle w:val="InternetLink"/>
                  <w:rFonts w:ascii="Arial;sans-serif" w:hAnsi="Arial;sans-serif"/>
                  <w:b w:val="false"/>
                  <w:strike w:val="false"/>
                  <w:dstrike w:val="false"/>
                  <w:color w:val="131E29"/>
                  <w:sz w:val="20"/>
                  <w:u w:val="none"/>
                  <w:effect w:val="none"/>
                </w:rPr>
                <w:t>5</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307">
              <w:r>
                <w:rPr>
                  <w:rStyle w:val="InternetLink"/>
                </w:rPr>
                <w:t xml:space="preserve">Condensed Consolidated Statements of </w:t>
              </w:r>
            </w:hyperlink>
            <w:hyperlink w:anchor="i08d36940599d4c4a854e086ebf05d520_307">
              <w:r>
                <w:rPr>
                  <w:rStyle w:val="InternetLink"/>
                </w:rPr>
                <w:t>Stockholders</w:t>
              </w:r>
            </w:hyperlink>
            <w:hyperlink w:anchor="i08d36940599d4c4a854e086ebf05d520_307">
              <w:r>
                <w:rPr>
                  <w:rStyle w:val="InternetLink"/>
                </w:rPr>
                <w:t>’</w:t>
              </w:r>
            </w:hyperlink>
            <w:hyperlink w:anchor="i08d36940599d4c4a854e086ebf05d520_307">
              <w:r>
                <w:rPr>
                  <w:rStyle w:val="InternetLink"/>
                </w:rPr>
                <w:t>/Member</w:t>
              </w:r>
            </w:hyperlink>
            <w:hyperlink w:anchor="i08d36940599d4c4a854e086ebf05d520_307">
              <w:r>
                <w:rPr>
                  <w:rStyle w:val="InternetLink"/>
                </w:rPr>
                <w:t>s</w:t>
              </w:r>
            </w:hyperlink>
            <w:hyperlink w:anchor="i08d36940599d4c4a854e086ebf05d520_307">
              <w:r>
                <w:rPr>
                  <w:rStyle w:val="InternetLink"/>
                </w:rPr>
                <w:t>’</w:t>
              </w:r>
            </w:hyperlink>
            <w:hyperlink w:anchor="i08d36940599d4c4a854e086ebf05d520_307">
              <w:r>
                <w:rPr>
                  <w:rStyle w:val="InternetLink"/>
                </w:rPr>
                <w:t xml:space="preserve"> </w:t>
              </w:r>
            </w:hyperlink>
            <w:hyperlink w:anchor="i08d36940599d4c4a854e086ebf05d520_307">
              <w:r>
                <w:rPr>
                  <w:rStyle w:val="InternetLink"/>
                </w:rPr>
                <w:t>Equity</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307">
              <w:r>
                <w:rPr>
                  <w:rStyle w:val="InternetLink"/>
                  <w:rFonts w:ascii="Arial;sans-serif" w:hAnsi="Arial;sans-serif"/>
                  <w:b w:val="false"/>
                  <w:strike w:val="false"/>
                  <w:dstrike w:val="false"/>
                  <w:color w:val="131E29"/>
                  <w:sz w:val="20"/>
                  <w:u w:val="none"/>
                  <w:effect w:val="none"/>
                </w:rPr>
                <w:t>6</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319">
              <w:r>
                <w:rPr>
                  <w:rStyle w:val="InternetLink"/>
                  <w:rFonts w:ascii="Arial;sans-serif" w:hAnsi="Arial;sans-serif"/>
                  <w:b w:val="false"/>
                  <w:strike w:val="false"/>
                  <w:dstrike w:val="false"/>
                  <w:color w:val="131E29"/>
                  <w:sz w:val="20"/>
                  <w:u w:val="none"/>
                  <w:effect w:val="none"/>
                </w:rPr>
                <w:t>Condensed Consolidated Statements of Cash Flows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319">
              <w:r>
                <w:rPr>
                  <w:rStyle w:val="InternetLink"/>
                  <w:rFonts w:ascii="Arial;sans-serif" w:hAnsi="Arial;sans-serif"/>
                  <w:b w:val="false"/>
                  <w:strike w:val="false"/>
                  <w:dstrike w:val="false"/>
                  <w:color w:val="131E29"/>
                  <w:sz w:val="20"/>
                  <w:u w:val="none"/>
                  <w:effect w:val="none"/>
                </w:rPr>
                <w:t>8</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325">
              <w:r>
                <w:rPr>
                  <w:rStyle w:val="InternetLink"/>
                  <w:rFonts w:ascii="Arial;sans-serif" w:hAnsi="Arial;sans-serif"/>
                  <w:b w:val="false"/>
                  <w:strike w:val="false"/>
                  <w:dstrike w:val="false"/>
                  <w:color w:val="131E29"/>
                  <w:sz w:val="20"/>
                  <w:u w:val="none"/>
                  <w:effect w:val="none"/>
                </w:rPr>
                <w:t>Notes to Condensed Consolidated Financial Statements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325">
              <w:r>
                <w:rPr>
                  <w:rStyle w:val="InternetLink"/>
                  <w:rFonts w:ascii="Arial;sans-serif" w:hAnsi="Arial;sans-serif"/>
                  <w:b w:val="false"/>
                  <w:strike w:val="false"/>
                  <w:dstrike w:val="false"/>
                  <w:color w:val="131E29"/>
                  <w:sz w:val="20"/>
                  <w:u w:val="none"/>
                  <w:effect w:val="none"/>
                </w:rPr>
                <w:t>10</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pPr>
            <w:hyperlink w:anchor="i08d36940599d4c4a854e086ebf05d520_121">
              <w:r>
                <w:rPr>
                  <w:rStyle w:val="InternetLink"/>
                  <w:rFonts w:ascii="Arial;sans-serif" w:hAnsi="Arial;sans-serif"/>
                  <w:b w:val="false"/>
                  <w:strike w:val="false"/>
                  <w:dstrike w:val="false"/>
                  <w:color w:val="131E29"/>
                  <w:sz w:val="20"/>
                  <w:u w:val="none"/>
                  <w:effect w:val="none"/>
                </w:rPr>
                <w:t xml:space="preserve">Management’s Discussion and Analysis of Financial Condition and </w:t>
              </w:r>
            </w:hyperlink>
          </w:p>
          <w:p>
            <w:pPr>
              <w:pStyle w:val="TableContents"/>
              <w:spacing w:lineRule="auto" w:line="288" w:before="0" w:after="0"/>
              <w:jc w:val="left"/>
              <w:rPr/>
            </w:pPr>
            <w:hyperlink w:anchor="i08d36940599d4c4a854e086ebf05d520_121">
              <w:r>
                <w:rPr>
                  <w:rStyle w:val="InternetLink"/>
                  <w:rFonts w:ascii="Arial;sans-serif" w:hAnsi="Arial;sans-serif"/>
                  <w:b w:val="false"/>
                  <w:strike w:val="false"/>
                  <w:dstrike w:val="false"/>
                  <w:color w:val="131E29"/>
                  <w:sz w:val="20"/>
                  <w:u w:val="none"/>
                  <w:effect w:val="none"/>
                </w:rPr>
                <w:t>Results of Operations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121">
              <w:r>
                <w:rPr>
                  <w:rStyle w:val="InternetLink"/>
                  <w:rFonts w:ascii="Arial;sans-serif" w:hAnsi="Arial;sans-serif"/>
                  <w:b w:val="false"/>
                  <w:strike w:val="false"/>
                  <w:dstrike w:val="false"/>
                  <w:color w:val="131E29"/>
                  <w:sz w:val="20"/>
                  <w:u w:val="none"/>
                  <w:effect w:val="none"/>
                </w:rPr>
                <w:t>32</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3.</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280">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280">
              <w:r>
                <w:rPr>
                  <w:rStyle w:val="InternetLink"/>
                  <w:rFonts w:ascii="Arial;sans-serif" w:hAnsi="Arial;sans-serif"/>
                  <w:b w:val="false"/>
                  <w:strike w:val="false"/>
                  <w:dstrike w:val="false"/>
                  <w:color w:val="131E29"/>
                  <w:sz w:val="20"/>
                  <w:u w:val="none"/>
                  <w:effect w:val="none"/>
                </w:rPr>
                <w:t>47</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4.</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517">
              <w:r>
                <w:rPr>
                  <w:rStyle w:val="InternetLink"/>
                  <w:rFonts w:ascii="Arial;sans-serif" w:hAnsi="Arial;sans-serif"/>
                  <w:b w:val="false"/>
                  <w:strike w:val="false"/>
                  <w:dstrike w:val="false"/>
                  <w:color w:val="131E29"/>
                  <w:sz w:val="20"/>
                  <w:u w:val="none"/>
                  <w:effect w:val="none"/>
                </w:rPr>
                <w:t>Controls and Procedures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517">
              <w:r>
                <w:rPr>
                  <w:rStyle w:val="InternetLink"/>
                  <w:rFonts w:ascii="Arial;sans-serif" w:hAnsi="Arial;sans-serif"/>
                  <w:b w:val="false"/>
                  <w:strike w:val="false"/>
                  <w:dstrike w:val="false"/>
                  <w:color w:val="131E29"/>
                  <w:sz w:val="20"/>
                  <w:u w:val="none"/>
                  <w:effect w:val="none"/>
                </w:rPr>
                <w:t>48</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6098"/>
                <w:sz w:val="20"/>
              </w:rPr>
            </w:pPr>
            <w:r>
              <w:rPr>
                <w:rFonts w:ascii="Arial;sans-serif" w:hAnsi="Arial;sans-serif"/>
                <w:b/>
                <w:color w:val="006098"/>
                <w:sz w:val="20"/>
              </w:rPr>
              <w:t>PART II</w:t>
            </w:r>
          </w:p>
        </w:tc>
        <w:tc>
          <w:tcPr>
            <w:tcW w:w="632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08d36940599d4c4a854e086ebf05d520_568">
              <w:r>
                <w:rPr>
                  <w:rStyle w:val="InternetLink"/>
                  <w:rFonts w:ascii="Arial;sans-serif" w:hAnsi="Arial;sans-serif"/>
                  <w:b/>
                  <w:strike w:val="false"/>
                  <w:dstrike w:val="false"/>
                  <w:color w:val="006098"/>
                  <w:sz w:val="20"/>
                  <w:u w:val="none"/>
                  <w:effect w:val="none"/>
                </w:rPr>
                <w:t>OTHER INFORMATION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08d36940599d4c4a854e086ebf05d520_568">
              <w:r>
                <w:rPr>
                  <w:rStyle w:val="InternetLink"/>
                  <w:rFonts w:ascii="Arial;sans-serif" w:hAnsi="Arial;sans-serif"/>
                  <w:b w:val="false"/>
                  <w:strike w:val="false"/>
                  <w:dstrike w:val="false"/>
                  <w:color w:val="000000"/>
                  <w:sz w:val="20"/>
                  <w:u w:val="none"/>
                  <w:effect w:val="none"/>
                </w:rPr>
                <w:t>50</w:t>
              </w:r>
            </w:hyperlink>
          </w:p>
        </w:tc>
      </w:tr>
      <w:tr>
        <w:trPr/>
        <w:tc>
          <w:tcPr>
            <w:tcW w:w="132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w:t>
            </w:r>
          </w:p>
        </w:tc>
        <w:tc>
          <w:tcPr>
            <w:tcW w:w="632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08d36940599d4c4a854e086ebf05d520_88">
              <w:r>
                <w:rPr>
                  <w:rStyle w:val="InternetLink"/>
                  <w:rFonts w:ascii="Arial;sans-serif" w:hAnsi="Arial;sans-serif"/>
                  <w:b w:val="false"/>
                  <w:strike w:val="false"/>
                  <w:dstrike w:val="false"/>
                  <w:color w:val="131E29"/>
                  <w:sz w:val="20"/>
                  <w:u w:val="none"/>
                  <w:effect w:val="none"/>
                </w:rPr>
                <w:t>Legal Proceedings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88">
              <w:r>
                <w:rPr>
                  <w:rStyle w:val="InternetLink"/>
                  <w:rFonts w:ascii="Arial;sans-serif" w:hAnsi="Arial;sans-serif"/>
                  <w:b w:val="false"/>
                  <w:strike w:val="false"/>
                  <w:dstrike w:val="false"/>
                  <w:color w:val="131E29"/>
                  <w:sz w:val="20"/>
                  <w:u w:val="none"/>
                  <w:effect w:val="none"/>
                </w:rPr>
                <w:t>50</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1A.</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76">
              <w:r>
                <w:rPr>
                  <w:rStyle w:val="InternetLink"/>
                  <w:rFonts w:ascii="Arial;sans-serif" w:hAnsi="Arial;sans-serif"/>
                  <w:b w:val="false"/>
                  <w:strike w:val="false"/>
                  <w:dstrike w:val="false"/>
                  <w:color w:val="131E29"/>
                  <w:sz w:val="20"/>
                  <w:u w:val="none"/>
                  <w:effect w:val="none"/>
                </w:rPr>
                <w:t>Risk Factors</w:t>
              </w:r>
            </w:hyperlink>
            <w:r>
              <w:rPr>
                <w:rFonts w:ascii="Arial;sans-serif" w:hAnsi="Arial;sans-serif"/>
                <w:b w:val="false"/>
                <w:color w:val="131E29"/>
                <w:sz w:val="20"/>
              </w:rPr>
              <w:t xml:space="preserve"> </w:t>
            </w:r>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76">
              <w:r>
                <w:rPr>
                  <w:rStyle w:val="InternetLink"/>
                  <w:rFonts w:ascii="Arial;sans-serif" w:hAnsi="Arial;sans-serif"/>
                  <w:b w:val="false"/>
                  <w:strike w:val="false"/>
                  <w:dstrike w:val="false"/>
                  <w:color w:val="131E29"/>
                  <w:sz w:val="20"/>
                  <w:u w:val="none"/>
                  <w:effect w:val="none"/>
                </w:rPr>
                <w:t>50</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571">
              <w:r>
                <w:rPr>
                  <w:rStyle w:val="InternetLink"/>
                  <w:rFonts w:ascii="Arial;sans-serif" w:hAnsi="Arial;sans-serif"/>
                  <w:b w:val="false"/>
                  <w:strike w:val="false"/>
                  <w:dstrike w:val="false"/>
                  <w:color w:val="131E29"/>
                  <w:sz w:val="20"/>
                  <w:u w:val="none"/>
                  <w:effect w:val="none"/>
                </w:rPr>
                <w:t>Unregistered Sales of Equity Securities and Use of Proceeds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571">
              <w:r>
                <w:rPr>
                  <w:rStyle w:val="InternetLink"/>
                  <w:rFonts w:ascii="Arial;sans-serif" w:hAnsi="Arial;sans-serif"/>
                  <w:b w:val="false"/>
                  <w:strike w:val="false"/>
                  <w:dstrike w:val="false"/>
                  <w:color w:val="131E29"/>
                  <w:sz w:val="20"/>
                  <w:u w:val="none"/>
                  <w:effect w:val="none"/>
                </w:rPr>
                <w:t>94</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3.</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574">
              <w:r>
                <w:rPr>
                  <w:rStyle w:val="InternetLink"/>
                  <w:rFonts w:ascii="Arial;sans-serif" w:hAnsi="Arial;sans-serif"/>
                  <w:b w:val="false"/>
                  <w:strike w:val="false"/>
                  <w:dstrike w:val="false"/>
                  <w:color w:val="131E29"/>
                  <w:sz w:val="20"/>
                  <w:u w:val="none"/>
                  <w:effect w:val="none"/>
                </w:rPr>
                <w:t>Defaults Upon Senior Securities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574">
              <w:r>
                <w:rPr>
                  <w:rStyle w:val="InternetLink"/>
                  <w:rFonts w:ascii="Arial;sans-serif" w:hAnsi="Arial;sans-serif"/>
                  <w:b w:val="false"/>
                  <w:strike w:val="false"/>
                  <w:dstrike w:val="false"/>
                  <w:color w:val="131E29"/>
                  <w:sz w:val="20"/>
                  <w:u w:val="none"/>
                  <w:effect w:val="none"/>
                </w:rPr>
                <w:t>95</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4.</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91">
              <w:r>
                <w:rPr>
                  <w:rStyle w:val="InternetLink"/>
                  <w:rFonts w:ascii="Arial;sans-serif" w:hAnsi="Arial;sans-serif"/>
                  <w:b w:val="false"/>
                  <w:strike w:val="false"/>
                  <w:dstrike w:val="false"/>
                  <w:color w:val="131E29"/>
                  <w:sz w:val="20"/>
                  <w:u w:val="none"/>
                  <w:effect w:val="none"/>
                </w:rPr>
                <w:t>Mine Safety Disclosure</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91">
              <w:r>
                <w:rPr>
                  <w:rStyle w:val="InternetLink"/>
                  <w:rFonts w:ascii="Arial;sans-serif" w:hAnsi="Arial;sans-serif"/>
                  <w:b w:val="false"/>
                  <w:strike w:val="false"/>
                  <w:dstrike w:val="false"/>
                  <w:color w:val="131E29"/>
                  <w:sz w:val="20"/>
                  <w:u w:val="none"/>
                  <w:effect w:val="none"/>
                </w:rPr>
                <w:t>95</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5.</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523">
              <w:r>
                <w:rPr>
                  <w:rStyle w:val="InternetLink"/>
                  <w:rFonts w:ascii="Arial;sans-serif" w:hAnsi="Arial;sans-serif"/>
                  <w:b w:val="false"/>
                  <w:strike w:val="false"/>
                  <w:dstrike w:val="false"/>
                  <w:color w:val="131E29"/>
                  <w:sz w:val="20"/>
                  <w:u w:val="none"/>
                  <w:effect w:val="none"/>
                </w:rPr>
                <w:t>Other Information</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523">
              <w:r>
                <w:rPr>
                  <w:rStyle w:val="InternetLink"/>
                  <w:rFonts w:ascii="Arial;sans-serif" w:hAnsi="Arial;sans-serif"/>
                  <w:b w:val="false"/>
                  <w:strike w:val="false"/>
                  <w:dstrike w:val="false"/>
                  <w:color w:val="131E29"/>
                  <w:sz w:val="20"/>
                  <w:u w:val="none"/>
                  <w:effect w:val="none"/>
                </w:rPr>
                <w:t>95</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6.</w:t>
            </w:r>
          </w:p>
        </w:tc>
        <w:tc>
          <w:tcPr>
            <w:tcW w:w="6329"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08d36940599d4c4a854e086ebf05d520_550">
              <w:r>
                <w:rPr>
                  <w:rStyle w:val="InternetLink"/>
                  <w:rFonts w:ascii="Arial;sans-serif" w:hAnsi="Arial;sans-serif"/>
                  <w:b w:val="false"/>
                  <w:strike w:val="false"/>
                  <w:dstrike w:val="false"/>
                  <w:color w:val="131E29"/>
                  <w:sz w:val="20"/>
                  <w:u w:val="none"/>
                  <w:effect w:val="none"/>
                </w:rPr>
                <w:t>Exhibits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553">
              <w:r>
                <w:rPr>
                  <w:rStyle w:val="InternetLink"/>
                  <w:rFonts w:ascii="Arial;sans-serif" w:hAnsi="Arial;sans-serif"/>
                  <w:b w:val="false"/>
                  <w:strike w:val="false"/>
                  <w:dstrike w:val="false"/>
                  <w:color w:val="131E29"/>
                  <w:sz w:val="20"/>
                  <w:u w:val="none"/>
                  <w:effect w:val="none"/>
                </w:rPr>
                <w:t>96</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56" w:type="dxa"/>
            <w:gridSpan w:val="6"/>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08d36940599d4c4a854e086ebf05d520_562">
              <w:r>
                <w:rPr>
                  <w:rStyle w:val="InternetLink"/>
                  <w:rFonts w:ascii="Arial;sans-serif" w:hAnsi="Arial;sans-serif"/>
                  <w:b/>
                  <w:strike w:val="false"/>
                  <w:dstrike w:val="false"/>
                  <w:color w:val="006098"/>
                  <w:sz w:val="20"/>
                  <w:u w:val="none"/>
                  <w:effect w:val="none"/>
                </w:rPr>
                <w:t>SIGNATURES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562">
              <w:r>
                <w:rPr>
                  <w:rStyle w:val="InternetLink"/>
                  <w:rFonts w:ascii="Arial;sans-serif" w:hAnsi="Arial;sans-serif"/>
                  <w:b w:val="false"/>
                  <w:strike w:val="false"/>
                  <w:dstrike w:val="false"/>
                  <w:color w:val="131E29"/>
                  <w:sz w:val="20"/>
                  <w:u w:val="none"/>
                  <w:effect w:val="none"/>
                </w:rPr>
                <w:t>97</w:t>
              </w:r>
            </w:hyperlink>
          </w:p>
        </w:tc>
      </w:tr>
      <w:tr>
        <w:trPr/>
        <w:tc>
          <w:tcPr>
            <w:tcW w:w="132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9"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GLOSSARY</w:t>
      </w:r>
    </w:p>
    <w:p>
      <w:pPr>
        <w:pStyle w:val="TextBody"/>
        <w:spacing w:before="0" w:after="0"/>
        <w:rPr/>
      </w:pPr>
      <w:r>
        <w:rPr/>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 </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Blocker Companies</w:t>
      </w:r>
      <w:r>
        <w:rPr>
          <w:color w:val="131E29"/>
        </w:rPr>
        <w:t xml:space="preserve"> </w:t>
      </w:r>
      <w:r>
        <w:rPr>
          <w:rFonts w:ascii="Arial;sans-serif" w:hAnsi="Arial;sans-serif"/>
          <w:b w:val="false"/>
          <w:color w:val="131E29"/>
          <w:sz w:val="20"/>
        </w:rPr>
        <w:t xml:space="preserve">refers to certain Dutch Bros OpCo unitholders prior to the Reorganization Transactions that were taxable as corporations for U.S. federal income tax purposes. </w:t>
      </w:r>
    </w:p>
    <w:p>
      <w:pPr>
        <w:pStyle w:val="TextBody"/>
        <w:spacing w:lineRule="auto" w:line="288" w:before="0" w:after="180"/>
        <w:ind w:left="0" w:right="0" w:hanging="360"/>
        <w:jc w:val="both"/>
        <w:rPr/>
      </w:pPr>
      <w:r>
        <w:rPr>
          <w:color w:val="131E29"/>
        </w:rPr>
        <w:t>•</w:t>
      </w:r>
      <w:r>
        <w:rPr>
          <w:rFonts w:ascii="Arial;sans-serif" w:hAnsi="Arial;sans-serif"/>
          <w:b/>
          <w:color w:val="131E29"/>
          <w:sz w:val="20"/>
        </w:rPr>
        <w:t>BPS or bps</w:t>
      </w:r>
      <w:r>
        <w:rPr>
          <w:color w:val="131E29"/>
        </w:rPr>
        <w:t xml:space="preserve"> </w:t>
      </w:r>
      <w:r>
        <w:rPr>
          <w:rFonts w:ascii="Arial;sans-serif" w:hAnsi="Arial;sans-serif"/>
          <w:b w:val="false"/>
          <w:color w:val="131E29"/>
          <w:sz w:val="20"/>
        </w:rPr>
        <w:t>refers to basis points which is used to express differences in rates. One basis point is the equivalent of 1/100 of one percent.</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Co-Founder</w:t>
      </w:r>
      <w:r>
        <w:rPr>
          <w:color w:val="131E29"/>
        </w:rPr>
        <w:t xml:space="preserve"> </w:t>
      </w:r>
      <w:r>
        <w:rPr>
          <w:rFonts w:ascii="Arial;sans-serif" w:hAnsi="Arial;sans-serif"/>
          <w:b w:val="false"/>
          <w:color w:val="131E29"/>
          <w:sz w:val="20"/>
        </w:rPr>
        <w:t xml:space="preserve">refers to Travis Boersma and certain affiliated entities over which he maintains voting control. </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Continuing Members</w:t>
      </w:r>
      <w:r>
        <w:rPr>
          <w:color w:val="131E29"/>
        </w:rPr>
        <w:t xml:space="preserve"> </w:t>
      </w:r>
      <w:r>
        <w:rPr>
          <w:rFonts w:ascii="Arial;sans-serif" w:hAnsi="Arial;sans-serif"/>
          <w:b w:val="false"/>
          <w:color w:val="131E29"/>
          <w:sz w:val="20"/>
        </w:rPr>
        <w:t>refers to the Co-Founder and the Sponsor.</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Dutch Bros OpCo</w:t>
      </w:r>
      <w:r>
        <w:rPr>
          <w:color w:val="131E29"/>
        </w:rPr>
        <w:t xml:space="preserve"> </w:t>
      </w:r>
      <w:r>
        <w:rPr>
          <w:rFonts w:ascii="Arial;sans-serif" w:hAnsi="Arial;sans-serif"/>
          <w:b w:val="false"/>
          <w:color w:val="131E29"/>
          <w:sz w:val="20"/>
        </w:rPr>
        <w:t>refers to Dutch Mafia, LLC, a Delaware limited liability company and direct subsidiary of Dutch Bros Inc.</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Dutch Bros PubCo</w:t>
      </w:r>
      <w:r>
        <w:rPr>
          <w:color w:val="131E29"/>
        </w:rPr>
        <w:t xml:space="preserve"> </w:t>
      </w:r>
      <w:r>
        <w:rPr>
          <w:rFonts w:ascii="Arial;sans-serif" w:hAnsi="Arial;sans-serif"/>
          <w:b w:val="false"/>
          <w:color w:val="131E29"/>
          <w:sz w:val="20"/>
        </w:rPr>
        <w:t>refers to Dutch Bros Inc., a Delaware corporation, of which its Class A common stock is publicly traded on the New York Stock Exchange under the symbol “BROS”.</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IPO</w:t>
      </w:r>
      <w:r>
        <w:rPr>
          <w:color w:val="131E29"/>
        </w:rPr>
        <w:t xml:space="preserve"> </w:t>
      </w:r>
      <w:r>
        <w:rPr>
          <w:rFonts w:ascii="Arial;sans-serif" w:hAnsi="Arial;sans-serif"/>
          <w:b w:val="false"/>
          <w:color w:val="131E29"/>
          <w:sz w:val="20"/>
        </w:rPr>
        <w:t>refers to the Company’s initial public offering.</w:t>
      </w:r>
    </w:p>
    <w:p>
      <w:pPr>
        <w:pStyle w:val="TextBody"/>
        <w:spacing w:lineRule="auto" w:line="288" w:before="0" w:after="180"/>
        <w:ind w:left="0" w:right="0" w:hanging="360"/>
        <w:jc w:val="both"/>
        <w:rPr/>
      </w:pPr>
      <w:r>
        <w:rPr>
          <w:color w:val="131E29"/>
        </w:rPr>
        <w:t>•</w:t>
      </w:r>
      <w:r>
        <w:rPr>
          <w:rFonts w:ascii="Arial;sans-serif" w:hAnsi="Arial;sans-serif"/>
          <w:b/>
          <w:color w:val="131E29"/>
          <w:sz w:val="20"/>
        </w:rPr>
        <w:t>N/M</w:t>
      </w:r>
      <w:r>
        <w:rPr>
          <w:color w:val="131E29"/>
        </w:rPr>
        <w:t xml:space="preserve"> </w:t>
      </w:r>
      <w:r>
        <w:rPr>
          <w:rFonts w:ascii="Arial;sans-serif" w:hAnsi="Arial;sans-serif"/>
          <w:b w:val="false"/>
          <w:color w:val="131E29"/>
          <w:sz w:val="20"/>
        </w:rPr>
        <w:t xml:space="preserve">refers to a not meaningful percentage. </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OpCo Units</w:t>
      </w:r>
      <w:r>
        <w:rPr>
          <w:color w:val="131E29"/>
        </w:rPr>
        <w:t xml:space="preserve"> </w:t>
      </w:r>
      <w:r>
        <w:rPr>
          <w:rFonts w:ascii="Arial;sans-serif" w:hAnsi="Arial;sans-serif"/>
          <w:b w:val="false"/>
          <w:color w:val="131E29"/>
          <w:sz w:val="20"/>
        </w:rPr>
        <w:t>refers to Class A common units, Class B voting units and Class C voting units of Dutch Bros OpCo, each as further defined in the Third Amended and Restated Limited Liability Company Agreement of Dutch Bros OpCo, collectively.</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Pre-IPO Blocker Holders</w:t>
      </w:r>
      <w:r>
        <w:rPr>
          <w:color w:val="131E29"/>
        </w:rPr>
        <w:t xml:space="preserve"> </w:t>
      </w:r>
      <w:r>
        <w:rPr>
          <w:rFonts w:ascii="Arial;sans-serif" w:hAnsi="Arial;sans-serif"/>
          <w:b w:val="false"/>
          <w:color w:val="131E29"/>
          <w:sz w:val="20"/>
        </w:rPr>
        <w:t>refers to TSG7 A AIV VI Holdings-A, L.P. and DG Coinvestor Blocker Aggregator, L.P. or their assignees or successors pursuant to the terms of the certain Reorganization Tax Receivable Agreement.</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Reorganization Transactions</w:t>
      </w:r>
      <w:r>
        <w:rPr>
          <w:color w:val="131E29"/>
        </w:rPr>
        <w:t xml:space="preserve"> </w:t>
      </w:r>
      <w:r>
        <w:rPr>
          <w:rFonts w:ascii="Arial;sans-serif" w:hAnsi="Arial;sans-serif"/>
          <w:b w:val="false"/>
          <w:color w:val="131E29"/>
          <w:sz w:val="20"/>
        </w:rPr>
        <w:t>has the meaning set forth in NOTE 1 — Organization and Background to the Consolidated Financial Statements.</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RSA</w:t>
      </w:r>
      <w:r>
        <w:rPr>
          <w:color w:val="131E29"/>
        </w:rPr>
        <w:t xml:space="preserve"> </w:t>
      </w:r>
      <w:r>
        <w:rPr>
          <w:rFonts w:ascii="Arial;sans-serif" w:hAnsi="Arial;sans-serif"/>
          <w:b w:val="false"/>
          <w:color w:val="131E29"/>
          <w:sz w:val="20"/>
        </w:rPr>
        <w:t>refers to restricted stock awards.</w:t>
      </w:r>
    </w:p>
    <w:p>
      <w:pPr>
        <w:pStyle w:val="TextBody"/>
        <w:spacing w:lineRule="auto" w:line="288" w:before="0" w:after="120"/>
        <w:ind w:left="0" w:right="0" w:hanging="360"/>
        <w:jc w:val="both"/>
        <w:rPr/>
      </w:pPr>
      <w:r>
        <w:rPr>
          <w:color w:val="131E29"/>
        </w:rPr>
        <w:t>•</w:t>
      </w:r>
      <w:r>
        <w:rPr>
          <w:rFonts w:ascii="Arial;sans-serif" w:hAnsi="Arial;sans-serif"/>
          <w:b/>
          <w:color w:val="131E29"/>
          <w:sz w:val="20"/>
        </w:rPr>
        <w:t>RSU</w:t>
      </w:r>
      <w:r>
        <w:rPr>
          <w:color w:val="131E29"/>
        </w:rPr>
        <w:t xml:space="preserve"> </w:t>
      </w:r>
      <w:r>
        <w:rPr>
          <w:rFonts w:ascii="Arial;sans-serif" w:hAnsi="Arial;sans-serif"/>
          <w:b w:val="false"/>
          <w:color w:val="131E29"/>
          <w:sz w:val="20"/>
        </w:rPr>
        <w:t>refers to restricted stock units.</w:t>
      </w:r>
    </w:p>
    <w:p>
      <w:pPr>
        <w:pStyle w:val="TextBody"/>
        <w:spacing w:lineRule="auto" w:line="288" w:before="0" w:after="180"/>
        <w:ind w:left="0" w:right="0" w:hanging="360"/>
        <w:jc w:val="both"/>
        <w:rPr/>
      </w:pPr>
      <w:r>
        <w:rPr>
          <w:color w:val="131E29"/>
        </w:rPr>
        <w:t>•</w:t>
      </w:r>
      <w:r>
        <w:rPr>
          <w:rFonts w:ascii="Arial;sans-serif" w:hAnsi="Arial;sans-serif"/>
          <w:b/>
          <w:color w:val="131E29"/>
          <w:sz w:val="20"/>
        </w:rPr>
        <w:t xml:space="preserve">Secondary Offering </w:t>
      </w:r>
      <w:r>
        <w:rPr>
          <w:rFonts w:ascii="Arial;sans-serif" w:hAnsi="Arial;sans-serif"/>
          <w:b w:val="false"/>
          <w:color w:val="131E29"/>
          <w:sz w:val="20"/>
        </w:rPr>
        <w:t>refers to the offering by certain selling stockholders, including entities affiliated with the Sponsor, of 5,000,000 shares of Class A common stock of Dutch Bros Inc. completed on March 10, 2022.</w:t>
      </w:r>
    </w:p>
    <w:p>
      <w:pPr>
        <w:pStyle w:val="TextBody"/>
        <w:spacing w:lineRule="auto" w:line="288" w:before="0" w:after="980"/>
        <w:ind w:left="0" w:right="0" w:hanging="360"/>
        <w:jc w:val="both"/>
        <w:rPr/>
      </w:pPr>
      <w:r>
        <w:rPr>
          <w:color w:val="131E29"/>
        </w:rPr>
        <w:t>•</w:t>
      </w:r>
      <w:r>
        <w:rPr>
          <w:rFonts w:ascii="Arial;sans-serif" w:hAnsi="Arial;sans-serif"/>
          <w:b/>
          <w:color w:val="131E29"/>
          <w:sz w:val="20"/>
        </w:rPr>
        <w:t>Sponsor</w:t>
      </w:r>
      <w:r>
        <w:rPr>
          <w:color w:val="131E29"/>
        </w:rPr>
        <w:t xml:space="preserve"> </w:t>
      </w:r>
      <w:r>
        <w:rPr>
          <w:rFonts w:ascii="Arial;sans-serif" w:hAnsi="Arial;sans-serif"/>
          <w:b w:val="false"/>
          <w:color w:val="131E29"/>
          <w:sz w:val="20"/>
        </w:rPr>
        <w:t>refers to TSG Consumer Partners, L.P. and certain of its affiliates.</w:t>
      </w:r>
    </w:p>
    <w:p>
      <w:pPr>
        <w:pStyle w:val="TextBody"/>
        <w:spacing w:lineRule="auto" w:line="288" w:before="0" w:after="180"/>
        <w:jc w:val="both"/>
        <w:rPr/>
      </w:pPr>
      <w:r>
        <w:rPr>
          <w:rFonts w:ascii="Arial;sans-serif" w:hAnsi="Arial;sans-serif"/>
          <w:b w:val="false"/>
          <w:i/>
          <w:color w:val="131E29"/>
          <w:sz w:val="20"/>
        </w:rPr>
        <w:t>Dutch Bros</w:t>
      </w:r>
      <w:r>
        <w:rPr>
          <w:rFonts w:ascii="Arial;sans-serif" w:hAnsi="Arial;sans-serif"/>
          <w:b w:val="false"/>
          <w:color w:val="131E29"/>
          <w:sz w:val="20"/>
        </w:rPr>
        <w:t>, our Windmill logo (</w:t>
      </w:r>
      <w:r>
        <w:rPr/>
        <w:drawing>
          <wp:inline distT="0" distB="63500" distL="0" distR="0">
            <wp:extent cx="190500" cy="266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 xml:space="preserve">), </w:t>
      </w:r>
      <w:r>
        <w:rPr>
          <w:rFonts w:ascii="Arial;sans-serif" w:hAnsi="Arial;sans-serif"/>
          <w:b w:val="false"/>
          <w:i/>
          <w:color w:val="131E29"/>
          <w:sz w:val="20"/>
        </w:rPr>
        <w:t>Dutch Bros Blue Rebel</w:t>
      </w:r>
      <w:r>
        <w:rPr>
          <w:color w:val="131E29"/>
        </w:rPr>
        <w:t xml:space="preserve"> </w:t>
      </w:r>
      <w:r>
        <w:rPr>
          <w:rFonts w:ascii="Arial;sans-serif" w:hAnsi="Arial;sans-serif"/>
          <w:b w:val="false"/>
          <w:color w:val="131E29"/>
          <w:sz w:val="20"/>
        </w:rPr>
        <w:t>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3220"/>
                <wp:effectExtent l="0" t="0" r="0" b="0"/>
                <wp:wrapNone/>
                <wp:docPr id="5" name="Frame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FORWARD-LOOKING STATEMENTS</w:t>
      </w:r>
    </w:p>
    <w:p>
      <w:pPr>
        <w:pStyle w:val="TextBody"/>
        <w:spacing w:before="0" w:after="0"/>
        <w:rPr/>
      </w:pPr>
      <w:r>
        <w:rPr/>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statements in this Form 10-Q, including the impact of COVID-19 on our results of operations, supply chain or liquidity, the potential impact of actions we have taken to mitigate the impact of unforeseen circumstances, COVID-19, taxes and tax rate, our expectations regarding the opening of the number of new shops,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2021, filed with the Securities and Exchange Commission on March 11, 2022.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Website Disclosure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3220"/>
                <wp:effectExtent l="0" t="0" r="0" b="0"/>
                <wp:wrapNone/>
                <wp:docPr id="8" name="Frame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center"/>
        <w:rPr>
          <w:rFonts w:ascii="Arial;sans-serif" w:hAnsi="Arial;sans-serif"/>
          <w:b/>
          <w:color w:val="006098"/>
          <w:sz w:val="32"/>
        </w:rPr>
      </w:pPr>
      <w:r>
        <w:rPr>
          <w:rFonts w:ascii="Arial;sans-serif" w:hAnsi="Arial;sans-serif"/>
          <w:b/>
          <w:color w:val="006098"/>
          <w:sz w:val="32"/>
        </w:rPr>
        <w:t>PART I. FINANCIAL INFORMATION</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w:t>
      </w:r>
    </w:p>
    <w:tbl>
      <w:tblPr>
        <w:tblW w:w="9081" w:type="dxa"/>
        <w:jc w:val="center"/>
        <w:tblInd w:w="0" w:type="dxa"/>
        <w:tblCellMar>
          <w:top w:w="28" w:type="dxa"/>
          <w:left w:w="28" w:type="dxa"/>
          <w:bottom w:w="28" w:type="dxa"/>
          <w:right w:w="28" w:type="dxa"/>
        </w:tblCellMar>
      </w:tblPr>
      <w:tblGrid>
        <w:gridCol w:w="1830"/>
        <w:gridCol w:w="1607"/>
        <w:gridCol w:w="1617"/>
        <w:gridCol w:w="109"/>
        <w:gridCol w:w="109"/>
        <w:gridCol w:w="109"/>
        <w:gridCol w:w="266"/>
        <w:gridCol w:w="1081"/>
        <w:gridCol w:w="137"/>
        <w:gridCol w:w="109"/>
        <w:gridCol w:w="109"/>
        <w:gridCol w:w="109"/>
        <w:gridCol w:w="326"/>
        <w:gridCol w:w="1325"/>
        <w:gridCol w:w="238"/>
      </w:tblGrid>
      <w:tr>
        <w:trPr/>
        <w:tc>
          <w:tcPr>
            <w:tcW w:w="1830"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As of</w:t>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2021</w:t>
            </w:r>
          </w:p>
        </w:tc>
      </w:tr>
      <w:tr>
        <w:trPr/>
        <w:tc>
          <w:tcPr>
            <w:tcW w:w="505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26,754 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18,506 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12,870 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10,644 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Inventories,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26,927 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23,345 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5,892 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8,796 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72,443 </w:t>
            </w:r>
          </w:p>
        </w:tc>
        <w:tc>
          <w:tcPr>
            <w:tcW w:w="13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61,291 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257,912 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301,998 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141,874 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154,939 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11,923 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11,103 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18,715 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income tax assets,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223,376 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159,031 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884,506 </w:t>
            </w:r>
          </w:p>
        </w:tc>
        <w:tc>
          <w:tcPr>
            <w:tcW w:w="13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553,700 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21,837 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20,440 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Accrued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19,571 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20,970 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6,291 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6,471 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23,828 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22,807 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Line of 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25,527 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64,104 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tax receivable agreements liability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450 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450 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3,389 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obligations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8,698 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112,672 </w:t>
            </w:r>
          </w:p>
        </w:tc>
        <w:tc>
          <w:tcPr>
            <w:tcW w:w="13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138,734 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5,030 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Tax receivable agreements liability,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164,460 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109,283 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142,884 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79,588 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obligations,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148,483 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97,294 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3,503 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rent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3,153 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671,056 </w:t>
            </w:r>
          </w:p>
        </w:tc>
        <w:tc>
          <w:tcPr>
            <w:tcW w:w="13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339,971 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Commitments and contingencies (Note 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center"/>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3220"/>
                <wp:effectExtent l="0" t="0" r="0" b="0"/>
                <wp:wrapNone/>
                <wp:docPr id="11" name="Frame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v:rect>
            </w:pict>
          </mc:Fallback>
        </mc:AlternateContent>
      </w:r>
    </w:p>
    <w:p>
      <w:pPr>
        <w:pStyle w:val="TextBody"/>
        <w:spacing w:before="0" w:after="0"/>
        <w:jc w:val="center"/>
        <w:rPr/>
      </w:pPr>
      <w:r>
        <w:rPr/>
      </w:r>
    </w:p>
    <w:p>
      <w:pPr>
        <w:pStyle w:val="TextBody"/>
        <w:spacing w:lineRule="auto" w:line="288" w:before="0" w:after="180"/>
        <w:ind w:left="0" w:right="0" w:firstLine="36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before="0" w:after="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 (continued)</w:t>
      </w:r>
    </w:p>
    <w:tbl>
      <w:tblPr>
        <w:tblW w:w="10205" w:type="dxa"/>
        <w:jc w:val="left"/>
        <w:tblInd w:w="0" w:type="dxa"/>
        <w:tblCellMar>
          <w:top w:w="28" w:type="dxa"/>
          <w:left w:w="28" w:type="dxa"/>
          <w:bottom w:w="28" w:type="dxa"/>
          <w:right w:w="28" w:type="dxa"/>
        </w:tblCellMar>
      </w:tblPr>
      <w:tblGrid>
        <w:gridCol w:w="2666"/>
        <w:gridCol w:w="2067"/>
        <w:gridCol w:w="2080"/>
        <w:gridCol w:w="109"/>
        <w:gridCol w:w="109"/>
        <w:gridCol w:w="109"/>
        <w:gridCol w:w="230"/>
        <w:gridCol w:w="934"/>
        <w:gridCol w:w="118"/>
        <w:gridCol w:w="109"/>
        <w:gridCol w:w="109"/>
        <w:gridCol w:w="109"/>
        <w:gridCol w:w="251"/>
        <w:gridCol w:w="1019"/>
        <w:gridCol w:w="186"/>
      </w:tblGrid>
      <w:tr>
        <w:trPr/>
        <w:tc>
          <w:tcPr>
            <w:tcW w:w="2666" w:type="dxa"/>
            <w:tcBorders/>
            <w:shd w:fill="auto" w:val="clear"/>
            <w:vAlign w:val="center"/>
          </w:tcPr>
          <w:p>
            <w:pPr>
              <w:pStyle w:val="TableContents"/>
              <w:spacing w:before="0" w:after="283"/>
              <w:rPr>
                <w:sz w:val="4"/>
                <w:szCs w:val="4"/>
              </w:rPr>
            </w:pPr>
            <w:r>
              <w:rPr>
                <w:sz w:val="4"/>
                <w:szCs w:val="4"/>
              </w:rPr>
            </w:r>
          </w:p>
        </w:tc>
        <w:tc>
          <w:tcPr>
            <w:tcW w:w="2067"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68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1783" w:type="dxa"/>
            <w:gridSpan w:val="6"/>
            <w:tcBorders/>
            <w:shd w:fill="auto" w:val="clear"/>
          </w:tcPr>
          <w:p>
            <w:pPr>
              <w:pStyle w:val="TableContents"/>
              <w:spacing w:before="0" w:after="283"/>
              <w:rPr>
                <w:sz w:val="4"/>
                <w:szCs w:val="4"/>
              </w:rPr>
            </w:pPr>
            <w:r>
              <w:rPr>
                <w:sz w:val="4"/>
                <w:szCs w:val="4"/>
              </w:rPr>
            </w:r>
          </w:p>
        </w:tc>
      </w:tr>
      <w:tr>
        <w:trPr/>
        <w:tc>
          <w:tcPr>
            <w:tcW w:w="681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2021</w:t>
            </w:r>
          </w:p>
        </w:tc>
      </w:tr>
      <w:tr>
        <w:trPr/>
        <w:tc>
          <w:tcPr>
            <w:tcW w:w="6813"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Preferred stock, $0.00001 par value per share - 20,000 shares authorized; zero shares issued and outstanding as of March 31, 2022 and December 31,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8"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86"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Class A common stock, $0.00001 par value per share - 400,000 shares authorized; 39,557 and 34,433 shares issued and outstanding as of March 31, 2022 and December 31, 2021,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Class B common stock, $0.00001 par value per share - 144,000 shares authorized; 64,699 shares issued and outstanding as of March 31, 2022 and December 31,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1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8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Class C common stock, $0.00001 par value per share - 105,000 shares authorized; 45,386 and 49,006 shares issued and outstanding as of March 31, 2022 and December 31, 2021,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Class D common stock, $0.00001 par value per share - 42,000 shares authorized; 14,062 and 15,441 shares issued and outstanding as of March 31, 2022 and December 31, 2021, respectively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8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122,655 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107,193 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6" w:type="dxa"/>
            <w:gridSpan w:val="3"/>
            <w:tcBorders/>
            <w:shd w:fill="auto" w:val="clear"/>
            <w:vAlign w:val="center"/>
          </w:tcPr>
          <w:p>
            <w:pPr>
              <w:pStyle w:val="TableContents"/>
              <w:spacing w:before="0" w:after="283"/>
              <w:rPr>
                <w:sz w:val="4"/>
                <w:szCs w:val="4"/>
              </w:rPr>
            </w:pPr>
            <w:r>
              <w:rPr>
                <w:sz w:val="4"/>
                <w:szCs w:val="4"/>
              </w:rPr>
            </w:r>
          </w:p>
        </w:tc>
      </w:tr>
      <w:tr>
        <w:trPr/>
        <w:tc>
          <w:tcPr>
            <w:tcW w:w="6813"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deficit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(17,240)</w:t>
            </w:r>
          </w:p>
        </w:tc>
        <w:tc>
          <w:tcPr>
            <w:tcW w:w="11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(12,679)</w:t>
            </w:r>
          </w:p>
        </w:tc>
        <w:tc>
          <w:tcPr>
            <w:tcW w:w="18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stockholders' equity attributable to Dutch Bros Inc. / members’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105,417 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94,516 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Non-controlling interests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108,033 </w:t>
            </w:r>
          </w:p>
        </w:tc>
        <w:tc>
          <w:tcPr>
            <w:tcW w:w="11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119,213 </w:t>
            </w:r>
          </w:p>
        </w:tc>
        <w:tc>
          <w:tcPr>
            <w:tcW w:w="18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213,450 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213,729 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3"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 and equity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884,506 </w:t>
            </w:r>
          </w:p>
        </w:tc>
        <w:tc>
          <w:tcPr>
            <w:tcW w:w="1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553,700 </w:t>
            </w:r>
          </w:p>
        </w:tc>
        <w:tc>
          <w:tcPr>
            <w:tcW w:w="18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3220"/>
                <wp:effectExtent l="0" t="0" r="0" b="0"/>
                <wp:wrapNone/>
                <wp:docPr id="14" name="Frame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Operations</w:t>
      </w:r>
    </w:p>
    <w:tbl>
      <w:tblPr>
        <w:tblW w:w="10205" w:type="dxa"/>
        <w:jc w:val="center"/>
        <w:tblInd w:w="0" w:type="dxa"/>
        <w:tblCellMar>
          <w:top w:w="28" w:type="dxa"/>
          <w:left w:w="28" w:type="dxa"/>
          <w:bottom w:w="28" w:type="dxa"/>
          <w:right w:w="28" w:type="dxa"/>
        </w:tblCellMar>
      </w:tblPr>
      <w:tblGrid>
        <w:gridCol w:w="2402"/>
        <w:gridCol w:w="1933"/>
        <w:gridCol w:w="1946"/>
        <w:gridCol w:w="109"/>
        <w:gridCol w:w="109"/>
        <w:gridCol w:w="109"/>
        <w:gridCol w:w="237"/>
        <w:gridCol w:w="963"/>
        <w:gridCol w:w="122"/>
        <w:gridCol w:w="122"/>
        <w:gridCol w:w="122"/>
        <w:gridCol w:w="122"/>
        <w:gridCol w:w="237"/>
        <w:gridCol w:w="844"/>
        <w:gridCol w:w="122"/>
        <w:gridCol w:w="109"/>
        <w:gridCol w:w="109"/>
        <w:gridCol w:w="109"/>
        <w:gridCol w:w="109"/>
        <w:gridCol w:w="109"/>
        <w:gridCol w:w="161"/>
      </w:tblGrid>
      <w:tr>
        <w:trPr/>
        <w:tc>
          <w:tcPr>
            <w:tcW w:w="2402"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20,868 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98,785 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66,508 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35,986 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166,381 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102,494 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FROM OPERATIONS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(14,225)</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(3,709)</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(4,779)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9"/>
              </w:rPr>
            </w:pPr>
            <w:r>
              <w:rPr>
                <w:rFonts w:ascii="Arial;sans-serif" w:hAnsi="Arial;sans-serif"/>
                <w:b w:val="false"/>
                <w:color w:val="131E29"/>
                <w:sz w:val="19"/>
              </w:rPr>
              <w:t>Less: Net loss attributable to Dutch Bros OpCo prior to the Reorganization Transactions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9"/>
              </w:rPr>
            </w:pPr>
            <w:r>
              <w:rPr>
                <w:rFonts w:ascii="Arial;sans-serif" w:hAnsi="Arial;sans-serif"/>
                <w:b w:val="false"/>
                <w:color w:val="131E29"/>
                <w:sz w:val="19"/>
              </w:rPr>
              <w:t>Less: 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Net loss per share of Class A and Class D common stock:</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(0.10)</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(0.10)</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shares of Class A and Class D common stock outstanding:</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48,059 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48,059 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0"/>
        <w:ind w:left="0" w:right="0" w:hanging="180"/>
        <w:jc w:val="both"/>
        <w:rPr/>
      </w:pPr>
      <w:r>
        <w:rPr>
          <w:rFonts w:ascii="Arial;sans-serif" w:hAnsi="Arial;sans-serif"/>
          <w:b w:val="false"/>
          <w:color w:val="000000"/>
          <w:sz w:val="10"/>
        </w:rPr>
        <w:t>1    </w:t>
      </w:r>
      <w:r>
        <w:rPr>
          <w:rFonts w:ascii="Arial;sans-serif" w:hAnsi="Arial;sans-serif"/>
          <w:b w:val="false"/>
          <w:color w:val="000000"/>
          <w:sz w:val="16"/>
        </w:rPr>
        <w:t>Basic and diluted net loss per share of Class A and Class D common stock are applicable only for periods subsequent to September 14, 2021, the effective date of the Company’s Reorganization Transactions and IPO.</w:t>
      </w:r>
    </w:p>
    <w:p>
      <w:pPr>
        <w:pStyle w:val="TextBody"/>
        <w:spacing w:before="0" w:after="0"/>
        <w:rPr/>
      </w:pPr>
      <w:r>
        <w:rPr/>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pStyle w:val="TextBody"/>
        <w:spacing w:before="0" w:after="1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3220"/>
                <wp:effectExtent l="0" t="0" r="0" b="0"/>
                <wp:wrapNone/>
                <wp:docPr id="17" name="Frame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Stockholders’/Members’ Equity</w:t>
      </w:r>
    </w:p>
    <w:tbl>
      <w:tblPr>
        <w:tblW w:w="15979" w:type="dxa"/>
        <w:jc w:val="center"/>
        <w:tblInd w:w="0" w:type="dxa"/>
        <w:tblCellMar>
          <w:top w:w="28" w:type="dxa"/>
          <w:left w:w="28" w:type="dxa"/>
          <w:bottom w:w="28" w:type="dxa"/>
          <w:right w:w="28" w:type="dxa"/>
        </w:tblCellMar>
      </w:tblPr>
      <w:tblGrid>
        <w:gridCol w:w="547"/>
        <w:gridCol w:w="296"/>
        <w:gridCol w:w="298"/>
        <w:gridCol w:w="109"/>
        <w:gridCol w:w="109"/>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213"/>
        <w:gridCol w:w="719"/>
        <w:gridCol w:w="119"/>
        <w:gridCol w:w="327"/>
        <w:gridCol w:w="231"/>
        <w:gridCol w:w="870"/>
        <w:gridCol w:w="130"/>
        <w:gridCol w:w="327"/>
        <w:gridCol w:w="196"/>
        <w:gridCol w:w="736"/>
        <w:gridCol w:w="154"/>
      </w:tblGrid>
      <w:tr>
        <w:trPr/>
        <w:tc>
          <w:tcPr>
            <w:tcW w:w="54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4566" w:type="dxa"/>
            <w:gridSpan w:val="71"/>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c>
          <w:tcPr>
            <w:tcW w:w="1413" w:type="dxa"/>
            <w:gridSpan w:val="6"/>
            <w:tcBorders/>
            <w:shd w:fill="auto" w:val="clear"/>
          </w:tcPr>
          <w:p>
            <w:pPr>
              <w:pStyle w:val="TableContents"/>
              <w:spacing w:before="0" w:after="283"/>
              <w:rPr>
                <w:sz w:val="4"/>
                <w:szCs w:val="4"/>
              </w:rPr>
            </w:pPr>
            <w:r>
              <w:rPr>
                <w:sz w:val="4"/>
                <w:szCs w:val="4"/>
              </w:rPr>
            </w:r>
          </w:p>
        </w:tc>
      </w:tr>
      <w:tr>
        <w:trPr/>
        <w:tc>
          <w:tcPr>
            <w:tcW w:w="1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22" w:type="dxa"/>
            <w:gridSpan w:val="5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34,433 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49,006 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15,441 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107,193 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(12,679)</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119,213 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213,729 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Adoption of ASU 2016-02, as amended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957 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loss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(4,947)</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(11,332)</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(16,279)</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3,122 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6,778 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(1,145)</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(2,755)</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(3,900)</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 of Tax Receivable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8,657 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8,657 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 of OpCo common units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4,828 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(4,828)</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Surrender and cancellation of Class C &amp; D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(3,620)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(1,379)</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Balance, March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39,557 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45,386 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14,062 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122,655 </w:t>
            </w:r>
          </w:p>
        </w:tc>
        <w:tc>
          <w:tcPr>
            <w:tcW w:w="1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(17,240)</w:t>
            </w:r>
          </w:p>
        </w:tc>
        <w:tc>
          <w:tcPr>
            <w:tcW w:w="1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108,033 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213,450 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3220"/>
                <wp:effectExtent l="0" t="0" r="0" b="0"/>
                <wp:wrapNone/>
                <wp:docPr id="20" name="Frame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Stockholders’/Members’ Equity (continued)</w:t>
      </w:r>
    </w:p>
    <w:tbl>
      <w:tblPr>
        <w:tblW w:w="10205" w:type="dxa"/>
        <w:jc w:val="center"/>
        <w:tblInd w:w="0" w:type="dxa"/>
        <w:tblCellMar>
          <w:top w:w="28" w:type="dxa"/>
          <w:left w:w="28" w:type="dxa"/>
          <w:bottom w:w="28" w:type="dxa"/>
          <w:right w:w="28" w:type="dxa"/>
        </w:tblCellMar>
      </w:tblPr>
      <w:tblGrid>
        <w:gridCol w:w="1087"/>
        <w:gridCol w:w="854"/>
        <w:gridCol w:w="860"/>
        <w:gridCol w:w="109"/>
        <w:gridCol w:w="109"/>
        <w:gridCol w:w="109"/>
        <w:gridCol w:w="414"/>
        <w:gridCol w:w="2004"/>
        <w:gridCol w:w="213"/>
        <w:gridCol w:w="109"/>
        <w:gridCol w:w="109"/>
        <w:gridCol w:w="109"/>
        <w:gridCol w:w="337"/>
        <w:gridCol w:w="1695"/>
        <w:gridCol w:w="174"/>
        <w:gridCol w:w="109"/>
        <w:gridCol w:w="109"/>
        <w:gridCol w:w="109"/>
        <w:gridCol w:w="298"/>
        <w:gridCol w:w="1064"/>
        <w:gridCol w:w="224"/>
      </w:tblGrid>
      <w:tr>
        <w:trPr/>
        <w:tc>
          <w:tcPr>
            <w:tcW w:w="1087"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r>
      <w:tr>
        <w:trPr/>
        <w:tc>
          <w:tcPr>
            <w:tcW w:w="28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Temporary Equity: Redeemable Common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Permanent Equity: Members’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Total Members’ Equity</w:t>
            </w:r>
          </w:p>
        </w:tc>
      </w:tr>
      <w:tr>
        <w:trPr/>
        <w:tc>
          <w:tcPr>
            <w:tcW w:w="280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2020</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00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1,535,772 </w:t>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69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(1,458,285)</w:t>
            </w:r>
          </w:p>
        </w:tc>
        <w:tc>
          <w:tcPr>
            <w:tcW w:w="17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6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77,487 </w:t>
            </w:r>
          </w:p>
        </w:tc>
        <w:tc>
          <w:tcPr>
            <w:tcW w:w="22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Distribution to members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(3,618)</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(3,618)</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in redemption value of redeemable common units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174,750 </w:t>
            </w:r>
          </w:p>
        </w:tc>
        <w:tc>
          <w:tcPr>
            <w:tcW w:w="21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(174,750)</w:t>
            </w:r>
          </w:p>
        </w:tc>
        <w:tc>
          <w:tcPr>
            <w:tcW w:w="17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2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00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1,710,522 </w:t>
            </w:r>
          </w:p>
        </w:tc>
        <w:tc>
          <w:tcPr>
            <w:tcW w:w="2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69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(1,641,475)</w:t>
            </w:r>
          </w:p>
        </w:tc>
        <w:tc>
          <w:tcPr>
            <w:tcW w:w="17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6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69,047 </w:t>
            </w:r>
          </w:p>
        </w:tc>
        <w:tc>
          <w:tcPr>
            <w:tcW w:w="2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3220"/>
                <wp:effectExtent l="0" t="0" r="0" b="0"/>
                <wp:wrapNone/>
                <wp:docPr id="23" name="Frame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w:t>
      </w:r>
    </w:p>
    <w:tbl>
      <w:tblPr>
        <w:tblW w:w="10205" w:type="dxa"/>
        <w:jc w:val="center"/>
        <w:tblInd w:w="0" w:type="dxa"/>
        <w:tblCellMar>
          <w:top w:w="28" w:type="dxa"/>
          <w:left w:w="28" w:type="dxa"/>
          <w:bottom w:w="28" w:type="dxa"/>
          <w:right w:w="28" w:type="dxa"/>
        </w:tblCellMar>
      </w:tblPr>
      <w:tblGrid>
        <w:gridCol w:w="2500"/>
        <w:gridCol w:w="2184"/>
        <w:gridCol w:w="2200"/>
        <w:gridCol w:w="109"/>
        <w:gridCol w:w="109"/>
        <w:gridCol w:w="109"/>
        <w:gridCol w:w="232"/>
        <w:gridCol w:w="873"/>
        <w:gridCol w:w="119"/>
        <w:gridCol w:w="119"/>
        <w:gridCol w:w="119"/>
        <w:gridCol w:w="119"/>
        <w:gridCol w:w="232"/>
        <w:gridCol w:w="794"/>
        <w:gridCol w:w="119"/>
        <w:gridCol w:w="109"/>
        <w:gridCol w:w="159"/>
      </w:tblGrid>
      <w:tr>
        <w:trPr/>
        <w:tc>
          <w:tcPr>
            <w:tcW w:w="2500" w:type="dxa"/>
            <w:tcBorders/>
            <w:shd w:fill="auto" w:val="clear"/>
            <w:vAlign w:val="center"/>
          </w:tcPr>
          <w:p>
            <w:pPr>
              <w:pStyle w:val="TableContents"/>
              <w:spacing w:before="0" w:after="283"/>
              <w:rPr>
                <w:sz w:val="4"/>
                <w:szCs w:val="4"/>
              </w:rPr>
            </w:pPr>
            <w:r>
              <w:rPr>
                <w:sz w:val="4"/>
                <w:szCs w:val="4"/>
              </w:rPr>
            </w:r>
          </w:p>
        </w:tc>
        <w:tc>
          <w:tcPr>
            <w:tcW w:w="2184"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March 31,</w:t>
            </w:r>
          </w:p>
        </w:tc>
        <w:tc>
          <w:tcPr>
            <w:tcW w:w="268" w:type="dxa"/>
            <w:gridSpan w:val="2"/>
            <w:tcBorders/>
            <w:shd w:fill="auto" w:val="clear"/>
          </w:tcPr>
          <w:p>
            <w:pPr>
              <w:pStyle w:val="TableContents"/>
              <w:spacing w:before="0" w:after="283"/>
              <w:rPr>
                <w:sz w:val="4"/>
                <w:szCs w:val="4"/>
              </w:rPr>
            </w:pPr>
            <w:r>
              <w:rPr>
                <w:sz w:val="4"/>
                <w:szCs w:val="4"/>
              </w:rPr>
            </w:r>
          </w:p>
        </w:tc>
      </w:tr>
      <w:tr>
        <w:trPr/>
        <w:tc>
          <w:tcPr>
            <w:tcW w:w="68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(16,279)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(4,822)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Adjustments to reconcile net loss to net cash provided by (used in) operating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9,182 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5,350 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147 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Loss (gain) on disposal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9,900 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14,650 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(511)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2,310 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Changes in operating assets and liabilities, net of 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(2,226)</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(1,681)</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(3,515)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2,904 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853 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1,158 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(132)</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(3,845)</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(1,903)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1,065 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(193)</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2,308 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332 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rent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82 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(2,212)</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(756)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15,487 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investing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(39,982)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(7,942)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disposal of fixed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875 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Acquisition of shops from franchisees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(6,051)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(46,021)</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(7,067)</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line of credit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62,705 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(997)</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(531)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(935)</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(2,749)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Distributions paid to members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(3,618)</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(3,900)</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(used in) financing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55,025 </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(5,084)</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8,248 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3,336 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18,506 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31,640 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26,754 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34,976 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3220"/>
                <wp:effectExtent l="0" t="0" r="0" b="0"/>
                <wp:wrapNone/>
                <wp:docPr id="26" name="Frame1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 (continued)</w:t>
      </w:r>
    </w:p>
    <w:tbl>
      <w:tblPr>
        <w:tblW w:w="9423" w:type="dxa"/>
        <w:jc w:val="left"/>
        <w:tblInd w:w="0" w:type="dxa"/>
        <w:tblCellMar>
          <w:top w:w="28" w:type="dxa"/>
          <w:left w:w="28" w:type="dxa"/>
          <w:bottom w:w="28" w:type="dxa"/>
          <w:right w:w="28" w:type="dxa"/>
        </w:tblCellMar>
      </w:tblPr>
      <w:tblGrid>
        <w:gridCol w:w="2203"/>
        <w:gridCol w:w="1937"/>
        <w:gridCol w:w="1949"/>
        <w:gridCol w:w="109"/>
        <w:gridCol w:w="109"/>
        <w:gridCol w:w="109"/>
        <w:gridCol w:w="263"/>
        <w:gridCol w:w="769"/>
        <w:gridCol w:w="136"/>
        <w:gridCol w:w="136"/>
        <w:gridCol w:w="136"/>
        <w:gridCol w:w="136"/>
        <w:gridCol w:w="263"/>
        <w:gridCol w:w="769"/>
        <w:gridCol w:w="136"/>
        <w:gridCol w:w="109"/>
        <w:gridCol w:w="154"/>
      </w:tblGrid>
      <w:tr>
        <w:trPr/>
        <w:tc>
          <w:tcPr>
            <w:tcW w:w="2203"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paid during the period for interest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69"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2,054 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69"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1,272 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taxes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1,723 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cash flows from 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3,748 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997 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with capital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4,621 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and equipment accrued in accounts payable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1,959 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391 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offering costs accrued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Transfer between line of credit and term loan facility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100,000 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color w:val="131E29"/>
                <w:sz w:val="18"/>
              </w:rPr>
              <w:t xml:space="preserve">Right-of-use assets obtained in exchange for lease obligations </w:t>
            </w:r>
            <w:r>
              <w:rPr>
                <w:rFonts w:ascii="Arial;sans-serif" w:hAnsi="Arial;sans-serif"/>
                <w:b/>
                <w:color w:val="131E29"/>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Finance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64,954 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157,249 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Amounts for the three months ended March 31, 2022 include the transition adjustment for the adoption of Topic 842.</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3220"/>
                <wp:effectExtent l="0" t="0" r="0" b="0"/>
                <wp:wrapNone/>
                <wp:docPr id="29" name="Frame1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Condensed Consolidated Financial Statements</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(Unaudited)</w:t>
      </w:r>
    </w:p>
    <w:tbl>
      <w:tblPr>
        <w:tblW w:w="8217" w:type="dxa"/>
        <w:jc w:val="left"/>
        <w:tblInd w:w="0" w:type="dxa"/>
        <w:tblCellMar>
          <w:top w:w="28" w:type="dxa"/>
          <w:left w:w="28" w:type="dxa"/>
          <w:bottom w:w="28" w:type="dxa"/>
          <w:right w:w="28" w:type="dxa"/>
        </w:tblCellMar>
      </w:tblPr>
      <w:tblGrid>
        <w:gridCol w:w="2631"/>
        <w:gridCol w:w="2309"/>
        <w:gridCol w:w="2334"/>
        <w:gridCol w:w="109"/>
        <w:gridCol w:w="109"/>
        <w:gridCol w:w="109"/>
        <w:gridCol w:w="180"/>
        <w:gridCol w:w="180"/>
        <w:gridCol w:w="256"/>
      </w:tblGrid>
      <w:tr>
        <w:trPr/>
        <w:tc>
          <w:tcPr>
            <w:tcW w:w="2631"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Note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7274"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08d36940599d4c4a854e086ebf05d520_1612">
              <w:r>
                <w:rPr>
                  <w:rStyle w:val="InternetLink"/>
                  <w:rFonts w:ascii="Arial;sans-serif" w:hAnsi="Arial;sans-serif"/>
                  <w:b w:val="false"/>
                  <w:strike w:val="false"/>
                  <w:dstrike w:val="false"/>
                  <w:color w:val="131E29"/>
                  <w:sz w:val="20"/>
                  <w:u w:val="none"/>
                  <w:effect w:val="none"/>
                </w:rPr>
                <w:t>11</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331">
              <w:r>
                <w:rPr>
                  <w:rStyle w:val="InternetLink"/>
                  <w:rFonts w:ascii="Arial;sans-serif" w:hAnsi="Arial;sans-serif"/>
                  <w:b w:val="false"/>
                  <w:strike w:val="false"/>
                  <w:dstrike w:val="false"/>
                  <w:color w:val="131E29"/>
                  <w:sz w:val="20"/>
                  <w:u w:val="none"/>
                  <w:effect w:val="none"/>
                </w:rPr>
                <w:t>12</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18">
              <w:r>
                <w:rPr>
                  <w:rStyle w:val="InternetLink"/>
                  <w:rFonts w:ascii="Arial;sans-serif" w:hAnsi="Arial;sans-serif"/>
                  <w:b w:val="false"/>
                  <w:strike w:val="false"/>
                  <w:dstrike w:val="false"/>
                  <w:color w:val="131E29"/>
                  <w:sz w:val="20"/>
                  <w:u w:val="none"/>
                  <w:effect w:val="none"/>
                </w:rPr>
                <w:t>16</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Shop Acquisitions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27">
              <w:r>
                <w:rPr>
                  <w:rStyle w:val="InternetLink"/>
                  <w:rFonts w:ascii="Arial;sans-serif" w:hAnsi="Arial;sans-serif"/>
                  <w:b w:val="false"/>
                  <w:strike w:val="false"/>
                  <w:dstrike w:val="false"/>
                  <w:color w:val="131E29"/>
                  <w:sz w:val="20"/>
                  <w:u w:val="none"/>
                  <w:effect w:val="none"/>
                </w:rPr>
                <w:t>17</w:t>
              </w:r>
            </w:hyperlink>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Inventories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36">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39">
              <w:r>
                <w:rPr>
                  <w:rStyle w:val="InternetLink"/>
                  <w:rFonts w:ascii="Arial;sans-serif" w:hAnsi="Arial;sans-serif"/>
                  <w:b w:val="false"/>
                  <w:strike w:val="false"/>
                  <w:dstrike w:val="false"/>
                  <w:color w:val="131E29"/>
                  <w:sz w:val="20"/>
                  <w:u w:val="none"/>
                  <w:effect w:val="none"/>
                </w:rPr>
                <w:t>19</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Intangible Assets and Goodwill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42">
              <w:r>
                <w:rPr>
                  <w:rStyle w:val="InternetLink"/>
                  <w:rFonts w:ascii="Arial;sans-serif" w:hAnsi="Arial;sans-serif"/>
                  <w:b w:val="false"/>
                  <w:strike w:val="false"/>
                  <w:dstrike w:val="false"/>
                  <w:color w:val="131E29"/>
                  <w:sz w:val="20"/>
                  <w:u w:val="none"/>
                  <w:effect w:val="none"/>
                </w:rPr>
                <w:t>20</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48">
              <w:r>
                <w:rPr>
                  <w:rStyle w:val="InternetLink"/>
                  <w:rFonts w:ascii="Arial;sans-serif" w:hAnsi="Arial;sans-serif"/>
                  <w:b w:val="false"/>
                  <w:strike w:val="false"/>
                  <w:dstrike w:val="false"/>
                  <w:color w:val="131E29"/>
                  <w:sz w:val="20"/>
                  <w:u w:val="none"/>
                  <w:effect w:val="none"/>
                </w:rPr>
                <w:t>24</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1804">
              <w:r>
                <w:rPr>
                  <w:rStyle w:val="InternetLink"/>
                  <w:rFonts w:ascii="Arial;sans-serif" w:hAnsi="Arial;sans-serif"/>
                  <w:b w:val="false"/>
                  <w:strike w:val="false"/>
                  <w:dstrike w:val="false"/>
                  <w:color w:val="131E29"/>
                  <w:sz w:val="20"/>
                  <w:u w:val="none"/>
                  <w:effect w:val="none"/>
                </w:rPr>
                <w:t>24</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69">
              <w:r>
                <w:rPr>
                  <w:rStyle w:val="InternetLink"/>
                  <w:rFonts w:ascii="Arial;sans-serif" w:hAnsi="Arial;sans-serif"/>
                  <w:b w:val="false"/>
                  <w:strike w:val="false"/>
                  <w:dstrike w:val="false"/>
                  <w:color w:val="131E29"/>
                  <w:sz w:val="20"/>
                  <w:u w:val="none"/>
                  <w:effect w:val="none"/>
                </w:rPr>
                <w:t>25</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Equity and Equity-Based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75">
              <w:r>
                <w:rPr>
                  <w:rStyle w:val="InternetLink"/>
                  <w:rFonts w:ascii="Arial;sans-serif" w:hAnsi="Arial;sans-serif"/>
                  <w:b w:val="false"/>
                  <w:strike w:val="false"/>
                  <w:dstrike w:val="false"/>
                  <w:color w:val="131E29"/>
                  <w:sz w:val="20"/>
                  <w:u w:val="none"/>
                  <w:effect w:val="none"/>
                </w:rPr>
                <w:t>26</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87">
              <w:r>
                <w:rPr>
                  <w:rStyle w:val="InternetLink"/>
                  <w:rFonts w:ascii="Arial;sans-serif" w:hAnsi="Arial;sans-serif"/>
                  <w:b w:val="false"/>
                  <w:strike w:val="false"/>
                  <w:dstrike w:val="false"/>
                  <w:color w:val="131E29"/>
                  <w:sz w:val="20"/>
                  <w:u w:val="none"/>
                  <w:effect w:val="none"/>
                </w:rPr>
                <w:t>27</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Loss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87">
              <w:r>
                <w:rPr>
                  <w:rStyle w:val="InternetLink"/>
                  <w:rFonts w:ascii="Arial;sans-serif" w:hAnsi="Arial;sans-serif"/>
                  <w:b w:val="false"/>
                  <w:strike w:val="false"/>
                  <w:dstrike w:val="false"/>
                  <w:color w:val="131E29"/>
                  <w:sz w:val="20"/>
                  <w:u w:val="none"/>
                  <w:effect w:val="none"/>
                </w:rPr>
                <w:t>27</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Commitments and Contingencies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493">
              <w:r>
                <w:rPr>
                  <w:rStyle w:val="InternetLink"/>
                  <w:rFonts w:ascii="Arial;sans-serif" w:hAnsi="Arial;sans-serif"/>
                  <w:b w:val="false"/>
                  <w:strike w:val="false"/>
                  <w:dstrike w:val="false"/>
                  <w:color w:val="131E29"/>
                  <w:sz w:val="20"/>
                  <w:u w:val="none"/>
                  <w:effect w:val="none"/>
                </w:rPr>
                <w:t>28</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Related Party Transactions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502">
              <w:r>
                <w:rPr>
                  <w:rStyle w:val="InternetLink"/>
                  <w:rFonts w:ascii="Arial;sans-serif" w:hAnsi="Arial;sans-serif"/>
                  <w:b w:val="false"/>
                  <w:strike w:val="false"/>
                  <w:dstrike w:val="false"/>
                  <w:color w:val="131E29"/>
                  <w:sz w:val="20"/>
                  <w:u w:val="none"/>
                  <w:effect w:val="none"/>
                </w:rPr>
                <w:t>30</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Segment Reporting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505">
              <w:r>
                <w:rPr>
                  <w:rStyle w:val="InternetLink"/>
                  <w:rFonts w:ascii="Arial;sans-serif" w:hAnsi="Arial;sans-serif"/>
                  <w:b w:val="false"/>
                  <w:strike w:val="false"/>
                  <w:dstrike w:val="false"/>
                  <w:color w:val="131E29"/>
                  <w:sz w:val="20"/>
                  <w:u w:val="none"/>
                  <w:effect w:val="none"/>
                </w:rPr>
                <w:t>30</w:t>
              </w:r>
            </w:hyperlink>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Subsequent Events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08d36940599d4c4a854e086ebf05d520_511">
              <w:r>
                <w:rPr>
                  <w:rStyle w:val="InternetLink"/>
                  <w:rFonts w:ascii="Arial;sans-serif" w:hAnsi="Arial;sans-serif"/>
                  <w:b w:val="false"/>
                  <w:strike w:val="false"/>
                  <w:dstrike w:val="false"/>
                  <w:color w:val="131E29"/>
                  <w:sz w:val="20"/>
                  <w:u w:val="none"/>
                  <w:effect w:val="none"/>
                </w:rPr>
                <w:t>32</w:t>
              </w:r>
            </w:hyperlink>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3220"/>
                <wp:effectExtent l="0" t="0" r="0" b="0"/>
                <wp:wrapNone/>
                <wp:docPr id="32" name="Frame1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Condensed Consolidated Financial Statements (Unaudited)</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 — Organization and Background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(the Company) is in the business of operating and franchising drive-thru coffee shops as well as the wholesale and distribution of coffee, coffee-related products and accessories. As of March 31, 2022, there were 572 shops in operation in 12 U.S. states, of which 310 were company-operated and 262 were franchised.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Organization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was formed on June 4, 2021 as a Delaware corporation for the purpose of facilitating an IPO and other related transactions in order to carry on the business of Dutch Bros OpCo. The Company is the sole managing member of Dutch Bros OpCo and operates and controls all of the business and affairs of Dutch Bros OpCo. As a result, the Company consolidates the financial results of Dutch Bros OpCo and reports a non-controlling interest representing the economic interest in Dutch Bros OpCo held by the other members of Dutch Bros OpCo. The Company’s fiscal year end is December 31.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2022, the Company held 100.0% of the voting interest and 32.8% of the economic interest of Dutch Bros OpCo. The Continuing Members held none of the voting interest and the remaining 67.2% of the economic interest of Dutch Bros OpCo.</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Initial Public Offering</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On September 17, 2021, the Company completed its IPO of approximately 24.2 million shares of Class A common stock at a public offering price of $23.00 per share, which included approximately 3.2 million shares issued pursuant to the exercise in full of the underwriters’ option to purchase additional shares. The Company received proceeds of approximately $520.8 million, net of offering costs. The proceeds were used to purchase approximately 10.9 million newly-issued Class A common units from Dutch Bros OpCo for approximately $234.4 million. The proceeds were also used to purchase approximately 11.7 million Class A common units from the Continuing Members for approximately $253.3 million, and approximately 1.6 million shares of Class D common stock from the Pre-IPO Blocker Holders for approximately $34.4 million.</w:t>
      </w:r>
    </w:p>
    <w:p>
      <w:pPr>
        <w:pStyle w:val="TextBody"/>
        <w:spacing w:before="0" w:after="0"/>
        <w:rPr/>
      </w:pPr>
      <w:r>
        <w:rPr/>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Reorganization Transactions </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IPO, the Company completed the following transactions (the Reorganization Transactions):</w:t>
      </w:r>
    </w:p>
    <w:p>
      <w:pPr>
        <w:pStyle w:val="TextBody"/>
        <w:spacing w:before="0" w:after="0"/>
        <w:jc w:val="both"/>
        <w:rPr/>
      </w:pPr>
      <w:r>
        <w:rPr/>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Amended and restated the Second Dutch Bros OpCo Agreement to, among other things, effect a recapitalization in which (i) the outstanding Common Units were converted into Class A common units paired with an equal number of either Class B voting units or Class C voting units, and (ii) the outstanding Profits Interest (PI) Units were converted into Class A common units.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Amended and restated the Company’s certificate of incorporation to, among other things, authorize four classes of common stock.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Acquired Class A common units and Class C voting units indirectly held by the Pre-IPO Blocker Holders in exchange for shares of Class D common stock.</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Pre-IPO Dutch Bros OpCo Unitholders’ contribution of Class A common units, Class B voting units, and Class C voting units to the Company in exchange for Class A common stock, Class B common stock, and Class C common stock, respectively.</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3220"/>
                <wp:effectExtent l="0" t="0" r="0" b="0"/>
                <wp:wrapNone/>
                <wp:docPr id="35" name="Frame1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Company’s designation as managing member of Dutch Bros OpCo.</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Entered into two tax receivable agreements (Tax Receivable Agreements or TRAs), which provide for payment by Dutch Bros PubCo to the Continuing Members and the Pre-IPO Blocker Holders of 85% of the benefits, if any, that Dutch Bros PubCo would be deemed to realize (calculated using certain assumptions) as a result of certain tax attributes and benefits covered by the TRAs.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Financial Statements Presentation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accompanying unaudited condensed consolidated financial statements as of March 31, 2022 and for the three months ended March 31, 2022 and 2021 are prepared in accordance with the rules and regulations of the Securities and Exchange Commission (the SEC) for interim financial information. Accordingly, they do not include all of the information and footnotes required by accounting principles generally accepted in the United States of America (GAAP) for complete financial statements. Therefore, the unaudited financial statements should be read in conjunction with the audited consolidated financial statements contained in our Annual Report on Form 10-K filed with the SEC and on March 11,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Immaterial Correction of Previously Issued Consolidated Financial Statements</w:t>
      </w:r>
    </w:p>
    <w:p>
      <w:pPr>
        <w:pStyle w:val="TextBody"/>
        <w:spacing w:lineRule="auto" w:line="288" w:before="0" w:after="180"/>
        <w:jc w:val="both"/>
        <w:rPr/>
      </w:pPr>
      <w:r>
        <w:rPr>
          <w:rFonts w:ascii="Arial;sans-serif" w:hAnsi="Arial;sans-serif"/>
          <w:b w:val="false"/>
          <w:color w:val="131E29"/>
          <w:sz w:val="20"/>
        </w:rPr>
        <w:t xml:space="preserve">Subsequent to the issuance of the Company’s 2021 consolidated financial statements, management of the Company identified an error in application of Accounting Standards Codification (ASC) 710, </w:t>
      </w:r>
      <w:r>
        <w:rPr>
          <w:rFonts w:ascii="Arial;sans-serif" w:hAnsi="Arial;sans-serif"/>
          <w:b w:val="false"/>
          <w:i/>
          <w:color w:val="131E29"/>
          <w:sz w:val="20"/>
        </w:rPr>
        <w:t>Compensation-General</w:t>
      </w:r>
      <w:r>
        <w:rPr>
          <w:rFonts w:ascii="Arial;sans-serif" w:hAnsi="Arial;sans-serif"/>
          <w:b w:val="false"/>
          <w:color w:val="131E29"/>
          <w:sz w:val="20"/>
        </w:rPr>
        <w:t xml:space="preserve">, related to accrued sick leave pay. ASC 710-10-25-7 states that an employer is not required to accrue a liability for nonvesting accumulating rights to receive sick pay benefits. Historically, the Company accrued sick leave pay expense for each employee. As unused sick leave pay does not carry forward and is not paid out upon termination, the accrued liability should not have been recorded. </w:t>
      </w:r>
    </w:p>
    <w:p>
      <w:pPr>
        <w:pStyle w:val="TextBody"/>
        <w:spacing w:lineRule="auto" w:line="288" w:before="0" w:after="180"/>
        <w:jc w:val="both"/>
        <w:rPr/>
      </w:pPr>
      <w:r>
        <w:rPr>
          <w:rFonts w:ascii="Arial;sans-serif" w:hAnsi="Arial;sans-serif"/>
          <w:b w:val="false"/>
          <w:color w:val="131E29"/>
          <w:sz w:val="20"/>
        </w:rPr>
        <w:t xml:space="preserve">The Company has evaluated the effects of the corrections detailed in the table below on the previously issued consolidated financial statements, individually and in the aggregate, in accordance with the guidance in ASC 250, </w:t>
      </w:r>
      <w:r>
        <w:rPr>
          <w:rFonts w:ascii="Arial;sans-serif" w:hAnsi="Arial;sans-serif"/>
          <w:b w:val="false"/>
          <w:i/>
          <w:color w:val="131E29"/>
          <w:sz w:val="20"/>
        </w:rPr>
        <w:t xml:space="preserve">Accounting Changes and Error Corrections. </w:t>
      </w:r>
      <w:r>
        <w:rPr>
          <w:rFonts w:ascii="Arial;sans-serif" w:hAnsi="Arial;sans-serif"/>
          <w:b w:val="false"/>
          <w:color w:val="131E29"/>
          <w:sz w:val="20"/>
        </w:rPr>
        <w:t>The Company has concluded such corrections to be immaterial to its previously issued consolidated financial statements.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management believes the effect of the error is immaterial to the Company’s previously issued consolidated financial statements as of December 31, 2021, and as of and for the three months ended March 31, 2021, the financial statement line items impacted by this error have been corrected. In addition, the immaterial error will be corrected prospectively in the Company’s subsequent quarterly and annual filings.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tables below reflect the sections of the Company’s condensed consolidated financial statements that were impacted by the error.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3220"/>
                <wp:effectExtent l="0" t="0" r="0" b="0"/>
                <wp:wrapNone/>
                <wp:docPr id="38" name="Frame1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Condensed Consolidated Balance Sheets:</w:t>
      </w:r>
    </w:p>
    <w:tbl>
      <w:tblPr>
        <w:tblW w:w="9681" w:type="dxa"/>
        <w:jc w:val="left"/>
        <w:tblInd w:w="0" w:type="dxa"/>
        <w:tblCellMar>
          <w:top w:w="28" w:type="dxa"/>
          <w:left w:w="28" w:type="dxa"/>
          <w:bottom w:w="28" w:type="dxa"/>
          <w:right w:w="28" w:type="dxa"/>
        </w:tblCellMar>
      </w:tblPr>
      <w:tblGrid>
        <w:gridCol w:w="1822"/>
        <w:gridCol w:w="1597"/>
        <w:gridCol w:w="1606"/>
        <w:gridCol w:w="109"/>
        <w:gridCol w:w="109"/>
        <w:gridCol w:w="109"/>
        <w:gridCol w:w="212"/>
        <w:gridCol w:w="863"/>
        <w:gridCol w:w="109"/>
        <w:gridCol w:w="109"/>
        <w:gridCol w:w="109"/>
        <w:gridCol w:w="109"/>
        <w:gridCol w:w="262"/>
        <w:gridCol w:w="803"/>
        <w:gridCol w:w="136"/>
        <w:gridCol w:w="109"/>
        <w:gridCol w:w="109"/>
        <w:gridCol w:w="109"/>
        <w:gridCol w:w="223"/>
        <w:gridCol w:w="905"/>
        <w:gridCol w:w="162"/>
      </w:tblGrid>
      <w:tr>
        <w:trPr/>
        <w:tc>
          <w:tcPr>
            <w:tcW w:w="1822" w:type="dxa"/>
            <w:tcBorders/>
            <w:shd w:fill="auto" w:val="clear"/>
            <w:vAlign w:val="center"/>
          </w:tcPr>
          <w:p>
            <w:pPr>
              <w:pStyle w:val="TableContents"/>
              <w:spacing w:before="0" w:after="283"/>
              <w:rPr>
                <w:sz w:val="4"/>
                <w:szCs w:val="4"/>
              </w:rPr>
            </w:pPr>
            <w:r>
              <w:rPr>
                <w:sz w:val="4"/>
                <w:szCs w:val="4"/>
              </w:rPr>
            </w:r>
          </w:p>
        </w:tc>
        <w:tc>
          <w:tcPr>
            <w:tcW w:w="1597"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9"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131E29"/>
                <w:sz w:val="20"/>
              </w:rPr>
            </w:pPr>
            <w:r>
              <w:rPr>
                <w:rFonts w:ascii="Arial;sans-serif" w:hAnsi="Arial;sans-serif"/>
                <w:b w:val="false"/>
                <w:color w:val="131E29"/>
                <w:sz w:val="20"/>
              </w:rPr>
              <w:t>December 31, 2021</w:t>
            </w:r>
          </w:p>
        </w:tc>
      </w:tr>
      <w:tr>
        <w:trPr/>
        <w:tc>
          <w:tcPr>
            <w:tcW w:w="5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Corrected</w:t>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502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24,513 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(3,543)</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20,970 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142,277 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(3,543)</w:t>
            </w:r>
          </w:p>
        </w:tc>
        <w:tc>
          <w:tcPr>
            <w:tcW w:w="13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138,734 </w:t>
            </w:r>
          </w:p>
        </w:tc>
        <w:tc>
          <w:tcPr>
            <w:tcW w:w="16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343,514 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339,971 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Additional paid in capital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106,410 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783 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107,193 </w:t>
            </w:r>
          </w:p>
        </w:tc>
        <w:tc>
          <w:tcPr>
            <w:tcW w:w="16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(12,679)</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stockholders’ equity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93,498 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1,018 </w:t>
            </w:r>
          </w:p>
        </w:tc>
        <w:tc>
          <w:tcPr>
            <w:tcW w:w="13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94,516 </w:t>
            </w:r>
          </w:p>
        </w:tc>
        <w:tc>
          <w:tcPr>
            <w:tcW w:w="16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2,525 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119,213 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equity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210,186 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3,543 </w:t>
            </w:r>
          </w:p>
        </w:tc>
        <w:tc>
          <w:tcPr>
            <w:tcW w:w="1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213,729 </w:t>
            </w:r>
          </w:p>
        </w:tc>
        <w:tc>
          <w:tcPr>
            <w:tcW w:w="1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Condensed Consolidated Statement of Operations:</w:t>
      </w:r>
    </w:p>
    <w:tbl>
      <w:tblPr>
        <w:tblW w:w="7761" w:type="dxa"/>
        <w:jc w:val="left"/>
        <w:tblInd w:w="0" w:type="dxa"/>
        <w:tblCellMar>
          <w:top w:w="28" w:type="dxa"/>
          <w:left w:w="28" w:type="dxa"/>
          <w:bottom w:w="28" w:type="dxa"/>
          <w:right w:w="28" w:type="dxa"/>
        </w:tblCellMar>
      </w:tblPr>
      <w:tblGrid>
        <w:gridCol w:w="1125"/>
        <w:gridCol w:w="988"/>
        <w:gridCol w:w="992"/>
        <w:gridCol w:w="109"/>
        <w:gridCol w:w="109"/>
        <w:gridCol w:w="109"/>
        <w:gridCol w:w="233"/>
        <w:gridCol w:w="831"/>
        <w:gridCol w:w="120"/>
        <w:gridCol w:w="109"/>
        <w:gridCol w:w="109"/>
        <w:gridCol w:w="109"/>
        <w:gridCol w:w="316"/>
        <w:gridCol w:w="721"/>
        <w:gridCol w:w="164"/>
        <w:gridCol w:w="109"/>
        <w:gridCol w:w="109"/>
        <w:gridCol w:w="109"/>
        <w:gridCol w:w="244"/>
        <w:gridCol w:w="868"/>
        <w:gridCol w:w="178"/>
      </w:tblGrid>
      <w:tr>
        <w:trPr/>
        <w:tc>
          <w:tcPr>
            <w:tcW w:w="112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Three Months Ended March 31, 2021</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Corrected</w:t>
            </w:r>
          </w:p>
        </w:tc>
      </w:tr>
      <w:tr>
        <w:trPr/>
        <w:tc>
          <w:tcPr>
            <w:tcW w:w="310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66,925 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66,508 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36,354 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(368)</w:t>
            </w:r>
          </w:p>
        </w:tc>
        <w:tc>
          <w:tcPr>
            <w:tcW w:w="16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35,986 </w:t>
            </w:r>
          </w:p>
        </w:tc>
        <w:tc>
          <w:tcPr>
            <w:tcW w:w="17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103,279 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102,494 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from operations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(4,494)</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785 </w:t>
            </w:r>
          </w:p>
        </w:tc>
        <w:tc>
          <w:tcPr>
            <w:tcW w:w="16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(3,709)</w:t>
            </w:r>
          </w:p>
        </w:tc>
        <w:tc>
          <w:tcPr>
            <w:tcW w:w="17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(5,564)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(4,779)</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(5,607)</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785 </w:t>
            </w:r>
          </w:p>
        </w:tc>
        <w:tc>
          <w:tcPr>
            <w:tcW w:w="16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6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Condensed Consolidated Statement of Changes in Members’ Equity:</w:t>
      </w:r>
    </w:p>
    <w:tbl>
      <w:tblPr>
        <w:tblW w:w="8464" w:type="dxa"/>
        <w:jc w:val="left"/>
        <w:tblInd w:w="0" w:type="dxa"/>
        <w:tblCellMar>
          <w:top w:w="28" w:type="dxa"/>
          <w:left w:w="28" w:type="dxa"/>
          <w:bottom w:w="28" w:type="dxa"/>
          <w:right w:w="28" w:type="dxa"/>
        </w:tblCellMar>
      </w:tblPr>
      <w:tblGrid>
        <w:gridCol w:w="1245"/>
        <w:gridCol w:w="1092"/>
        <w:gridCol w:w="1098"/>
        <w:gridCol w:w="109"/>
        <w:gridCol w:w="109"/>
        <w:gridCol w:w="109"/>
        <w:gridCol w:w="211"/>
        <w:gridCol w:w="1081"/>
        <w:gridCol w:w="109"/>
        <w:gridCol w:w="109"/>
        <w:gridCol w:w="109"/>
        <w:gridCol w:w="109"/>
        <w:gridCol w:w="262"/>
        <w:gridCol w:w="803"/>
        <w:gridCol w:w="136"/>
        <w:gridCol w:w="109"/>
        <w:gridCol w:w="109"/>
        <w:gridCol w:w="109"/>
        <w:gridCol w:w="211"/>
        <w:gridCol w:w="1081"/>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Three Months Ended March 31, 2021</w:t>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Corrected</w:t>
            </w:r>
          </w:p>
        </w:tc>
      </w:tr>
      <w:tr>
        <w:trPr/>
        <w:tc>
          <w:tcPr>
            <w:tcW w:w="343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Permanent equity: members’ deficit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Balance,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(1,459,782)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1,497 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(1,458,285)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(5,607)</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785 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Balance, March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(1,643,757)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(1,641,475)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Condensed Consolidated Statement of Cash Flows:</w:t>
      </w:r>
    </w:p>
    <w:tbl>
      <w:tblPr>
        <w:tblW w:w="10145" w:type="dxa"/>
        <w:jc w:val="left"/>
        <w:tblInd w:w="0" w:type="dxa"/>
        <w:tblCellMar>
          <w:top w:w="28" w:type="dxa"/>
          <w:left w:w="28" w:type="dxa"/>
          <w:bottom w:w="28" w:type="dxa"/>
          <w:right w:w="28" w:type="dxa"/>
        </w:tblCellMar>
      </w:tblPr>
      <w:tblGrid>
        <w:gridCol w:w="1989"/>
        <w:gridCol w:w="1745"/>
        <w:gridCol w:w="1755"/>
        <w:gridCol w:w="109"/>
        <w:gridCol w:w="109"/>
        <w:gridCol w:w="109"/>
        <w:gridCol w:w="243"/>
        <w:gridCol w:w="816"/>
        <w:gridCol w:w="125"/>
        <w:gridCol w:w="109"/>
        <w:gridCol w:w="109"/>
        <w:gridCol w:w="109"/>
        <w:gridCol w:w="316"/>
        <w:gridCol w:w="721"/>
        <w:gridCol w:w="164"/>
        <w:gridCol w:w="109"/>
        <w:gridCol w:w="109"/>
        <w:gridCol w:w="109"/>
        <w:gridCol w:w="254"/>
        <w:gridCol w:w="851"/>
        <w:gridCol w:w="185"/>
      </w:tblGrid>
      <w:tr>
        <w:trPr/>
        <w:tc>
          <w:tcPr>
            <w:tcW w:w="1989"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7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9"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Three Months Ended March 31, 2021</w:t>
            </w:r>
          </w:p>
        </w:tc>
      </w:tr>
      <w:tr>
        <w:trPr/>
        <w:tc>
          <w:tcPr>
            <w:tcW w:w="54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As Corrected</w:t>
            </w:r>
          </w:p>
        </w:tc>
      </w:tr>
      <w:tr>
        <w:trPr/>
        <w:tc>
          <w:tcPr>
            <w:tcW w:w="548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(5,607)</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548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Changes in operating assets and liabilities, net of acquisitions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3220"/>
                <wp:effectExtent l="0" t="0" r="0" b="0"/>
                <wp:wrapNone/>
                <wp:docPr id="41" name="Frame1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Significant Accounting Policies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Principles of Consolidation</w:t>
      </w:r>
    </w:p>
    <w:p>
      <w:pPr>
        <w:pStyle w:val="TextBody"/>
        <w:spacing w:before="0" w:after="0"/>
        <w:rPr/>
      </w:pPr>
      <w:r>
        <w:rPr/>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condensed consolidated financial statements include the accounts of the Company and its subsidiaries that it controls due to ownership of a majority voting interest or pursuant to accounting guidance for non-controlling interests. All intercompany transactions and balances have been eliminated in consolidation.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Use of Estimates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presentation of condensed consolidated financial statements in conformity with GAAP requires management to make estimates and assumptions, primarily related to long-lived asset valuation, leases, deferred revenue, tax receivable agreements, income taxes, and equity-based compensation that affect the reported amounts of assets and liabilities and disclosure of contingent assets and liabilities at the date of the condensed consolidated financial statements and the reported amounts of revenues and expenses during the reporting period. Although management bases its estimates on historical experience and assumptions that are believed to be reasonable under the circumstances, actual results could differ from those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Reclassifications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has reclassified certain amounts in prior-period financial statements to conform to the current period's presentation. On the condensed consolidated statements of cash flows, deferred income tax assets have been reclassified from other long-term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Leases</w:t>
      </w:r>
    </w:p>
    <w:p>
      <w:pPr>
        <w:pStyle w:val="TextBody"/>
        <w:spacing w:lineRule="auto" w:line="288" w:before="0" w:after="180"/>
        <w:jc w:val="both"/>
        <w:rPr/>
      </w:pPr>
      <w:r>
        <w:rPr>
          <w:rFonts w:ascii="Arial;sans-serif" w:hAnsi="Arial;sans-serif"/>
          <w:b w:val="false"/>
          <w:color w:val="131E29"/>
          <w:sz w:val="20"/>
        </w:rPr>
        <w:t xml:space="preserve">The Company adopted ASC Topic 842 (ASC 842), </w:t>
      </w:r>
      <w:r>
        <w:rPr>
          <w:rFonts w:ascii="Arial;sans-serif" w:hAnsi="Arial;sans-serif"/>
          <w:b w:val="false"/>
          <w:i/>
          <w:color w:val="131E29"/>
          <w:sz w:val="20"/>
        </w:rPr>
        <w:t>Leases</w:t>
      </w:r>
      <w:r>
        <w:rPr>
          <w:rFonts w:ascii="Arial;sans-serif" w:hAnsi="Arial;sans-serif"/>
          <w:b w:val="false"/>
          <w:color w:val="131E29"/>
          <w:sz w:val="20"/>
        </w:rPr>
        <w:t>, as amended, with an effective date of January 1, 2022. Details of the adoption and the Company’s accounting policies related to leases are provided in NOTE 8 — Leases.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Revenue Recognition</w:t>
      </w:r>
    </w:p>
    <w:p>
      <w:pPr>
        <w:pStyle w:val="TextBody"/>
        <w:spacing w:lineRule="auto" w:line="288" w:before="0" w:after="180"/>
        <w:jc w:val="both"/>
        <w:rPr/>
      </w:pPr>
      <w:r>
        <w:rPr>
          <w:rFonts w:ascii="Arial;sans-serif" w:hAnsi="Arial;sans-serif"/>
          <w:b w:val="false"/>
          <w:color w:val="131E29"/>
          <w:sz w:val="20"/>
        </w:rPr>
        <w:t xml:space="preserve">Consolidated revenues are recognized net of any discounts, returns, allowances and sales incentives in accordance with Accounting Standard Codification (ASC) Topic 606, </w:t>
      </w:r>
      <w:r>
        <w:rPr>
          <w:rFonts w:ascii="Arial;sans-serif" w:hAnsi="Arial;sans-serif"/>
          <w:b w:val="false"/>
          <w:i/>
          <w:color w:val="131E29"/>
          <w:sz w:val="20"/>
        </w:rPr>
        <w:t>Revenue from Contracts with Customers</w:t>
      </w:r>
      <w:r>
        <w:rPr>
          <w:rFonts w:ascii="Arial;sans-serif" w:hAnsi="Arial;sans-serif"/>
          <w:b w:val="false"/>
          <w:color w:val="131E29"/>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i/>
          <w:color w:val="006098"/>
          <w:sz w:val="20"/>
        </w:rPr>
      </w:pPr>
      <w:r>
        <w:rPr>
          <w:rFonts w:ascii="Arial;sans-serif" w:hAnsi="Arial;sans-serif"/>
          <w:b w:val="false"/>
          <w:i/>
          <w:color w:val="006098"/>
          <w:sz w:val="20"/>
        </w:rPr>
        <w:t>Loyalty and Gift Card Programs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February 2021, the Company transitioned from a traditional loyalty program to a digital loyalty program. Under the previous program, a customer earned a “Stamp” for each purchase at a Dutch Bros coffee shop. After accumulating a certain number of Stamps, the customer earned a reward that may be redeemed for free product that, regardless of where the related Stamps were earned, would have been honored at company-operated shops and franchised shop locations. The Company deferred revenue associated with the estimated selling price of Stamps earned by customers towards free product as each Stamp was earned, and a corresponding contract liability was established. The estimated selling price of each Stamp earned was based on the estimated value of the product for which the reward was expected to be redeemed, net of Stamps not expected to be redeemed, based on historical redemption patterns. Stamps did not expire. As a result of the COVID-19 pandemic beginning in March 2020, the Company discontinued new Stamps. The Company continued to redeem previously earned Stamps through March 2021. In February 2021, the Company developed a new loyalty program (Dutch Rewards) in which the customer earns rewards through use of the Company’s mobile app that can be redeemed for free drinks. Earned rewards expire six months after issuance, and points collected but not redeemed expire after six months. The Company defers revenue as rewards are earned under the new loyalty program.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3220"/>
                <wp:effectExtent l="0" t="0" r="0" b="0"/>
                <wp:wrapNone/>
                <wp:docPr id="44" name="Frame1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0"/>
        <w:rPr>
          <w:rFonts w:ascii="Arial;sans-serif" w:hAnsi="Arial;sans-serif"/>
          <w:b w:val="false"/>
          <w:i/>
          <w:color w:val="006098"/>
          <w:sz w:val="20"/>
        </w:rPr>
      </w:pPr>
      <w:r>
        <w:rPr>
          <w:rFonts w:ascii="Arial;sans-serif" w:hAnsi="Arial;sans-serif"/>
          <w:b w:val="false"/>
          <w:i/>
          <w:color w:val="006098"/>
          <w:sz w:val="20"/>
        </w:rPr>
        <w:t>Deferred Revenue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Deferred revenue primarily consists of the unredeemed gift card liability and unredeemed points from our Dutch Rewards loyalty program, as discussed above. Deferred revenue also includes customer advance payments and bean and beverage sales to distributors where the performance obligation has not yet been satisfied as control has not transferred to the customer.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Vendor Incentives</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Company has entered into food and beverage supply agreements with certain major vendors. Pursuant to the terms of these arrangements, rebates are provided to the Company from the vendors based upon the dollar value of purchases for company-operated shops and franchised shops. These incentives are recognized as earned throughout the year and are classified as a reduction of cost of sales in the accompanying consolidated statements of operations. Vendor incentives recognized in cost of sales were as follows for the periods presented:</w:t>
      </w:r>
    </w:p>
    <w:tbl>
      <w:tblPr>
        <w:tblW w:w="5702" w:type="dxa"/>
        <w:jc w:val="left"/>
        <w:tblInd w:w="0" w:type="dxa"/>
        <w:tblCellMar>
          <w:top w:w="28" w:type="dxa"/>
          <w:left w:w="28" w:type="dxa"/>
          <w:bottom w:w="28" w:type="dxa"/>
          <w:right w:w="28" w:type="dxa"/>
        </w:tblCellMar>
      </w:tblPr>
      <w:tblGrid>
        <w:gridCol w:w="609"/>
        <w:gridCol w:w="534"/>
        <w:gridCol w:w="537"/>
        <w:gridCol w:w="109"/>
        <w:gridCol w:w="109"/>
        <w:gridCol w:w="109"/>
        <w:gridCol w:w="280"/>
        <w:gridCol w:w="858"/>
        <w:gridCol w:w="144"/>
        <w:gridCol w:w="144"/>
        <w:gridCol w:w="144"/>
        <w:gridCol w:w="144"/>
        <w:gridCol w:w="280"/>
        <w:gridCol w:w="858"/>
        <w:gridCol w:w="144"/>
        <w:gridCol w:w="109"/>
        <w:gridCol w:w="109"/>
        <w:gridCol w:w="109"/>
        <w:gridCol w:w="109"/>
        <w:gridCol w:w="109"/>
        <w:gridCol w:w="154"/>
      </w:tblGrid>
      <w:tr>
        <w:trPr/>
        <w:tc>
          <w:tcPr>
            <w:tcW w:w="6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Vendor incentives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9,006 </w:t>
            </w:r>
          </w:p>
        </w:tc>
        <w:tc>
          <w:tcPr>
            <w:tcW w:w="144"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9,277 </w:t>
            </w:r>
          </w:p>
        </w:tc>
        <w:tc>
          <w:tcPr>
            <w:tcW w:w="144"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Advertising Expense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Advertising costs are expensed as they are incurred. Most franchise shops contribute to an advertising fund that the Company manages on behalf of the shops. Under the Company’s standard franchise agreement, the contributions received must be spent on marketing, creative efforts, media support, or other related purposes specified in the agreement. The expenditures are primarily amounts paid to third parties but may also include personnel expenses and allocated costs. Advertising expense was as follows for the periods presented:</w:t>
      </w:r>
    </w:p>
    <w:tbl>
      <w:tblPr>
        <w:tblW w:w="5912" w:type="dxa"/>
        <w:jc w:val="left"/>
        <w:tblInd w:w="0" w:type="dxa"/>
        <w:tblCellMar>
          <w:top w:w="28" w:type="dxa"/>
          <w:left w:w="28" w:type="dxa"/>
          <w:bottom w:w="28" w:type="dxa"/>
          <w:right w:w="28" w:type="dxa"/>
        </w:tblCellMar>
      </w:tblPr>
      <w:tblGrid>
        <w:gridCol w:w="685"/>
        <w:gridCol w:w="601"/>
        <w:gridCol w:w="604"/>
        <w:gridCol w:w="109"/>
        <w:gridCol w:w="109"/>
        <w:gridCol w:w="109"/>
        <w:gridCol w:w="280"/>
        <w:gridCol w:w="858"/>
        <w:gridCol w:w="144"/>
        <w:gridCol w:w="144"/>
        <w:gridCol w:w="144"/>
        <w:gridCol w:w="144"/>
        <w:gridCol w:w="280"/>
        <w:gridCol w:w="858"/>
        <w:gridCol w:w="144"/>
        <w:gridCol w:w="109"/>
        <w:gridCol w:w="109"/>
        <w:gridCol w:w="109"/>
        <w:gridCol w:w="109"/>
        <w:gridCol w:w="109"/>
        <w:gridCol w:w="154"/>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Advertising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7,624 </w:t>
            </w:r>
          </w:p>
        </w:tc>
        <w:tc>
          <w:tcPr>
            <w:tcW w:w="14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5,917 </w:t>
            </w:r>
          </w:p>
        </w:tc>
        <w:tc>
          <w:tcPr>
            <w:tcW w:w="14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Recently Issued Accounting Standards</w:t>
      </w:r>
    </w:p>
    <w:p>
      <w:pPr>
        <w:pStyle w:val="TextBody"/>
        <w:spacing w:lineRule="auto" w:line="288" w:before="0" w:after="180"/>
        <w:jc w:val="both"/>
        <w:rPr/>
      </w:pPr>
      <w:r>
        <w:rPr>
          <w:rFonts w:ascii="Arial;sans-serif" w:hAnsi="Arial;sans-serif"/>
          <w:b w:val="false"/>
          <w:color w:val="131E29"/>
          <w:sz w:val="20"/>
        </w:rPr>
        <w:t xml:space="preserve">In June 2016, the Financial Accounting Standards Board (FASB) issued Accounting Standards Update (ASU) No. 2016-13, </w:t>
      </w:r>
      <w:r>
        <w:rPr>
          <w:rFonts w:ascii="Arial;sans-serif" w:hAnsi="Arial;sans-serif"/>
          <w:b w:val="false"/>
          <w:i/>
          <w:color w:val="131E29"/>
          <w:sz w:val="20"/>
        </w:rPr>
        <w:t>Financial Instruments—Credit Losses</w:t>
      </w:r>
      <w:r>
        <w:rPr>
          <w:color w:val="131E29"/>
        </w:rPr>
        <w:t xml:space="preserve"> </w:t>
      </w:r>
      <w:r>
        <w:rPr>
          <w:rFonts w:ascii="Arial;sans-serif" w:hAnsi="Arial;sans-serif"/>
          <w:b w:val="false"/>
          <w:i/>
          <w:color w:val="131E29"/>
          <w:sz w:val="20"/>
        </w:rPr>
        <w:t>(Topic 326)</w:t>
      </w:r>
      <w:r>
        <w:rPr>
          <w:rFonts w:ascii="Arial;sans-serif" w:hAnsi="Arial;sans-serif"/>
          <w:b w:val="false"/>
          <w:color w:val="131E29"/>
          <w:sz w:val="20"/>
        </w:rPr>
        <w:t xml:space="preserve">: </w:t>
      </w:r>
      <w:r>
        <w:rPr>
          <w:rFonts w:ascii="Arial;sans-serif" w:hAnsi="Arial;sans-serif"/>
          <w:b w:val="false"/>
          <w:i/>
          <w:color w:val="131E29"/>
          <w:sz w:val="20"/>
        </w:rPr>
        <w:t>Measurement of Credit Losses on Financial Instruments</w:t>
      </w:r>
      <w:r>
        <w:rPr>
          <w:rFonts w:ascii="Arial;sans-serif" w:hAnsi="Arial;sans-serif"/>
          <w:b w:val="false"/>
          <w:color w:val="131E29"/>
          <w:sz w:val="20"/>
        </w:rPr>
        <w:t>. ASU 2016-13, as amended, replaces the incurred loss impairment methodology in current GAAP with a methodology that reflects expected credit losses and requires consideration of a broader range of reasonable and supportable information to inform credit loss estimates. For accounts receivable and other financial instruments, the Company will be required to use a forward-looking expected loss model rather than the incurred loss model for recognizing credit losses which reflects losses that are probable. ASU 2016-13, as amended, is effective for fiscal years beginning after December 15, 2022. Application of the amendments is through a cumulative-effect adjustment to retained earnings as of the effective date. The Company is evaluating the impact of this standard on its consolidated financial statements.</w:t>
      </w:r>
    </w:p>
    <w:p>
      <w:pPr>
        <w:pStyle w:val="TextBody"/>
        <w:spacing w:lineRule="auto" w:line="288" w:before="0" w:after="180"/>
        <w:jc w:val="both"/>
        <w:rPr/>
      </w:pPr>
      <w:r>
        <w:rPr>
          <w:rFonts w:ascii="Arial;sans-serif" w:hAnsi="Arial;sans-serif"/>
          <w:b w:val="false"/>
          <w:color w:val="131E29"/>
          <w:sz w:val="20"/>
        </w:rPr>
        <w:t xml:space="preserve">In October 2021, the FASB issued ASU No. 2021-08, </w:t>
      </w:r>
      <w:r>
        <w:rPr>
          <w:rFonts w:ascii="Arial;sans-serif" w:hAnsi="Arial;sans-serif"/>
          <w:b w:val="false"/>
          <w:i/>
          <w:color w:val="131E29"/>
          <w:sz w:val="20"/>
        </w:rPr>
        <w:t>Business Combinations (Topic 805): Accounting for Contract Assets and Contract Liabilities from Contracts with Customers</w:t>
      </w:r>
      <w:r>
        <w:rPr>
          <w:rFonts w:ascii="Arial;sans-serif" w:hAnsi="Arial;sans-serif"/>
          <w:b w:val="false"/>
          <w:color w:val="131E29"/>
          <w:sz w:val="20"/>
        </w:rPr>
        <w:t>. The amendments in this update provide specific guidance to address diversity in practice related to (1) recognition of an acquired contract liability, and (2) payment terms and their effect on subsequent revenue recognized by the acquirer. The amendments in ASU 2021-08 are applied on a prospective basis, and are effective for fiscal years beginning after December 15, 2023, including interim periods within those fiscal years. Early adoption is permitted. The Company is evaluating the impact of this standard on its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3220"/>
                <wp:effectExtent l="0" t="0" r="0" b="0"/>
                <wp:wrapNone/>
                <wp:docPr id="47" name="Frame1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Recently Adopted Accounting Standards</w:t>
      </w:r>
    </w:p>
    <w:p>
      <w:pPr>
        <w:pStyle w:val="TextBody"/>
        <w:spacing w:lineRule="auto" w:line="288" w:before="0" w:after="180"/>
        <w:jc w:val="both"/>
        <w:rPr/>
      </w:pPr>
      <w:r>
        <w:rPr>
          <w:rFonts w:ascii="Arial;sans-serif" w:hAnsi="Arial;sans-serif"/>
          <w:b w:val="false"/>
          <w:color w:val="131E29"/>
          <w:sz w:val="20"/>
        </w:rPr>
        <w:t xml:space="preserve">In February 2016, the FASB issued ASU No. 2016-02, </w:t>
      </w:r>
      <w:r>
        <w:rPr>
          <w:rFonts w:ascii="Arial;sans-serif" w:hAnsi="Arial;sans-serif"/>
          <w:b w:val="false"/>
          <w:i/>
          <w:color w:val="131E29"/>
          <w:sz w:val="20"/>
        </w:rPr>
        <w:t>Leases (Topic 842</w:t>
      </w:r>
      <w:r>
        <w:rPr>
          <w:rFonts w:ascii="Arial;sans-serif" w:hAnsi="Arial;sans-serif"/>
          <w:b w:val="false"/>
          <w:color w:val="131E29"/>
          <w:sz w:val="20"/>
        </w:rPr>
        <w:t>). The pronouncement requires lessees to recognize a liability for lease obligations, which represent the discounted obligation to make future lease payments, and a corresponding right-of-use asset on the balance sheet, as well as new disclosure requirements. The Company adopted Topic 842 effective January 1, 2022 using the modified transition approach. For additional information, refer to NOTE 8 — Leases.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3 — Revenue Recognition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Revenue</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The following table disaggregates revenue by major component:</w:t>
      </w:r>
    </w:p>
    <w:tbl>
      <w:tblPr>
        <w:tblW w:w="6365" w:type="dxa"/>
        <w:jc w:val="left"/>
        <w:tblInd w:w="0" w:type="dxa"/>
        <w:tblCellMar>
          <w:top w:w="28" w:type="dxa"/>
          <w:left w:w="28" w:type="dxa"/>
          <w:bottom w:w="28" w:type="dxa"/>
          <w:right w:w="28" w:type="dxa"/>
        </w:tblCellMar>
      </w:tblPr>
      <w:tblGrid>
        <w:gridCol w:w="847"/>
        <w:gridCol w:w="743"/>
        <w:gridCol w:w="749"/>
        <w:gridCol w:w="109"/>
        <w:gridCol w:w="109"/>
        <w:gridCol w:w="109"/>
        <w:gridCol w:w="246"/>
        <w:gridCol w:w="998"/>
        <w:gridCol w:w="127"/>
        <w:gridCol w:w="127"/>
        <w:gridCol w:w="127"/>
        <w:gridCol w:w="127"/>
        <w:gridCol w:w="246"/>
        <w:gridCol w:w="875"/>
        <w:gridCol w:w="127"/>
        <w:gridCol w:w="109"/>
        <w:gridCol w:w="109"/>
        <w:gridCol w:w="109"/>
        <w:gridCol w:w="109"/>
        <w:gridCol w:w="109"/>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2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77,917 </w:t>
            </w:r>
          </w:p>
        </w:tc>
        <w:tc>
          <w:tcPr>
            <w:tcW w:w="12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20,773 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19,806 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1,196 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1,062 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98,785 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Deferred Revenue </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Deferred revenue activity related to the Company’s loyalty and gift card programs was as follows:</w:t>
      </w:r>
    </w:p>
    <w:tbl>
      <w:tblPr>
        <w:tblW w:w="9593" w:type="dxa"/>
        <w:jc w:val="left"/>
        <w:tblInd w:w="0" w:type="dxa"/>
        <w:tblCellMar>
          <w:top w:w="28" w:type="dxa"/>
          <w:left w:w="28" w:type="dxa"/>
          <w:bottom w:w="28" w:type="dxa"/>
          <w:right w:w="28" w:type="dxa"/>
        </w:tblCellMar>
      </w:tblPr>
      <w:tblGrid>
        <w:gridCol w:w="2255"/>
        <w:gridCol w:w="1979"/>
        <w:gridCol w:w="1990"/>
        <w:gridCol w:w="109"/>
        <w:gridCol w:w="109"/>
        <w:gridCol w:w="109"/>
        <w:gridCol w:w="255"/>
        <w:gridCol w:w="909"/>
        <w:gridCol w:w="132"/>
        <w:gridCol w:w="132"/>
        <w:gridCol w:w="132"/>
        <w:gridCol w:w="132"/>
        <w:gridCol w:w="255"/>
        <w:gridCol w:w="909"/>
        <w:gridCol w:w="186"/>
      </w:tblGrid>
      <w:tr>
        <w:trPr/>
        <w:tc>
          <w:tcPr>
            <w:tcW w:w="2255"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r>
      <w:tr>
        <w:trPr/>
        <w:tc>
          <w:tcPr>
            <w:tcW w:w="622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January 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9"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22,765 </w:t>
            </w:r>
          </w:p>
        </w:tc>
        <w:tc>
          <w:tcPr>
            <w:tcW w:w="13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9"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10,576 </w:t>
            </w:r>
          </w:p>
        </w:tc>
        <w:tc>
          <w:tcPr>
            <w:tcW w:w="18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 deferred - card activations and rewards earned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53,107 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25,257 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 recognized - card and rewards redemptions and breakage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(52,318)</w:t>
            </w:r>
          </w:p>
        </w:tc>
        <w:tc>
          <w:tcPr>
            <w:tcW w:w="1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(24,101)</w:t>
            </w:r>
          </w:p>
        </w:tc>
        <w:tc>
          <w:tcPr>
            <w:tcW w:w="18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23,554 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11,732 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(20,959)</w:t>
            </w:r>
          </w:p>
        </w:tc>
        <w:tc>
          <w:tcPr>
            <w:tcW w:w="1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(9,601)</w:t>
            </w:r>
          </w:p>
        </w:tc>
        <w:tc>
          <w:tcPr>
            <w:tcW w:w="18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gift card and loyalty programs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Deferred revenue also includes customer advances and sales to distributors where the performance obligation has not been satisfied and control has not been transferred to the customer as of the reporting date, as well as initial unearned franchise fees from franchisees. These deferred revenues reported in the Company’s consolidated balance sheets were as follows:</w:t>
      </w:r>
    </w:p>
    <w:tbl>
      <w:tblPr>
        <w:tblW w:w="10205" w:type="dxa"/>
        <w:jc w:val="left"/>
        <w:tblInd w:w="0" w:type="dxa"/>
        <w:tblCellMar>
          <w:top w:w="28" w:type="dxa"/>
          <w:left w:w="28" w:type="dxa"/>
          <w:bottom w:w="28" w:type="dxa"/>
          <w:right w:w="28" w:type="dxa"/>
        </w:tblCellMar>
      </w:tblPr>
      <w:tblGrid>
        <w:gridCol w:w="2299"/>
        <w:gridCol w:w="2018"/>
        <w:gridCol w:w="2029"/>
        <w:gridCol w:w="109"/>
        <w:gridCol w:w="109"/>
        <w:gridCol w:w="109"/>
        <w:gridCol w:w="309"/>
        <w:gridCol w:w="948"/>
        <w:gridCol w:w="159"/>
        <w:gridCol w:w="109"/>
        <w:gridCol w:w="109"/>
        <w:gridCol w:w="109"/>
        <w:gridCol w:w="371"/>
        <w:gridCol w:w="1140"/>
        <w:gridCol w:w="278"/>
      </w:tblGrid>
      <w:tr>
        <w:trPr/>
        <w:tc>
          <w:tcPr>
            <w:tcW w:w="2299"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6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2116" w:type="dxa"/>
            <w:gridSpan w:val="6"/>
            <w:tcBorders/>
            <w:shd w:fill="auto" w:val="clear"/>
          </w:tcPr>
          <w:p>
            <w:pPr>
              <w:pStyle w:val="TableContents"/>
              <w:spacing w:before="0" w:after="283"/>
              <w:rPr>
                <w:sz w:val="4"/>
                <w:szCs w:val="4"/>
              </w:rPr>
            </w:pPr>
            <w:r>
              <w:rPr>
                <w:sz w:val="4"/>
                <w:szCs w:val="4"/>
              </w:rPr>
            </w:r>
          </w:p>
        </w:tc>
      </w:tr>
      <w:tr>
        <w:trPr/>
        <w:tc>
          <w:tcPr>
            <w:tcW w:w="63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2021</w:t>
            </w:r>
          </w:p>
        </w:tc>
      </w:tr>
      <w:tr>
        <w:trPr/>
        <w:tc>
          <w:tcPr>
            <w:tcW w:w="634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Customer advances and outstanding performance obligations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8"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2,437 </w:t>
            </w:r>
          </w:p>
        </w:tc>
        <w:tc>
          <w:tcPr>
            <w:tcW w:w="15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4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2,512 </w:t>
            </w:r>
          </w:p>
        </w:tc>
        <w:tc>
          <w:tcPr>
            <w:tcW w:w="27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Initial unearned franchise fees from franchisees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2,560 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deferred revenue,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4,865 </w:t>
            </w:r>
          </w:p>
        </w:tc>
        <w:tc>
          <w:tcPr>
            <w:tcW w:w="15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5,072 </w:t>
            </w:r>
          </w:p>
        </w:tc>
        <w:tc>
          <w:tcPr>
            <w:tcW w:w="27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(2,869)</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(2,964)</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1,996 </w:t>
            </w:r>
          </w:p>
        </w:tc>
        <w:tc>
          <w:tcPr>
            <w:tcW w:w="1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2,108 </w:t>
            </w:r>
          </w:p>
        </w:tc>
        <w:tc>
          <w:tcPr>
            <w:tcW w:w="27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3220"/>
                <wp:effectExtent l="0" t="0" r="0" b="0"/>
                <wp:wrapNone/>
                <wp:docPr id="50" name="Frame1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Revenue recognized from initial unearned franchise fees was as follows for the periods presented:</w:t>
      </w:r>
    </w:p>
    <w:tbl>
      <w:tblPr>
        <w:tblW w:w="6048" w:type="dxa"/>
        <w:jc w:val="left"/>
        <w:tblInd w:w="0" w:type="dxa"/>
        <w:tblCellMar>
          <w:top w:w="28" w:type="dxa"/>
          <w:left w:w="28" w:type="dxa"/>
          <w:bottom w:w="28" w:type="dxa"/>
          <w:right w:w="28" w:type="dxa"/>
        </w:tblCellMar>
      </w:tblPr>
      <w:tblGrid>
        <w:gridCol w:w="734"/>
        <w:gridCol w:w="644"/>
        <w:gridCol w:w="647"/>
        <w:gridCol w:w="109"/>
        <w:gridCol w:w="109"/>
        <w:gridCol w:w="109"/>
        <w:gridCol w:w="328"/>
        <w:gridCol w:w="748"/>
        <w:gridCol w:w="169"/>
        <w:gridCol w:w="169"/>
        <w:gridCol w:w="169"/>
        <w:gridCol w:w="169"/>
        <w:gridCol w:w="328"/>
        <w:gridCol w:w="748"/>
        <w:gridCol w:w="169"/>
        <w:gridCol w:w="109"/>
        <w:gridCol w:w="109"/>
        <w:gridCol w:w="109"/>
        <w:gridCol w:w="109"/>
        <w:gridCol w:w="109"/>
        <w:gridCol w:w="154"/>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50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Earned franchise fees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156 </w:t>
            </w:r>
          </w:p>
        </w:tc>
        <w:tc>
          <w:tcPr>
            <w:tcW w:w="1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120 </w:t>
            </w:r>
          </w:p>
        </w:tc>
        <w:tc>
          <w:tcPr>
            <w:tcW w:w="1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50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amortization of initial unearned franchise fees is as follows for the years ending December 31:</w:t>
      </w:r>
    </w:p>
    <w:tbl>
      <w:tblPr>
        <w:tblW w:w="3093" w:type="dxa"/>
        <w:jc w:val="left"/>
        <w:tblInd w:w="0" w:type="dxa"/>
        <w:tblCellMar>
          <w:top w:w="28" w:type="dxa"/>
          <w:left w:w="28" w:type="dxa"/>
          <w:bottom w:w="28" w:type="dxa"/>
          <w:right w:w="28" w:type="dxa"/>
        </w:tblCellMar>
      </w:tblPr>
      <w:tblGrid>
        <w:gridCol w:w="636"/>
        <w:gridCol w:w="558"/>
        <w:gridCol w:w="561"/>
        <w:gridCol w:w="109"/>
        <w:gridCol w:w="109"/>
        <w:gridCol w:w="109"/>
        <w:gridCol w:w="211"/>
        <w:gridCol w:w="646"/>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330 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332 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236 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2,428 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4 — Shop Acquisitions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three months ended March 31, 2022, the Company repurchased the franchise rights and assets of five shops from one franchisee in California. The following table summarizes the allocations of the purchase prices to the estimated fair values of assets acquired and liabilities assumed. The fair values for the 2022 acquisitions are considered preliminary and subject to change within the measurement period (up to one year from the acquisition dates), as we have not obtained all of the detailed information to finalize the opening balance sheet related to the building and leasehold improvements purchased and franchise rights reacquired.</w:t>
      </w:r>
    </w:p>
    <w:tbl>
      <w:tblPr>
        <w:tblW w:w="5628" w:type="dxa"/>
        <w:jc w:val="left"/>
        <w:tblInd w:w="0" w:type="dxa"/>
        <w:tblCellMar>
          <w:top w:w="28" w:type="dxa"/>
          <w:left w:w="28" w:type="dxa"/>
          <w:bottom w:w="28" w:type="dxa"/>
          <w:right w:w="28" w:type="dxa"/>
        </w:tblCellMar>
      </w:tblPr>
      <w:tblGrid>
        <w:gridCol w:w="1288"/>
        <w:gridCol w:w="1130"/>
        <w:gridCol w:w="1136"/>
        <w:gridCol w:w="109"/>
        <w:gridCol w:w="109"/>
        <w:gridCol w:w="109"/>
        <w:gridCol w:w="324"/>
        <w:gridCol w:w="993"/>
        <w:gridCol w:w="167"/>
        <w:gridCol w:w="109"/>
        <w:gridCol w:w="154"/>
      </w:tblGrid>
      <w:tr>
        <w:trPr/>
        <w:tc>
          <w:tcPr>
            <w:tcW w:w="1288"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 consideration: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Purchase price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6,051 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197 </w:t>
            </w:r>
          </w:p>
        </w:tc>
        <w:tc>
          <w:tcPr>
            <w:tcW w:w="16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 and leasehold improvements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Inventories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67 </w:t>
            </w:r>
          </w:p>
        </w:tc>
        <w:tc>
          <w:tcPr>
            <w:tcW w:w="16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2,327 </w:t>
            </w:r>
          </w:p>
        </w:tc>
        <w:tc>
          <w:tcPr>
            <w:tcW w:w="16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Reacquired franchise rights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w:t>
            </w:r>
          </w:p>
        </w:tc>
        <w:tc>
          <w:tcPr>
            <w:tcW w:w="16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Gift card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(250)</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obligations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(2,327)</w:t>
            </w:r>
          </w:p>
        </w:tc>
        <w:tc>
          <w:tcPr>
            <w:tcW w:w="16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3,137 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2,914 </w:t>
            </w:r>
          </w:p>
        </w:tc>
        <w:tc>
          <w:tcPr>
            <w:tcW w:w="1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Reacquired franchise rights acquired have weighted-average useful lives of 4.2 years at the time of purchase for the acquisitions made during the three months ended March 31, 2022. The excess of the purchase price over the aggregate fair value of net assets acquired was allocated to goodwill and is attributable to the benefits expected as a result of the acquisitions, including sales and growth opportunities, and is expected to be fully deductible for tax purposes. Goodwill is allocated entirely to the Company-operated shops segment.</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3220"/>
                <wp:effectExtent l="0" t="0" r="0" b="0"/>
                <wp:wrapNone/>
                <wp:docPr id="53" name="Frame1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fair value measurement of tangible and intangible assets and liabilities as of the acquisition dates is based on significant inputs not observed in the market and thus represents a Level 3 fair value measurement. Fair value measurements for reacquired franchise rights were determined using the income approach. Fair value measurements for property and equipment were determined using the cost approach.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results of operations for the 2022 acquisitions are included in the Company’s consolidated statements of operations beginning on the dates of acquisition. Revenues of approximately $1.0 million and net income of approximately $0.2 million are included in the Company’s consolidated statements of operations for the three months ended March 31,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reflects the unaudited pro forma results of the Company and the five shops purchased in 2022 as if the acquisitions had taken place as of January 1, 2021:</w:t>
      </w:r>
    </w:p>
    <w:tbl>
      <w:tblPr>
        <w:tblW w:w="5332" w:type="dxa"/>
        <w:jc w:val="left"/>
        <w:tblInd w:w="0" w:type="dxa"/>
        <w:tblCellMar>
          <w:top w:w="28" w:type="dxa"/>
          <w:left w:w="28" w:type="dxa"/>
          <w:bottom w:w="28" w:type="dxa"/>
          <w:right w:w="28" w:type="dxa"/>
        </w:tblCellMar>
      </w:tblPr>
      <w:tblGrid>
        <w:gridCol w:w="711"/>
        <w:gridCol w:w="625"/>
        <w:gridCol w:w="629"/>
        <w:gridCol w:w="109"/>
        <w:gridCol w:w="109"/>
        <w:gridCol w:w="109"/>
        <w:gridCol w:w="235"/>
        <w:gridCol w:w="957"/>
        <w:gridCol w:w="121"/>
        <w:gridCol w:w="121"/>
        <w:gridCol w:w="121"/>
        <w:gridCol w:w="121"/>
        <w:gridCol w:w="235"/>
        <w:gridCol w:w="957"/>
        <w:gridCol w:w="172"/>
      </w:tblGrid>
      <w:tr>
        <w:trPr/>
        <w:tc>
          <w:tcPr>
            <w:tcW w:w="711"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r>
      <w:tr>
        <w:trPr/>
        <w:tc>
          <w:tcPr>
            <w:tcW w:w="19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r>
      <w:tr>
        <w:trPr/>
        <w:tc>
          <w:tcPr>
            <w:tcW w:w="19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154,107 </w:t>
            </w:r>
          </w:p>
        </w:tc>
        <w:tc>
          <w:tcPr>
            <w:tcW w:w="12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101,708 </w:t>
            </w:r>
          </w:p>
        </w:tc>
        <w:tc>
          <w:tcPr>
            <w:tcW w:w="17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(15,902)</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(4,256)</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5 — Inventories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Inventories, net consist of the following:</w:t>
      </w:r>
    </w:p>
    <w:tbl>
      <w:tblPr>
        <w:tblW w:w="5587" w:type="dxa"/>
        <w:jc w:val="left"/>
        <w:tblInd w:w="0" w:type="dxa"/>
        <w:tblCellMar>
          <w:top w:w="28" w:type="dxa"/>
          <w:left w:w="28" w:type="dxa"/>
          <w:bottom w:w="28" w:type="dxa"/>
          <w:right w:w="28" w:type="dxa"/>
        </w:tblCellMar>
      </w:tblPr>
      <w:tblGrid>
        <w:gridCol w:w="565"/>
        <w:gridCol w:w="496"/>
        <w:gridCol w:w="498"/>
        <w:gridCol w:w="109"/>
        <w:gridCol w:w="109"/>
        <w:gridCol w:w="109"/>
        <w:gridCol w:w="292"/>
        <w:gridCol w:w="1042"/>
        <w:gridCol w:w="151"/>
        <w:gridCol w:w="109"/>
        <w:gridCol w:w="109"/>
        <w:gridCol w:w="109"/>
        <w:gridCol w:w="357"/>
        <w:gridCol w:w="1272"/>
        <w:gridCol w:w="260"/>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2216" w:type="dxa"/>
            <w:gridSpan w:val="6"/>
            <w:tcBorders/>
            <w:shd w:fill="auto" w:val="clea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2021</w:t>
            </w:r>
          </w:p>
        </w:tc>
      </w:tr>
      <w:tr>
        <w:trPr/>
        <w:tc>
          <w:tcPr>
            <w:tcW w:w="155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5,709 </w:t>
            </w:r>
          </w:p>
        </w:tc>
        <w:tc>
          <w:tcPr>
            <w:tcW w:w="15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5,549 </w:t>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21,218 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17,796 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26,927 </w:t>
            </w:r>
          </w:p>
        </w:tc>
        <w:tc>
          <w:tcPr>
            <w:tcW w:w="1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23,345 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2022 and 2021, reserves for inventories were $1,936 and $2,126,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6 — Property and Equipment</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Property and equipment, net consists of the following:</w:t>
      </w:r>
    </w:p>
    <w:tbl>
      <w:tblPr>
        <w:tblW w:w="8944" w:type="dxa"/>
        <w:jc w:val="left"/>
        <w:tblInd w:w="0" w:type="dxa"/>
        <w:tblCellMar>
          <w:top w:w="28" w:type="dxa"/>
          <w:left w:w="28" w:type="dxa"/>
          <w:bottom w:w="28" w:type="dxa"/>
          <w:right w:w="28" w:type="dxa"/>
        </w:tblCellMar>
      </w:tblPr>
      <w:tblGrid>
        <w:gridCol w:w="1044"/>
        <w:gridCol w:w="915"/>
        <w:gridCol w:w="921"/>
        <w:gridCol w:w="109"/>
        <w:gridCol w:w="109"/>
        <w:gridCol w:w="109"/>
        <w:gridCol w:w="190"/>
        <w:gridCol w:w="190"/>
        <w:gridCol w:w="190"/>
        <w:gridCol w:w="190"/>
        <w:gridCol w:w="190"/>
        <w:gridCol w:w="190"/>
        <w:gridCol w:w="190"/>
        <w:gridCol w:w="190"/>
        <w:gridCol w:w="190"/>
        <w:gridCol w:w="109"/>
        <w:gridCol w:w="109"/>
        <w:gridCol w:w="109"/>
        <w:gridCol w:w="266"/>
        <w:gridCol w:w="1081"/>
        <w:gridCol w:w="137"/>
        <w:gridCol w:w="109"/>
        <w:gridCol w:w="109"/>
        <w:gridCol w:w="109"/>
        <w:gridCol w:w="326"/>
        <w:gridCol w:w="1325"/>
        <w:gridCol w:w="238"/>
      </w:tblGrid>
      <w:tr>
        <w:trPr/>
        <w:tc>
          <w:tcPr>
            <w:tcW w:w="104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2216" w:type="dxa"/>
            <w:gridSpan w:val="6"/>
            <w:tcBorders/>
            <w:shd w:fill="auto" w:val="clea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80"/>
              <w:jc w:val="center"/>
              <w:rPr/>
            </w:pPr>
            <w:r>
              <w:rPr>
                <w:rFonts w:ascii="Arial;sans-serif" w:hAnsi="Arial;sans-serif"/>
                <w:b/>
                <w:color w:val="131E29"/>
                <w:sz w:val="20"/>
              </w:rPr>
              <w:t xml:space="preserve">Useful Life </w:t>
            </w:r>
            <w:r>
              <w:rPr>
                <w:rFonts w:ascii="Arial;sans-serif" w:hAnsi="Arial;sans-serif"/>
                <w:b w:val="false"/>
                <w:color w:val="131E29"/>
                <w:sz w:val="16"/>
              </w:rP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2021</w:t>
            </w:r>
          </w:p>
        </w:tc>
      </w:tr>
      <w:tr>
        <w:trPr/>
        <w:tc>
          <w:tcPr>
            <w:tcW w:w="288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7,213 </w:t>
            </w:r>
          </w:p>
        </w:tc>
        <w:tc>
          <w:tcPr>
            <w:tcW w:w="13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7,132 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68,214 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57,952 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Leasehold improvements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w:t>
            </w:r>
          </w:p>
        </w:tc>
        <w:tc>
          <w:tcPr>
            <w:tcW w:w="57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w:t>
            </w:r>
          </w:p>
        </w:tc>
        <w:tc>
          <w:tcPr>
            <w:tcW w:w="57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22,991 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20,744 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100,509 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168,395 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5,034 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5,242 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Aircraft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Construction-in-progress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94,809 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88,050 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307,965 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357,046 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(50,053)</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(55,048)</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257,912 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301,998 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Aircraft are depreciated under the consumption method.</w:t>
      </w:r>
    </w:p>
    <w:p>
      <w:pPr>
        <w:pStyle w:val="TextBody"/>
        <w:spacing w:lineRule="auto" w:line="288" w:before="0" w:after="180"/>
        <w:ind w:left="0" w:right="0" w:hanging="180"/>
        <w:rPr/>
      </w:pPr>
      <w:r>
        <w:rPr>
          <w:rFonts w:ascii="Arial;sans-serif" w:hAnsi="Arial;sans-serif"/>
          <w:b w:val="false"/>
          <w:color w:val="131E29"/>
          <w:sz w:val="10"/>
        </w:rPr>
        <w:t>2    </w:t>
      </w:r>
      <w:r>
        <w:rPr>
          <w:rFonts w:ascii="Arial;sans-serif" w:hAnsi="Arial;sans-serif"/>
          <w:b w:val="false"/>
          <w:color w:val="131E29"/>
          <w:sz w:val="16"/>
        </w:rPr>
        <w:t>Construction-in-progress primarily consists of construction and equipment costs for new and existing shops.</w:t>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3220"/>
                <wp:effectExtent l="0" t="0" r="0" b="0"/>
                <wp:wrapNone/>
                <wp:docPr id="56" name="Frame2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Depreciation expense included in the Company’s condensed consolidated statements of operations was as follows:</w:t>
      </w:r>
    </w:p>
    <w:tbl>
      <w:tblPr>
        <w:tblW w:w="8027" w:type="dxa"/>
        <w:jc w:val="left"/>
        <w:tblInd w:w="0" w:type="dxa"/>
        <w:tblCellMar>
          <w:top w:w="28" w:type="dxa"/>
          <w:left w:w="28" w:type="dxa"/>
          <w:bottom w:w="28" w:type="dxa"/>
          <w:right w:w="28" w:type="dxa"/>
        </w:tblCellMar>
      </w:tblPr>
      <w:tblGrid>
        <w:gridCol w:w="1451"/>
        <w:gridCol w:w="1274"/>
        <w:gridCol w:w="1280"/>
        <w:gridCol w:w="109"/>
        <w:gridCol w:w="109"/>
        <w:gridCol w:w="109"/>
        <w:gridCol w:w="280"/>
        <w:gridCol w:w="858"/>
        <w:gridCol w:w="144"/>
        <w:gridCol w:w="144"/>
        <w:gridCol w:w="144"/>
        <w:gridCol w:w="144"/>
        <w:gridCol w:w="280"/>
        <w:gridCol w:w="858"/>
        <w:gridCol w:w="144"/>
        <w:gridCol w:w="109"/>
        <w:gridCol w:w="109"/>
        <w:gridCol w:w="109"/>
        <w:gridCol w:w="109"/>
        <w:gridCol w:w="109"/>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7,568 </w:t>
            </w:r>
          </w:p>
        </w:tc>
        <w:tc>
          <w:tcPr>
            <w:tcW w:w="14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3,975 </w:t>
            </w:r>
          </w:p>
        </w:tc>
        <w:tc>
          <w:tcPr>
            <w:tcW w:w="14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8,267 </w:t>
            </w:r>
          </w:p>
        </w:tc>
        <w:tc>
          <w:tcPr>
            <w:tcW w:w="1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4,562 </w:t>
            </w:r>
          </w:p>
        </w:tc>
        <w:tc>
          <w:tcPr>
            <w:tcW w:w="1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impairment charges were recognized for the three months ended March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7 — Intangible Assets and Goodwill</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Intangible Assets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details of the intangible assets are as follows:</w:t>
      </w:r>
    </w:p>
    <w:tbl>
      <w:tblPr>
        <w:tblW w:w="10205" w:type="dxa"/>
        <w:jc w:val="left"/>
        <w:tblInd w:w="0" w:type="dxa"/>
        <w:tblCellMar>
          <w:top w:w="28" w:type="dxa"/>
          <w:left w:w="28" w:type="dxa"/>
          <w:bottom w:w="28" w:type="dxa"/>
          <w:right w:w="28" w:type="dxa"/>
        </w:tblCellMar>
      </w:tblPr>
      <w:tblGrid>
        <w:gridCol w:w="887"/>
        <w:gridCol w:w="755"/>
        <w:gridCol w:w="736"/>
        <w:gridCol w:w="109"/>
        <w:gridCol w:w="109"/>
        <w:gridCol w:w="109"/>
        <w:gridCol w:w="109"/>
        <w:gridCol w:w="109"/>
        <w:gridCol w:w="1202"/>
        <w:gridCol w:w="1202"/>
        <w:gridCol w:w="1204"/>
        <w:gridCol w:w="109"/>
        <w:gridCol w:w="109"/>
        <w:gridCol w:w="109"/>
        <w:gridCol w:w="267"/>
        <w:gridCol w:w="954"/>
        <w:gridCol w:w="138"/>
        <w:gridCol w:w="109"/>
        <w:gridCol w:w="109"/>
        <w:gridCol w:w="109"/>
        <w:gridCol w:w="312"/>
        <w:gridCol w:w="1114"/>
        <w:gridCol w:w="235"/>
      </w:tblGrid>
      <w:tr>
        <w:trPr/>
        <w:tc>
          <w:tcPr>
            <w:tcW w:w="887"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3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9" w:type="dxa"/>
            <w:gridSpan w:val="3"/>
            <w:tcBorders/>
            <w:shd w:fill="auto" w:val="clear"/>
            <w:vAlign w:val="center"/>
          </w:tcPr>
          <w:p>
            <w:pPr>
              <w:pStyle w:val="TableContents"/>
              <w:spacing w:before="0" w:after="283"/>
              <w:rPr>
                <w:sz w:val="4"/>
                <w:szCs w:val="4"/>
              </w:rPr>
            </w:pPr>
            <w:r>
              <w:rPr>
                <w:sz w:val="4"/>
                <w:szCs w:val="4"/>
              </w:rPr>
            </w:r>
          </w:p>
        </w:tc>
        <w:tc>
          <w:tcPr>
            <w:tcW w:w="1988" w:type="dxa"/>
            <w:gridSpan w:val="6"/>
            <w:tcBorders/>
            <w:shd w:fill="auto" w:val="clear"/>
          </w:tcPr>
          <w:p>
            <w:pPr>
              <w:pStyle w:val="TableContents"/>
              <w:spacing w:before="0" w:after="283"/>
              <w:rPr>
                <w:sz w:val="4"/>
                <w:szCs w:val="4"/>
              </w:rPr>
            </w:pPr>
            <w:r>
              <w:rPr>
                <w:sz w:val="4"/>
                <w:szCs w:val="4"/>
              </w:rPr>
            </w:r>
          </w:p>
        </w:tc>
      </w:tr>
      <w:tr>
        <w:trPr/>
        <w:tc>
          <w:tcPr>
            <w:tcW w:w="23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rial;sans-serif" w:hAnsi="Arial;sans-serif"/>
                <w:b/>
                <w:color w:val="131E29"/>
                <w:sz w:val="20"/>
              </w:rPr>
              <w:t xml:space="preserve">Weighted-average amortization period </w:t>
            </w:r>
            <w:r>
              <w:rPr>
                <w:rFonts w:ascii="Arial;sans-serif" w:hAnsi="Arial;sans-serif"/>
                <w:b w:val="false"/>
                <w:color w:val="131E29"/>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2021</w:t>
            </w:r>
          </w:p>
        </w:tc>
      </w:tr>
      <w:tr>
        <w:trPr/>
        <w:tc>
          <w:tcPr>
            <w:tcW w:w="237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Reacquired franchise rights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8"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3.9</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4"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138"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14"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25,314 </w:t>
            </w:r>
          </w:p>
        </w:tc>
        <w:tc>
          <w:tcPr>
            <w:tcW w:w="235"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(15,126)</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(14,211)</w:t>
            </w:r>
          </w:p>
        </w:tc>
        <w:tc>
          <w:tcPr>
            <w:tcW w:w="2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11,923 </w:t>
            </w:r>
          </w:p>
        </w:tc>
        <w:tc>
          <w:tcPr>
            <w:tcW w:w="1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11,103 </w:t>
            </w:r>
          </w:p>
        </w:tc>
        <w:tc>
          <w:tcPr>
            <w:tcW w:w="23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Amortization expense included in the Company’s condensed consolidated statements of operations was as follows:</w:t>
      </w:r>
    </w:p>
    <w:tbl>
      <w:tblPr>
        <w:tblW w:w="5297" w:type="dxa"/>
        <w:jc w:val="left"/>
        <w:tblInd w:w="0" w:type="dxa"/>
        <w:tblCellMar>
          <w:top w:w="28" w:type="dxa"/>
          <w:left w:w="28" w:type="dxa"/>
          <w:bottom w:w="28" w:type="dxa"/>
          <w:right w:w="28" w:type="dxa"/>
        </w:tblCellMar>
      </w:tblPr>
      <w:tblGrid>
        <w:gridCol w:w="462"/>
        <w:gridCol w:w="405"/>
        <w:gridCol w:w="407"/>
        <w:gridCol w:w="109"/>
        <w:gridCol w:w="109"/>
        <w:gridCol w:w="109"/>
        <w:gridCol w:w="328"/>
        <w:gridCol w:w="748"/>
        <w:gridCol w:w="169"/>
        <w:gridCol w:w="169"/>
        <w:gridCol w:w="169"/>
        <w:gridCol w:w="169"/>
        <w:gridCol w:w="328"/>
        <w:gridCol w:w="748"/>
        <w:gridCol w:w="169"/>
        <w:gridCol w:w="109"/>
        <w:gridCol w:w="109"/>
        <w:gridCol w:w="109"/>
        <w:gridCol w:w="109"/>
        <w:gridCol w:w="109"/>
        <w:gridCol w:w="154"/>
      </w:tblGrid>
      <w:tr>
        <w:trPr/>
        <w:tc>
          <w:tcPr>
            <w:tcW w:w="462"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915 </w:t>
            </w:r>
          </w:p>
        </w:tc>
        <w:tc>
          <w:tcPr>
            <w:tcW w:w="1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4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788 </w:t>
            </w:r>
          </w:p>
        </w:tc>
        <w:tc>
          <w:tcPr>
            <w:tcW w:w="1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50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50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estimated future amortization expense of the reacquired franchise rights intangible assets for the five succeeding fiscal years and the aggregate thereafter as of March 31, 2022 are as follows:</w:t>
      </w:r>
    </w:p>
    <w:tbl>
      <w:tblPr>
        <w:tblW w:w="3198" w:type="dxa"/>
        <w:jc w:val="left"/>
        <w:tblInd w:w="0" w:type="dxa"/>
        <w:tblCellMar>
          <w:top w:w="28" w:type="dxa"/>
          <w:left w:w="28" w:type="dxa"/>
          <w:bottom w:w="28" w:type="dxa"/>
          <w:right w:w="28" w:type="dxa"/>
        </w:tblCellMar>
      </w:tblPr>
      <w:tblGrid>
        <w:gridCol w:w="636"/>
        <w:gridCol w:w="558"/>
        <w:gridCol w:w="561"/>
        <w:gridCol w:w="109"/>
        <w:gridCol w:w="109"/>
        <w:gridCol w:w="109"/>
        <w:gridCol w:w="211"/>
        <w:gridCol w:w="751"/>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3,119 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2,469 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681 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Total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11,923 </w:t>
            </w:r>
          </w:p>
        </w:tc>
        <w:tc>
          <w:tcPr>
            <w:tcW w:w="154"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3220"/>
                <wp:effectExtent l="0" t="0" r="0" b="0"/>
                <wp:wrapNone/>
                <wp:docPr id="59" name="Frame2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pPr>
      <w:r>
        <w:rPr>
          <w:rFonts w:ascii="Arial;sans-serif" w:hAnsi="Arial;sans-serif"/>
          <w:b/>
          <w:i/>
          <w:color w:val="006098"/>
          <w:sz w:val="20"/>
        </w:rPr>
        <w:t>Goodwill</w:t>
      </w:r>
      <w:r>
        <w:rPr>
          <w:color w:val="131E29"/>
        </w:rPr>
        <w:t xml:space="preserve"> </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Goodwill is allocated entirely to the Company-operated shops segment. The carrying amount and activity of goodwill was as follows:</w:t>
      </w:r>
    </w:p>
    <w:tbl>
      <w:tblPr>
        <w:tblW w:w="4594" w:type="dxa"/>
        <w:jc w:val="left"/>
        <w:tblInd w:w="0" w:type="dxa"/>
        <w:tblCellMar>
          <w:top w:w="28" w:type="dxa"/>
          <w:left w:w="28" w:type="dxa"/>
          <w:bottom w:w="28" w:type="dxa"/>
          <w:right w:w="28" w:type="dxa"/>
        </w:tblCellMar>
      </w:tblPr>
      <w:tblGrid>
        <w:gridCol w:w="984"/>
        <w:gridCol w:w="863"/>
        <w:gridCol w:w="868"/>
        <w:gridCol w:w="109"/>
        <w:gridCol w:w="109"/>
        <w:gridCol w:w="109"/>
        <w:gridCol w:w="109"/>
        <w:gridCol w:w="109"/>
        <w:gridCol w:w="109"/>
        <w:gridCol w:w="109"/>
        <w:gridCol w:w="211"/>
        <w:gridCol w:w="751"/>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 </w:t>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18,715 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Business combinations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impairment charges were recognized for the three months ended March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Arial;sans-serif" w:hAnsi="Arial;sans-serif"/>
          <w:b/>
          <w:color w:val="00416B"/>
          <w:sz w:val="24"/>
        </w:rPr>
        <w:t>NOTE 8 — Leases</w:t>
      </w:r>
      <w:r>
        <w:rPr>
          <w:color w:val="EE2724"/>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Adoption of ASC 842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adopted ASC 842, as amended, using the modified retrospective transition method with an effective date of January 1, 2022. The modified retrospective approach permits a company to use its effective date as the date of initial application to apply the standard to its leases, and, therefore, not restate comparative prior period financial information. As such, results for reporting periods beginning on or after January 1, 2022 are presented under ASC 842. Prior period amounts were not revised and continue to be reported in accordance with ASC Topic 840 (ASC 840). Further, disclosures required under the new standard will not be provided for dates and periods prior to January 1, 2022. The adoption of the lease standard resulted in a cumulative adjustment to opening equity of $1.3 million.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Upon adoption, the Company recognized additional operating lease liabilities of $152.8 million based on the present value of the remaining lease payments for existing operating leases, and right-of-use assets of $150.7 million, net of reductions for the impacts of deferred rents. As part of the transition, the Company derecognized all landlord funded lease incentives and deemed landlord financing liabilities, including capital assets related to previous sale and leaseback transactions which were remeasured under ASC 842.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standard provides several optional practical expedients in transition. The Company elected the package of practical expedients, which permits it to not reassess, under the new standard, the Company's prior conclusions about lease identification, lease classification and initial direct costs. As such, the Company applied the modified retrospective transition method as of the adoption date to those lease contracts for which it had taken possession of the property as of January 1, 2022.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also elected the practical expedient pertaining to land easements and did not elect the practical expedient related to use-of-hindsight. The new standard also provides practical expedients for an entity’s ongoing accounting. The Company elected the short-term lease recognition exemption and also the practical expedient to not separate lease and non-lease components for all its leases.</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63220"/>
                <wp:effectExtent l="0" t="0" r="0" b="0"/>
                <wp:wrapNone/>
                <wp:docPr id="62" name="Frame2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Upon transition, on January 1, 2022, the Company recorded the following increases (decreases) to the respective line items on its condensed consolidated balance sheet:</w:t>
      </w:r>
    </w:p>
    <w:tbl>
      <w:tblPr>
        <w:tblW w:w="8051" w:type="dxa"/>
        <w:jc w:val="left"/>
        <w:tblInd w:w="0" w:type="dxa"/>
        <w:tblCellMar>
          <w:top w:w="28" w:type="dxa"/>
          <w:left w:w="28" w:type="dxa"/>
          <w:bottom w:w="28" w:type="dxa"/>
          <w:right w:w="28" w:type="dxa"/>
        </w:tblCellMar>
      </w:tblPr>
      <w:tblGrid>
        <w:gridCol w:w="1593"/>
        <w:gridCol w:w="1397"/>
        <w:gridCol w:w="1405"/>
        <w:gridCol w:w="109"/>
        <w:gridCol w:w="109"/>
        <w:gridCol w:w="109"/>
        <w:gridCol w:w="627"/>
        <w:gridCol w:w="2239"/>
        <w:gridCol w:w="463"/>
      </w:tblGrid>
      <w:tr>
        <w:trPr/>
        <w:tc>
          <w:tcPr>
            <w:tcW w:w="1593"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23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20"/>
              </w:rPr>
            </w:pPr>
            <w:r>
              <w:rPr>
                <w:rFonts w:ascii="Arial;sans-serif" w:hAnsi="Arial;sans-serif"/>
                <w:b/>
                <w:color w:val="131E29"/>
                <w:sz w:val="20"/>
              </w:rPr>
              <w:t>Adjustments as of January 1, 2022</w:t>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239"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(79,821)</w:t>
            </w:r>
          </w:p>
        </w:tc>
        <w:tc>
          <w:tcPr>
            <w:tcW w:w="463"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111,826 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150,689 </w:t>
            </w:r>
          </w:p>
        </w:tc>
        <w:tc>
          <w:tcPr>
            <w:tcW w:w="46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29" w:type="dxa"/>
            <w:gridSpan w:val="3"/>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(3,153)</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obligations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607 </w:t>
            </w:r>
          </w:p>
        </w:tc>
        <w:tc>
          <w:tcPr>
            <w:tcW w:w="46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8,430 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long-term debt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w:t>
            </w:r>
          </w:p>
        </w:tc>
        <w:tc>
          <w:tcPr>
            <w:tcW w:w="46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32,534 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obligations,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144,405 </w:t>
            </w:r>
          </w:p>
        </w:tc>
        <w:tc>
          <w:tcPr>
            <w:tcW w:w="46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(1,426)</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Retained earnings (accumulated deficit)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386 </w:t>
            </w:r>
          </w:p>
        </w:tc>
        <w:tc>
          <w:tcPr>
            <w:tcW w:w="46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957 </w:t>
            </w:r>
          </w:p>
        </w:tc>
        <w:tc>
          <w:tcPr>
            <w:tcW w:w="4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Nature of Leases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leases all of its domestic company-operated shops, warehouse facilities, headquarters buildings, and certain equipment under various non-cancelable lease agreements that expire on various dates through 2041. The Company evaluates contracts entered into to determine whether the contract involves the use of property or equipment, which is either explicitly or implicitly identified in the contract. The Company evaluates whether it controls the use of the asset, which is determined by assessing whether it obtains substantially all economic benefits from the use of the asset, and whether the Company has the right to direct the use of the asset. If these criteria are met and a lease has been identified, the Company accounts for the contract under the requirements of ASC 842.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Lease commencement is determined when the Company takes possession of a leased asset, at which time the Company also determines the lease classification as an operating or finance lease. The Company’s real estate leases are comprised of commercial ground leases (land only) and build-to-suit leases (land and building).</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real estate leases are a combination of both operating and finance leases, depending an evaluation of the lease terms. Generally, the Company’s real estate leases have an initial term of 15 years and typically include two to three renewal options at five-years each. These renewal options are included in the lease term when it is reasonably certain that the option will be exercised. For commercial ground leases, one five-year renewal is included in the Company’s initial lease term calculations. The Company’s real estate leases typically provide for fixed minimum rent payments. For operating leases, the Company recognizes lease expense on a straight-line basis over the lease term from the date the Company takes possession of the leased property. Lease expense incurred before a lease commences is included in the calculation of the right-of-use asset. Once a lease commences, the Company records lease expense in cost of sales or selling, general and administrative expense on the Company’s condensed consolidated statements of operations, depending on the lease classification. Variable lease costs generally include payments for additional rent such as real estate taxes, insurance, and common area maintenance, and are excluded from the measurement of the lease liability. Variable lease costs are included in cost of sales on the condensed consolidated statements of operations.</w:t>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63220"/>
                <wp:effectExtent l="0" t="0" r="0" b="0"/>
                <wp:wrapNone/>
                <wp:docPr id="65" name="Frame2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before="0" w:after="180"/>
        <w:jc w:val="both"/>
        <w:rPr/>
      </w:pPr>
      <w:r>
        <w:rPr/>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calculates right-of-use assets and lease liabilities based on the present value of the fixed lease payments, including any estimated lease incentives, at lease commencement using its incremental borrowing rate, applied on a portfolio basis. As the rate implicit in the Company’s leases cannot be readily determined, the discount rate used to measure the lease liability is equal to the rate the Company would pay on a collateralized basis to borrow an amount equal to the lease payments under similar terms.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expends cash for leasehold improvements to build out and equip its leased premises. For certain leases, a portion of the leasehold improvements and building costs are reimbursed by landlords as landlord incentives pursuant to agreed-upon terms in the Company’s lease agreements. Landlord incentives, if obtained, are received in cash after the Company takes possession of the property, and as the Company meets required milestones during the construction of the property. The Company includes these amounts in the measurement of the initial right-of-use asset and lease liability.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finance and operating lease right-of-use assets and lease liabilities as of March 31, 2022 is as follows:</w:t>
      </w:r>
    </w:p>
    <w:tbl>
      <w:tblPr>
        <w:tblW w:w="8918" w:type="dxa"/>
        <w:jc w:val="left"/>
        <w:tblInd w:w="0" w:type="dxa"/>
        <w:tblCellMar>
          <w:top w:w="28" w:type="dxa"/>
          <w:left w:w="28" w:type="dxa"/>
          <w:bottom w:w="28" w:type="dxa"/>
          <w:right w:w="28" w:type="dxa"/>
        </w:tblCellMar>
      </w:tblPr>
      <w:tblGrid>
        <w:gridCol w:w="853"/>
        <w:gridCol w:w="748"/>
        <w:gridCol w:w="754"/>
        <w:gridCol w:w="109"/>
        <w:gridCol w:w="109"/>
        <w:gridCol w:w="109"/>
        <w:gridCol w:w="1459"/>
        <w:gridCol w:w="1459"/>
        <w:gridCol w:w="1461"/>
        <w:gridCol w:w="109"/>
        <w:gridCol w:w="109"/>
        <w:gridCol w:w="109"/>
        <w:gridCol w:w="264"/>
        <w:gridCol w:w="1073"/>
        <w:gridCol w:w="193"/>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r>
      <w:tr>
        <w:trPr/>
        <w:tc>
          <w:tcPr>
            <w:tcW w:w="23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Right-of-use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141,874 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154,939 </w:t>
            </w:r>
          </w:p>
        </w:tc>
        <w:tc>
          <w:tcPr>
            <w:tcW w:w="19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296,813 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obligations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73"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4,491 </w:t>
            </w:r>
          </w:p>
        </w:tc>
        <w:tc>
          <w:tcPr>
            <w:tcW w:w="19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142,884 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8,698 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obligations,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148,483 </w:t>
            </w:r>
          </w:p>
        </w:tc>
        <w:tc>
          <w:tcPr>
            <w:tcW w:w="19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304,556 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components of lease cost were as follows for the period presented:</w:t>
      </w:r>
    </w:p>
    <w:tbl>
      <w:tblPr>
        <w:tblW w:w="10205" w:type="dxa"/>
        <w:jc w:val="left"/>
        <w:tblInd w:w="0" w:type="dxa"/>
        <w:tblCellMar>
          <w:top w:w="28" w:type="dxa"/>
          <w:left w:w="28" w:type="dxa"/>
          <w:bottom w:w="28" w:type="dxa"/>
          <w:right w:w="28" w:type="dxa"/>
        </w:tblCellMar>
      </w:tblPr>
      <w:tblGrid>
        <w:gridCol w:w="1058"/>
        <w:gridCol w:w="889"/>
        <w:gridCol w:w="893"/>
        <w:gridCol w:w="109"/>
        <w:gridCol w:w="109"/>
        <w:gridCol w:w="109"/>
        <w:gridCol w:w="1111"/>
        <w:gridCol w:w="1111"/>
        <w:gridCol w:w="1113"/>
        <w:gridCol w:w="109"/>
        <w:gridCol w:w="109"/>
        <w:gridCol w:w="109"/>
        <w:gridCol w:w="109"/>
        <w:gridCol w:w="109"/>
        <w:gridCol w:w="658"/>
        <w:gridCol w:w="2017"/>
        <w:gridCol w:w="483"/>
      </w:tblGrid>
      <w:tr>
        <w:trPr/>
        <w:tc>
          <w:tcPr>
            <w:tcW w:w="105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Statement of Operations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r>
      <w:tr>
        <w:trPr/>
        <w:tc>
          <w:tcPr>
            <w:tcW w:w="284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cost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01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2,194 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1,723 </w:t>
            </w:r>
          </w:p>
        </w:tc>
        <w:tc>
          <w:tcPr>
            <w:tcW w:w="48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3,917 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3,847 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8" w:type="dxa"/>
            <w:gridSpan w:val="3"/>
            <w:tcBorders/>
            <w:shd w:fill="auto" w:val="clear"/>
            <w:vAlign w:val="center"/>
          </w:tcPr>
          <w:p>
            <w:pPr>
              <w:pStyle w:val="TableContents"/>
              <w:spacing w:before="0" w:after="283"/>
              <w:rPr>
                <w:sz w:val="4"/>
                <w:szCs w:val="4"/>
              </w:rPr>
            </w:pPr>
            <w:r>
              <w:rPr>
                <w:sz w:val="4"/>
                <w:szCs w:val="4"/>
              </w:rPr>
            </w:r>
          </w:p>
        </w:tc>
      </w:tr>
      <w:tr>
        <w:trPr/>
        <w:tc>
          <w:tcPr>
            <w:tcW w:w="28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493 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lease cost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0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8,257 </w:t>
            </w:r>
          </w:p>
        </w:tc>
        <w:tc>
          <w:tcPr>
            <w:tcW w:w="4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63220"/>
                <wp:effectExtent l="0" t="0" r="0" b="0"/>
                <wp:wrapNone/>
                <wp:docPr id="68" name="Frame2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minimum lease payments for finance and operating lease liabilities as of March 31, 2022 were as follows:</w:t>
      </w:r>
    </w:p>
    <w:tbl>
      <w:tblPr>
        <w:tblW w:w="6890" w:type="dxa"/>
        <w:jc w:val="left"/>
        <w:tblInd w:w="0" w:type="dxa"/>
        <w:tblCellMar>
          <w:top w:w="28" w:type="dxa"/>
          <w:left w:w="28" w:type="dxa"/>
          <w:bottom w:w="28" w:type="dxa"/>
          <w:right w:w="28" w:type="dxa"/>
        </w:tblCellMar>
      </w:tblPr>
      <w:tblGrid>
        <w:gridCol w:w="1392"/>
        <w:gridCol w:w="1220"/>
        <w:gridCol w:w="1227"/>
        <w:gridCol w:w="109"/>
        <w:gridCol w:w="109"/>
        <w:gridCol w:w="109"/>
        <w:gridCol w:w="211"/>
        <w:gridCol w:w="856"/>
        <w:gridCol w:w="109"/>
        <w:gridCol w:w="109"/>
        <w:gridCol w:w="109"/>
        <w:gridCol w:w="109"/>
        <w:gridCol w:w="211"/>
        <w:gridCol w:w="856"/>
        <w:gridCol w:w="154"/>
      </w:tblGrid>
      <w:tr>
        <w:trPr/>
        <w:tc>
          <w:tcPr>
            <w:tcW w:w="139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Finance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Operating</w:t>
            </w:r>
          </w:p>
        </w:tc>
      </w:tr>
      <w:tr>
        <w:trPr/>
        <w:tc>
          <w:tcPr>
            <w:tcW w:w="383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8,718 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11,104 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12,645 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14,040 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13,193 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13,647 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146,238 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216,607 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213,292 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(69,232)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(56,111)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Present value of minimum lease payments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147,375 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157,181 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142,884 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148,483 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Future minimum lease payments under noncancellable operating leases and capital lease liabilities as of December 31, 2021 were as follows:</w:t>
      </w:r>
    </w:p>
    <w:tbl>
      <w:tblPr>
        <w:tblW w:w="6890" w:type="dxa"/>
        <w:jc w:val="left"/>
        <w:tblInd w:w="0" w:type="dxa"/>
        <w:tblCellMar>
          <w:top w:w="28" w:type="dxa"/>
          <w:left w:w="28" w:type="dxa"/>
          <w:bottom w:w="28" w:type="dxa"/>
          <w:right w:w="28" w:type="dxa"/>
        </w:tblCellMar>
      </w:tblPr>
      <w:tblGrid>
        <w:gridCol w:w="1392"/>
        <w:gridCol w:w="1220"/>
        <w:gridCol w:w="1227"/>
        <w:gridCol w:w="109"/>
        <w:gridCol w:w="109"/>
        <w:gridCol w:w="109"/>
        <w:gridCol w:w="211"/>
        <w:gridCol w:w="856"/>
        <w:gridCol w:w="109"/>
        <w:gridCol w:w="109"/>
        <w:gridCol w:w="109"/>
        <w:gridCol w:w="109"/>
        <w:gridCol w:w="211"/>
        <w:gridCol w:w="856"/>
        <w:gridCol w:w="154"/>
      </w:tblGrid>
      <w:tr>
        <w:trPr/>
        <w:tc>
          <w:tcPr>
            <w:tcW w:w="139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Operating</w:t>
            </w:r>
          </w:p>
        </w:tc>
      </w:tr>
      <w:tr>
        <w:trPr/>
        <w:tc>
          <w:tcPr>
            <w:tcW w:w="383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8,824 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12,398 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8,743 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11,699 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9,229 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11,297 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125,774 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130,379 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184,590 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(47,402)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Present value of minimum lease payments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82,977 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79,588 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lease terms and discount rates for finance and operating leases as of March 31, 2022 is as follows:</w:t>
      </w:r>
    </w:p>
    <w:tbl>
      <w:tblPr>
        <w:tblW w:w="6326" w:type="dxa"/>
        <w:jc w:val="left"/>
        <w:tblInd w:w="0" w:type="dxa"/>
        <w:tblCellMar>
          <w:top w:w="28" w:type="dxa"/>
          <w:left w:w="28" w:type="dxa"/>
          <w:bottom w:w="28" w:type="dxa"/>
          <w:right w:w="28" w:type="dxa"/>
        </w:tblCellMar>
      </w:tblPr>
      <w:tblGrid>
        <w:gridCol w:w="1620"/>
        <w:gridCol w:w="1423"/>
        <w:gridCol w:w="1426"/>
        <w:gridCol w:w="109"/>
        <w:gridCol w:w="109"/>
        <w:gridCol w:w="109"/>
        <w:gridCol w:w="448"/>
        <w:gridCol w:w="448"/>
        <w:gridCol w:w="634"/>
      </w:tblGrid>
      <w:tr>
        <w:trPr/>
        <w:tc>
          <w:tcPr>
            <w:tcW w:w="1620"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r>
      <w:tr>
        <w:trPr/>
        <w:tc>
          <w:tcPr>
            <w:tcW w:w="4469"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Weighted-average remaining lease term (years)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15.8</w:t>
            </w:r>
          </w:p>
        </w:tc>
      </w:tr>
      <w:tr>
        <w:trPr/>
        <w:tc>
          <w:tcPr>
            <w:tcW w:w="446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15.4</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r>
      <w:tr>
        <w:trPr/>
        <w:tc>
          <w:tcPr>
            <w:tcW w:w="446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Weighted-average discount rate (percentages)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5.1%</w:t>
            </w:r>
          </w:p>
        </w:tc>
      </w:tr>
      <w:tr>
        <w:trPr/>
        <w:tc>
          <w:tcPr>
            <w:tcW w:w="446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63220"/>
                <wp:effectExtent l="0" t="0" r="0" b="0"/>
                <wp:wrapNone/>
                <wp:docPr id="71" name="Frame2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9 — Debt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Senior Secured Credit Facility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February 28, 2022 (the Effective Date) the Company amended its credit facility entered into on May 12, 2021 with JPMorgan Chase, N.A. (the Senior Secured Credit Facility). The amended facility (the 2022 Credit Facility) has a total capacity of $500 million, consisting of a $250 million revolving credit facility, a delayed draw term loan facility of up to $150 million, and a term loan facility of up to $100 million. The revolving credit facility includes sub-limits for issuance of letters of credit and swing line loans of up to $50 million and $15 million, respectively. It also contains an option allowing the Company to increase the size of the 2022 Credit Facility by up to an additional $150 million, with the agreement of the committing lenders. The 2022 Credit Facility expires five years after the Effective Date.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Upon entering into the 2022 Credit Facility, in February 2022, the Company drew the full $100 million term loan facility and approximately $28 million in revolving loans, and the existing credit facility was repaid and terminated.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restrict the Company’s ability to incur additional debt, grant liens on assets, merge with or acquire other companies, make other investments, dispose of assets, and enter into sale and leaseback transactions and swap agreements. Obligations under the 2022 Credit Facility are guaranteed by Dutch Bros OpCo and its subsidiaries, and secured by a first priority perfected security interest in substantially all of the assets of the guarantors.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2022, $100 million and approximately $28 million was outstanding on the term loan and revolving loans, respectively, and $222 million was available for borrowing on the revolving loans. The term loan bears interest at 2.54% and revolving loans bear interest at 2.66% as of March 31, 2022, and the Company was in compliance with its financial covenants as of that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63220"/>
                <wp:effectExtent l="0" t="0" r="0" b="0"/>
                <wp:wrapNone/>
                <wp:docPr id="74" name="Frame2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Long-Term Debt</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The Company’s long-term debt consisted of the following for the periods presented:</w:t>
      </w:r>
    </w:p>
    <w:tbl>
      <w:tblPr>
        <w:tblW w:w="7808" w:type="dxa"/>
        <w:jc w:val="left"/>
        <w:tblInd w:w="0" w:type="dxa"/>
        <w:tblCellMar>
          <w:top w:w="28" w:type="dxa"/>
          <w:left w:w="28" w:type="dxa"/>
          <w:bottom w:w="28" w:type="dxa"/>
          <w:right w:w="28" w:type="dxa"/>
        </w:tblCellMar>
      </w:tblPr>
      <w:tblGrid>
        <w:gridCol w:w="1370"/>
        <w:gridCol w:w="1202"/>
        <w:gridCol w:w="1208"/>
        <w:gridCol w:w="109"/>
        <w:gridCol w:w="109"/>
        <w:gridCol w:w="109"/>
        <w:gridCol w:w="266"/>
        <w:gridCol w:w="1081"/>
        <w:gridCol w:w="137"/>
        <w:gridCol w:w="109"/>
        <w:gridCol w:w="109"/>
        <w:gridCol w:w="109"/>
        <w:gridCol w:w="393"/>
        <w:gridCol w:w="1207"/>
        <w:gridCol w:w="290"/>
      </w:tblGrid>
      <w:tr>
        <w:trPr/>
        <w:tc>
          <w:tcPr>
            <w:tcW w:w="137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2217" w:type="dxa"/>
            <w:gridSpan w:val="6"/>
            <w:tcBorders/>
            <w:shd w:fill="auto" w:val="clea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2021</w:t>
            </w:r>
          </w:p>
        </w:tc>
      </w:tr>
      <w:tr>
        <w:trPr/>
        <w:tc>
          <w:tcPr>
            <w:tcW w:w="378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Terms loan under credit facility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100,000 </w:t>
            </w:r>
          </w:p>
        </w:tc>
        <w:tc>
          <w:tcPr>
            <w:tcW w:w="137"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0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90"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131E29"/>
                <w:sz w:val="20"/>
              </w:rPr>
              <w:t>Finance lease obligation</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2,978 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628 </w:t>
            </w:r>
          </w:p>
        </w:tc>
        <w:tc>
          <w:tcPr>
            <w:tcW w:w="29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100,602 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3,606 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(1,329)</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9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(1,979)</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long-term debt,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97,294 </w:t>
            </w:r>
          </w:p>
        </w:tc>
        <w:tc>
          <w:tcPr>
            <w:tcW w:w="1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0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3,503 </w:t>
            </w:r>
          </w:p>
        </w:tc>
        <w:tc>
          <w:tcPr>
            <w:tcW w:w="29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w:t>
      </w:r>
    </w:p>
    <w:p>
      <w:pPr>
        <w:pStyle w:val="TextBody"/>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Effective January 1, 2022, with our adoption of ASC 842 (Leases), this sales-leaseback transaction was remeasured and included in our lease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March 31, 2022 are as follows: </w:t>
      </w:r>
    </w:p>
    <w:tbl>
      <w:tblPr>
        <w:tblW w:w="3303" w:type="dxa"/>
        <w:jc w:val="left"/>
        <w:tblInd w:w="0" w:type="dxa"/>
        <w:tblCellMar>
          <w:top w:w="28" w:type="dxa"/>
          <w:left w:w="28" w:type="dxa"/>
          <w:bottom w:w="28" w:type="dxa"/>
          <w:right w:w="28" w:type="dxa"/>
        </w:tblCellMar>
      </w:tblPr>
      <w:tblGrid>
        <w:gridCol w:w="636"/>
        <w:gridCol w:w="558"/>
        <w:gridCol w:w="561"/>
        <w:gridCol w:w="109"/>
        <w:gridCol w:w="109"/>
        <w:gridCol w:w="109"/>
        <w:gridCol w:w="211"/>
        <w:gridCol w:w="856"/>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2022</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1,953 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13,256 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71,295 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100,602 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10 — Income Taxes</w:t>
      </w:r>
    </w:p>
    <w:tbl>
      <w:tblPr>
        <w:tblW w:w="7219" w:type="dxa"/>
        <w:jc w:val="left"/>
        <w:tblInd w:w="0" w:type="dxa"/>
        <w:tblCellMar>
          <w:top w:w="28" w:type="dxa"/>
          <w:left w:w="28" w:type="dxa"/>
          <w:bottom w:w="28" w:type="dxa"/>
          <w:right w:w="28" w:type="dxa"/>
        </w:tblCellMar>
      </w:tblPr>
      <w:tblGrid>
        <w:gridCol w:w="962"/>
        <w:gridCol w:w="844"/>
        <w:gridCol w:w="849"/>
        <w:gridCol w:w="109"/>
        <w:gridCol w:w="109"/>
        <w:gridCol w:w="109"/>
        <w:gridCol w:w="246"/>
        <w:gridCol w:w="632"/>
        <w:gridCol w:w="334"/>
        <w:gridCol w:w="127"/>
        <w:gridCol w:w="127"/>
        <w:gridCol w:w="127"/>
        <w:gridCol w:w="246"/>
        <w:gridCol w:w="439"/>
        <w:gridCol w:w="334"/>
        <w:gridCol w:w="127"/>
        <w:gridCol w:w="127"/>
        <w:gridCol w:w="127"/>
        <w:gridCol w:w="109"/>
        <w:gridCol w:w="109"/>
        <w:gridCol w:w="109"/>
        <w:gridCol w:w="109"/>
        <w:gridCol w:w="109"/>
        <w:gridCol w:w="109"/>
        <w:gridCol w:w="109"/>
        <w:gridCol w:w="109"/>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3"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6" w:type="dxa"/>
            <w:gridSpan w:val="9"/>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6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3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33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39"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43 </w:t>
            </w:r>
          </w:p>
        </w:tc>
        <w:tc>
          <w:tcPr>
            <w:tcW w:w="334"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1.3 </w:t>
            </w:r>
          </w:p>
        </w:tc>
        <w:tc>
          <w:tcPr>
            <w:tcW w:w="33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w:t>
            </w:r>
          </w:p>
        </w:tc>
        <w:tc>
          <w:tcPr>
            <w:tcW w:w="33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tax benefit was primarily driven by losses allocated from Dutch Bros OpCo to the Company, partially offset by state taxes and the tax expense of the corporate subsidiary.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Company’s estimated annual effective tax rate is less than the statutory rate of 21%, primarily because the Company is not liable for income taxes on the portion of earnings that are attributable to non-controlling interests. </w:t>
      </w:r>
    </w:p>
    <w:p>
      <w:pPr>
        <w:pStyle w:val="TextBody"/>
        <w:spacing w:lineRule="auto" w:line="288" w:before="0" w:after="180"/>
        <w:jc w:val="both"/>
        <w:rPr/>
      </w:pPr>
      <w:r>
        <w:rPr>
          <w:rFonts w:ascii="Arial;sans-serif" w:hAnsi="Arial;sans-serif"/>
          <w:b w:val="false"/>
          <w:color w:val="131E29"/>
          <w:sz w:val="20"/>
        </w:rPr>
        <w:t xml:space="preserve">As a result of the Secondary Offering, the Company recorded an additional deferred tax asset, net of valuation allowance, of </w:t>
      </w:r>
      <w:r>
        <w:rPr>
          <w:rFonts w:ascii="Arial;sans-serif" w:hAnsi="Arial;sans-serif"/>
          <w:b w:val="false"/>
          <w:color w:val="000000"/>
          <w:sz w:val="20"/>
        </w:rPr>
        <w:t>$63.8 million</w:t>
      </w:r>
      <w:r>
        <w:rPr>
          <w:rFonts w:ascii="Arial;sans-serif" w:hAnsi="Arial;sans-serif"/>
          <w:b w:val="false"/>
          <w:color w:val="131E29"/>
          <w:sz w:val="20"/>
        </w:rPr>
        <w:t xml:space="preserve">, which primarily consists of the Company’s outside basis differences in its limited liability company subsidiaries. As of March 31, 2022, the Company recognized deferred tax assets of approximately $223.4 million, net of a valuation allowance of approximately $1.5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63220"/>
                <wp:effectExtent l="0" t="0" r="0" b="0"/>
                <wp:wrapNone/>
                <wp:docPr id="77" name="Frame2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pPr>
      <w:r>
        <w:rPr>
          <w:rFonts w:ascii="Arial;sans-serif" w:hAnsi="Arial;sans-serif"/>
          <w:b w:val="false"/>
          <w:color w:val="131E29"/>
          <w:sz w:val="20"/>
        </w:rPr>
        <w:t xml:space="preserve">The Secondary Offering also resulted in the Company recording an additional TRA liability of </w:t>
      </w:r>
      <w:r>
        <w:rPr>
          <w:rFonts w:ascii="Arial;sans-serif" w:hAnsi="Arial;sans-serif"/>
          <w:b w:val="false"/>
          <w:color w:val="000000"/>
          <w:sz w:val="20"/>
        </w:rPr>
        <w:t>$55.2 million</w:t>
      </w:r>
      <w:r>
        <w:rPr>
          <w:rFonts w:ascii="Arial;sans-serif" w:hAnsi="Arial;sans-serif"/>
          <w:b w:val="false"/>
          <w:color w:val="131E29"/>
          <w:sz w:val="20"/>
        </w:rPr>
        <w:t>. As of March 31, 2022, the Company had a liability of approximat</w:t>
      </w:r>
      <w:r>
        <w:rPr>
          <w:rFonts w:ascii="Arial;sans-serif" w:hAnsi="Arial;sans-serif"/>
          <w:b w:val="false"/>
          <w:color w:val="000000"/>
          <w:sz w:val="20"/>
        </w:rPr>
        <w:t>ely $164.9 million re</w:t>
      </w:r>
      <w:r>
        <w:rPr>
          <w:rFonts w:ascii="Arial;sans-serif" w:hAnsi="Arial;sans-serif"/>
          <w:b w:val="false"/>
          <w:color w:val="131E29"/>
          <w:sz w:val="20"/>
        </w:rPr>
        <w:t>lated to its projected obligations under the TRAs in connection with the 2021 reorganization and exchange transactions, and the Secondary Offering. TRAs-related liabilities are classified as current or non-current based on the expected date of payment and are included in the Company’s consolidated balance sheets under the captions “Current portion of tax receivable agreements liability” and “Tax receivable agreements liability, net of current portion,” respectively. For additional information, refer to NOTE 1 — Organization and Background.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additional information related to the Secondary Offering, refer to NOTE 11 — Equity and Equity-Based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11 — Equity and Equity-Based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Equity Transactions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three months ended March 31, 2022, the Company’s Sponsor executed the Secondary Offering, and exchanged approximately 3.6 million Dutch Bros OpCo Class A common units for Dutch Bros PubCo Class A common stock, and also converted approximately 1.4 million shares of Dutch Bros PubCo Class D common stock into Dutch Bros PubCo Class A common stock, for a total of 5.0 million shares of Dutch Bros PubCo Class A common stock. Subsequent to these exchanges and conversions, the Company’s Sponsor sold the 5.0 million shares of Class A common stock in the public market in accordance with Rule 144 of the Securities Act of 1933. These transactions were executed directly by the Sponsor, and no sales proceeds were received by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Equity Awards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2022, the Company had equity-based compensation awards outstanding consisting of RSAs and RSUs.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Unless indicated otherwise, the equity-based compensation awards described below are subject to time-based service requirements. The service vesting condition is currently a period of three years. For awards granted prior to 2022, vesting will occur in equal one-third installments on each anniversary of the vesting commencement date, subject to grantee’s continued service to the Company through each vesting date. Beginning with awards granted in 2022, vesting may occur as either (i) 50% each of the total award on the second and third anniversaries of the vesting commencement date, or (ii) 100% cliff vesting of the total award on the third anniversary of the vesting commencement date, subject to grantee’s continued service to the Company through the applicable vesting date(s).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three months ended March 31, 2022, the total weighted-average grant date fair value of RSAs and RSUs vested was approximately $29.0 million and $8.6 million, respectively.</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Awards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RSAs was as follows:</w:t>
      </w:r>
    </w:p>
    <w:tbl>
      <w:tblPr>
        <w:tblW w:w="10205" w:type="dxa"/>
        <w:jc w:val="left"/>
        <w:tblInd w:w="0" w:type="dxa"/>
        <w:tblCellMar>
          <w:top w:w="28" w:type="dxa"/>
          <w:left w:w="28" w:type="dxa"/>
          <w:bottom w:w="28" w:type="dxa"/>
          <w:right w:w="28" w:type="dxa"/>
        </w:tblCellMar>
      </w:tblPr>
      <w:tblGrid>
        <w:gridCol w:w="1070"/>
        <w:gridCol w:w="940"/>
        <w:gridCol w:w="946"/>
        <w:gridCol w:w="109"/>
        <w:gridCol w:w="109"/>
        <w:gridCol w:w="109"/>
        <w:gridCol w:w="745"/>
        <w:gridCol w:w="745"/>
        <w:gridCol w:w="747"/>
        <w:gridCol w:w="109"/>
        <w:gridCol w:w="109"/>
        <w:gridCol w:w="109"/>
        <w:gridCol w:w="906"/>
        <w:gridCol w:w="2781"/>
        <w:gridCol w:w="671"/>
      </w:tblGrid>
      <w:tr>
        <w:trPr/>
        <w:tc>
          <w:tcPr>
            <w:tcW w:w="107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29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Restricted Stock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295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2021</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49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4,000 </w:t>
            </w:r>
          </w:p>
        </w:tc>
        <w:tc>
          <w:tcPr>
            <w:tcW w:w="74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78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7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58" w:type="dxa"/>
            <w:gridSpan w:val="3"/>
            <w:tcBorders/>
            <w:shd w:fill="auto" w:val="clear"/>
            <w:vAlign w:val="center"/>
          </w:tcPr>
          <w:p>
            <w:pPr>
              <w:pStyle w:val="TableContents"/>
              <w:spacing w:before="0" w:after="283"/>
              <w:rPr>
                <w:sz w:val="4"/>
                <w:szCs w:val="4"/>
              </w:rPr>
            </w:pPr>
            <w:r>
              <w:rPr>
                <w:sz w:val="4"/>
                <w:szCs w:val="4"/>
              </w:rPr>
            </w:r>
          </w:p>
        </w:tc>
      </w:tr>
      <w:tr>
        <w:trPr/>
        <w:tc>
          <w:tcPr>
            <w:tcW w:w="2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58" w:type="dxa"/>
            <w:gridSpan w:val="3"/>
            <w:tcBorders/>
            <w:shd w:fill="auto" w:val="clear"/>
            <w:vAlign w:val="center"/>
          </w:tcPr>
          <w:p>
            <w:pPr>
              <w:pStyle w:val="TableContents"/>
              <w:spacing w:before="0" w:after="283"/>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4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(1,263)</w:t>
            </w:r>
          </w:p>
        </w:tc>
        <w:tc>
          <w:tcPr>
            <w:tcW w:w="7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58" w:type="dxa"/>
            <w:gridSpan w:val="3"/>
            <w:tcBorders/>
            <w:shd w:fill="auto" w:val="clear"/>
            <w:vAlign w:val="center"/>
          </w:tcPr>
          <w:p>
            <w:pPr>
              <w:pStyle w:val="TableContents"/>
              <w:spacing w:before="0" w:after="283"/>
              <w:rPr>
                <w:sz w:val="4"/>
                <w:szCs w:val="4"/>
              </w:rPr>
            </w:pPr>
            <w:r>
              <w:rPr>
                <w:sz w:val="4"/>
                <w:szCs w:val="4"/>
              </w:rPr>
            </w:r>
          </w:p>
        </w:tc>
      </w:tr>
      <w:tr>
        <w:trPr/>
        <w:tc>
          <w:tcPr>
            <w:tcW w:w="29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 2022</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149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2,737 </w:t>
            </w:r>
          </w:p>
        </w:tc>
        <w:tc>
          <w:tcPr>
            <w:tcW w:w="74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7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63220"/>
                <wp:effectExtent l="0" t="0" r="0" b="0"/>
                <wp:wrapNone/>
                <wp:docPr id="80" name="Frame2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Units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RSUs was as follows:</w:t>
      </w:r>
    </w:p>
    <w:tbl>
      <w:tblPr>
        <w:tblW w:w="10205" w:type="dxa"/>
        <w:jc w:val="left"/>
        <w:tblInd w:w="0" w:type="dxa"/>
        <w:tblCellMar>
          <w:top w:w="28" w:type="dxa"/>
          <w:left w:w="28" w:type="dxa"/>
          <w:bottom w:w="28" w:type="dxa"/>
          <w:right w:w="28" w:type="dxa"/>
        </w:tblCellMar>
      </w:tblPr>
      <w:tblGrid>
        <w:gridCol w:w="1102"/>
        <w:gridCol w:w="961"/>
        <w:gridCol w:w="967"/>
        <w:gridCol w:w="109"/>
        <w:gridCol w:w="109"/>
        <w:gridCol w:w="109"/>
        <w:gridCol w:w="693"/>
        <w:gridCol w:w="693"/>
        <w:gridCol w:w="694"/>
        <w:gridCol w:w="109"/>
        <w:gridCol w:w="109"/>
        <w:gridCol w:w="109"/>
        <w:gridCol w:w="923"/>
        <w:gridCol w:w="2834"/>
        <w:gridCol w:w="684"/>
      </w:tblGrid>
      <w:tr>
        <w:trPr/>
        <w:tc>
          <w:tcPr>
            <w:tcW w:w="1102"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83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03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2021</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8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596 </w:t>
            </w:r>
          </w:p>
        </w:tc>
        <w:tc>
          <w:tcPr>
            <w:tcW w:w="69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3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43.55 </w:t>
            </w:r>
          </w:p>
        </w:tc>
        <w:tc>
          <w:tcPr>
            <w:tcW w:w="68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441" w:type="dxa"/>
            <w:gridSpan w:val="3"/>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145 </w:t>
            </w:r>
          </w:p>
        </w:tc>
        <w:tc>
          <w:tcPr>
            <w:tcW w:w="6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49.37 </w:t>
            </w:r>
          </w:p>
        </w:tc>
        <w:tc>
          <w:tcPr>
            <w:tcW w:w="6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8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w:t>
            </w:r>
          </w:p>
        </w:tc>
        <w:tc>
          <w:tcPr>
            <w:tcW w:w="69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43.55 </w:t>
            </w:r>
          </w:p>
        </w:tc>
        <w:tc>
          <w:tcPr>
            <w:tcW w:w="68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w:t>
            </w:r>
          </w:p>
        </w:tc>
        <w:tc>
          <w:tcPr>
            <w:tcW w:w="6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49.37 </w:t>
            </w:r>
          </w:p>
        </w:tc>
        <w:tc>
          <w:tcPr>
            <w:tcW w:w="6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542 </w:t>
            </w:r>
          </w:p>
        </w:tc>
        <w:tc>
          <w:tcPr>
            <w:tcW w:w="6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45.11 </w:t>
            </w:r>
          </w:p>
        </w:tc>
        <w:tc>
          <w:tcPr>
            <w:tcW w:w="6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Equity-Based Compensation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Equity-based compensation expense is recognized on a straight-line basis and is included in the Company’s condensed consolidated statements of operations was as follows: </w:t>
      </w:r>
    </w:p>
    <w:tbl>
      <w:tblPr>
        <w:tblW w:w="8028" w:type="dxa"/>
        <w:jc w:val="left"/>
        <w:tblInd w:w="0" w:type="dxa"/>
        <w:tblCellMar>
          <w:top w:w="28" w:type="dxa"/>
          <w:left w:w="28" w:type="dxa"/>
          <w:bottom w:w="28" w:type="dxa"/>
          <w:right w:w="28" w:type="dxa"/>
        </w:tblCellMar>
      </w:tblPr>
      <w:tblGrid>
        <w:gridCol w:w="1451"/>
        <w:gridCol w:w="1274"/>
        <w:gridCol w:w="1280"/>
        <w:gridCol w:w="109"/>
        <w:gridCol w:w="109"/>
        <w:gridCol w:w="109"/>
        <w:gridCol w:w="267"/>
        <w:gridCol w:w="820"/>
        <w:gridCol w:w="138"/>
        <w:gridCol w:w="138"/>
        <w:gridCol w:w="138"/>
        <w:gridCol w:w="138"/>
        <w:gridCol w:w="267"/>
        <w:gridCol w:w="953"/>
        <w:gridCol w:w="138"/>
        <w:gridCol w:w="109"/>
        <w:gridCol w:w="109"/>
        <w:gridCol w:w="109"/>
        <w:gridCol w:w="109"/>
        <w:gridCol w:w="109"/>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9,900 </w:t>
            </w:r>
          </w:p>
        </w:tc>
        <w:tc>
          <w:tcPr>
            <w:tcW w:w="1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14,650 </w:t>
            </w:r>
          </w:p>
        </w:tc>
        <w:tc>
          <w:tcPr>
            <w:tcW w:w="1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5"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35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2022, total unrecognized stock-based compensation related to unvested stock awards was $76.6 million, which will be recognized as follows: </w:t>
      </w:r>
    </w:p>
    <w:tbl>
      <w:tblPr>
        <w:tblW w:w="6408" w:type="dxa"/>
        <w:jc w:val="left"/>
        <w:tblInd w:w="0" w:type="dxa"/>
        <w:tblCellMar>
          <w:top w:w="28" w:type="dxa"/>
          <w:left w:w="28" w:type="dxa"/>
          <w:bottom w:w="28" w:type="dxa"/>
          <w:right w:w="28" w:type="dxa"/>
        </w:tblCellMar>
      </w:tblPr>
      <w:tblGrid>
        <w:gridCol w:w="1799"/>
        <w:gridCol w:w="1579"/>
        <w:gridCol w:w="1587"/>
        <w:gridCol w:w="109"/>
        <w:gridCol w:w="109"/>
        <w:gridCol w:w="109"/>
        <w:gridCol w:w="211"/>
        <w:gridCol w:w="751"/>
        <w:gridCol w:w="154"/>
      </w:tblGrid>
      <w:tr>
        <w:trPr/>
        <w:tc>
          <w:tcPr>
            <w:tcW w:w="1799"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2022</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31,457 </w:t>
            </w:r>
          </w:p>
        </w:tc>
        <w:tc>
          <w:tcPr>
            <w:tcW w:w="154"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41,650 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3,056 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unrecognized stock-based compensation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76,556 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12 — Non-Controlling Interests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is the sole managing member of Dutch Bros OpCo, and, as a result, consolidates the financial results of Dutch Bros OpCo. The Company reports a non-controlling interest representing the economic interest in the Dutch Bros OpCo held by the other members of Dutch Bros OpCo. The Dutch Bros OpCo Agreement provides that holders of OpCo Units may, from time to time, require Dutch Bros OpCo to redeem all or a portion of its OpCo Units for newly-issued shares of Class A common shares on a one-for-one basis. In connection with any redemption or exchange, the Company will receive a corresponding number of OpCo Units, increasing the Company’s total ownership in Dutch Bros OpCo. Changes in the Company’s ownership in Dutch Bros OpCo, while the Company retains its controlling interest in Dutch Bros OpCo, will be accounted for as equity transactions. As such, future redemptions or direct exchanges of OpCo Units in Dutch Bros OpCo by the other members of Dutch Bros OpCo will result in a change in ownership and reduce the amount recorded as non-controlling interest and increase additional paid-in-capital.</w:t>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63220"/>
                <wp:effectExtent l="0" t="0" r="0" b="0"/>
                <wp:wrapNone/>
                <wp:docPr id="83" name="Frame2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w:t>
      </w:r>
    </w:p>
    <w:tbl>
      <w:tblPr>
        <w:tblW w:w="8980" w:type="dxa"/>
        <w:jc w:val="left"/>
        <w:tblInd w:w="0" w:type="dxa"/>
        <w:tblCellMar>
          <w:top w:w="28" w:type="dxa"/>
          <w:left w:w="28" w:type="dxa"/>
          <w:bottom w:w="28" w:type="dxa"/>
          <w:right w:w="28" w:type="dxa"/>
        </w:tblCellMar>
      </w:tblPr>
      <w:tblGrid>
        <w:gridCol w:w="1995"/>
        <w:gridCol w:w="1750"/>
        <w:gridCol w:w="1759"/>
        <w:gridCol w:w="109"/>
        <w:gridCol w:w="109"/>
        <w:gridCol w:w="109"/>
        <w:gridCol w:w="443"/>
        <w:gridCol w:w="413"/>
        <w:gridCol w:w="391"/>
        <w:gridCol w:w="138"/>
        <w:gridCol w:w="138"/>
        <w:gridCol w:w="138"/>
        <w:gridCol w:w="329"/>
        <w:gridCol w:w="317"/>
        <w:gridCol w:w="842"/>
      </w:tblGrid>
      <w:tr>
        <w:trPr/>
        <w:tc>
          <w:tcPr>
            <w:tcW w:w="1995"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r>
      <w:tr>
        <w:trPr/>
        <w:tc>
          <w:tcPr>
            <w:tcW w:w="5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2022</w:t>
            </w:r>
          </w:p>
        </w:tc>
      </w:tr>
      <w:tr>
        <w:trPr/>
        <w:tc>
          <w:tcPr>
            <w:tcW w:w="55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rPr/>
        <w:tc>
          <w:tcPr>
            <w:tcW w:w="550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131E29"/>
                <w:sz w:val="20"/>
              </w:rPr>
              <w:t>Class A common units held by Dutch Bros Inc.</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53,619 </w:t>
            </w:r>
          </w:p>
        </w:tc>
        <w:tc>
          <w:tcPr>
            <w:tcW w:w="39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32.8 </w:t>
            </w:r>
          </w:p>
        </w:tc>
        <w:tc>
          <w:tcPr>
            <w:tcW w:w="84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5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Class A common units held by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110,085 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67.2 </w:t>
            </w:r>
          </w:p>
        </w:tc>
        <w:tc>
          <w:tcPr>
            <w:tcW w:w="84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55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163,703 </w:t>
            </w:r>
          </w:p>
        </w:tc>
        <w:tc>
          <w:tcPr>
            <w:tcW w:w="39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8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Includes approximately 2.7 million common units related to unvested restricted stock awards held by former Profits Interest Units holders. These common units are excluded from non-controlling interest calculations.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(loss) to Dutch Bros Inc. and the non-controlling interest holders. The non-controlling interest holders’ weighted-average ownership percentage for the three months ended March 31, 2022 was 70.1%.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the Company’s equity:</w:t>
      </w:r>
    </w:p>
    <w:tbl>
      <w:tblPr>
        <w:tblW w:w="10205" w:type="dxa"/>
        <w:jc w:val="left"/>
        <w:tblInd w:w="0" w:type="dxa"/>
        <w:tblCellMar>
          <w:top w:w="28" w:type="dxa"/>
          <w:left w:w="28" w:type="dxa"/>
          <w:bottom w:w="28" w:type="dxa"/>
          <w:right w:w="28" w:type="dxa"/>
        </w:tblCellMar>
      </w:tblPr>
      <w:tblGrid>
        <w:gridCol w:w="2569"/>
        <w:gridCol w:w="2137"/>
        <w:gridCol w:w="2124"/>
        <w:gridCol w:w="109"/>
        <w:gridCol w:w="109"/>
        <w:gridCol w:w="109"/>
        <w:gridCol w:w="575"/>
        <w:gridCol w:w="1910"/>
        <w:gridCol w:w="297"/>
        <w:gridCol w:w="109"/>
        <w:gridCol w:w="157"/>
      </w:tblGrid>
      <w:tr>
        <w:trPr/>
        <w:tc>
          <w:tcPr>
            <w:tcW w:w="2569"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91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29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Transfers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the acquisition of Dutch Bros OpCo common units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4,828 </w:t>
            </w:r>
          </w:p>
        </w:tc>
        <w:tc>
          <w:tcPr>
            <w:tcW w:w="29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3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 xml:space="preserve">Change from net loss attributable to Dutch Bros Inc. and transfers from </w:t>
              <w:b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Arial;sans-serif" w:hAnsi="Arial;sans-serif"/>
          <w:b/>
          <w:color w:val="00416B"/>
          <w:sz w:val="24"/>
        </w:rPr>
        <w:t>NOTE 13 — Loss Per Share</w:t>
      </w:r>
      <w:r>
        <w:rPr>
          <w:color w:val="EE2724"/>
        </w:rPr>
        <w:t xml:space="preserv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Basic loss per share of Class A and Class D common stock is computed by dividing net loss attributable to Dutch Bros Inc. by the weighted-average number of shares of Class A and Class D common stock outstanding during the period. Diluted loss per share of Class A and Class D common stock is computed by dividing loss attributable to Dutch Bros Inc., adjusted for the assumed exchange of all potentially dilutive instruments for Class A common stock, by the weighted-average number of shares of Class A and Class D common stock outstanding, adjusted to give effect to potentially dilutive elements. Share counts used in the diluted loss per share calculations are adjusted for the deemed repurchases provided for in the treasury stock method for restricted stock awards and restricted stock units, and under the if-converted method for the outstanding convertible Class B and Class C common stock.</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Prior to the Reorganization Transactions, the Dutch Bros OpCo had multiple classes of units with different economic rights. The Company analyzed the calculation of earnings per unit for periods prior to the IPO and determined that it resulted in values that would not be meaningful to the users of these consolidated financial statements. Therefore, earnings per unit information has not been presented for the three months ended March 31, 2021.</w:t>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63220"/>
                <wp:effectExtent l="0" t="0" r="0" b="0"/>
                <wp:wrapNone/>
                <wp:docPr id="86" name="Frame3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sets forth reconciliations of the numerators and denominators used to compute basic and diluted loss per share of Class A and Class D common stock for the three months ended March 31, 2022:</w:t>
      </w:r>
    </w:p>
    <w:tbl>
      <w:tblPr>
        <w:tblW w:w="9230" w:type="dxa"/>
        <w:jc w:val="left"/>
        <w:tblInd w:w="0" w:type="dxa"/>
        <w:tblCellMar>
          <w:top w:w="28" w:type="dxa"/>
          <w:left w:w="28" w:type="dxa"/>
          <w:bottom w:w="28" w:type="dxa"/>
          <w:right w:w="28" w:type="dxa"/>
        </w:tblCellMar>
      </w:tblPr>
      <w:tblGrid>
        <w:gridCol w:w="1827"/>
        <w:gridCol w:w="1601"/>
        <w:gridCol w:w="1296"/>
        <w:gridCol w:w="109"/>
        <w:gridCol w:w="109"/>
        <w:gridCol w:w="109"/>
        <w:gridCol w:w="109"/>
        <w:gridCol w:w="109"/>
        <w:gridCol w:w="109"/>
        <w:gridCol w:w="109"/>
        <w:gridCol w:w="649"/>
        <w:gridCol w:w="2496"/>
        <w:gridCol w:w="335"/>
        <w:gridCol w:w="109"/>
        <w:gridCol w:w="154"/>
      </w:tblGrid>
      <w:tr>
        <w:trPr/>
        <w:tc>
          <w:tcPr>
            <w:tcW w:w="1827"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4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4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net loss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(11,332)</w:t>
            </w:r>
          </w:p>
        </w:tc>
        <w:tc>
          <w:tcPr>
            <w:tcW w:w="335"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sets forth the computation of basic and diluted net loss per share of Class A and Class D common stock:</w:t>
      </w:r>
    </w:p>
    <w:tbl>
      <w:tblPr>
        <w:tblW w:w="10205" w:type="dxa"/>
        <w:jc w:val="left"/>
        <w:tblInd w:w="0" w:type="dxa"/>
        <w:tblCellMar>
          <w:top w:w="28" w:type="dxa"/>
          <w:left w:w="28" w:type="dxa"/>
          <w:bottom w:w="28" w:type="dxa"/>
          <w:right w:w="28" w:type="dxa"/>
        </w:tblCellMar>
      </w:tblPr>
      <w:tblGrid>
        <w:gridCol w:w="2481"/>
        <w:gridCol w:w="1982"/>
        <w:gridCol w:w="1994"/>
        <w:gridCol w:w="109"/>
        <w:gridCol w:w="109"/>
        <w:gridCol w:w="109"/>
        <w:gridCol w:w="109"/>
        <w:gridCol w:w="109"/>
        <w:gridCol w:w="109"/>
        <w:gridCol w:w="109"/>
        <w:gridCol w:w="563"/>
        <w:gridCol w:w="1867"/>
        <w:gridCol w:w="290"/>
        <w:gridCol w:w="109"/>
        <w:gridCol w:w="156"/>
      </w:tblGrid>
      <w:tr>
        <w:trPr/>
        <w:tc>
          <w:tcPr>
            <w:tcW w:w="2481"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c>
          <w:tcPr>
            <w:tcW w:w="265" w:type="dxa"/>
            <w:gridSpan w:val="2"/>
            <w:tcBorders/>
            <w:shd w:fill="auto" w:val="clear"/>
          </w:tcPr>
          <w:p>
            <w:pPr>
              <w:pStyle w:val="TableContents"/>
              <w:spacing w:before="0" w:after="283"/>
              <w:rPr>
                <w:sz w:val="4"/>
                <w:szCs w:val="4"/>
              </w:rPr>
            </w:pPr>
            <w:r>
              <w:rPr>
                <w:sz w:val="4"/>
                <w:szCs w:val="4"/>
              </w:rPr>
            </w:r>
          </w:p>
        </w:tc>
      </w:tr>
      <w:tr>
        <w:trPr/>
        <w:tc>
          <w:tcPr>
            <w:tcW w:w="64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8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48,059 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Dilutive effect of restricted stock awards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9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Dilutive effect of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 diluted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48,059 </w:t>
            </w:r>
          </w:p>
        </w:tc>
        <w:tc>
          <w:tcPr>
            <w:tcW w:w="29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 net loss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86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(0.10)</w:t>
            </w:r>
          </w:p>
        </w:tc>
        <w:tc>
          <w:tcPr>
            <w:tcW w:w="29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45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 net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86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(0.10)</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Shares of the Company’s Class B and Class C common stock do not participate in the earnings or losses of Dutch Bros Inc. and are therefore not participating securities. As such, separate presentation of basic and diluted loss per share of Class B and Class C common stock under the two-class method has not been presented. In addition, the Company has not included the effects of conversion of Class B and Class C common stock to Class A common stock in the diluted loss per share calculation using the if-converted method, because doing so has no impact on diluted loss per share.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common stock equivalents were excluded from diluted loss per share in the period presented because they were anti-dilutive:</w:t>
      </w:r>
    </w:p>
    <w:tbl>
      <w:tblPr>
        <w:tblW w:w="7548" w:type="dxa"/>
        <w:jc w:val="left"/>
        <w:tblInd w:w="0" w:type="dxa"/>
        <w:tblCellMar>
          <w:top w:w="28" w:type="dxa"/>
          <w:left w:w="28" w:type="dxa"/>
          <w:bottom w:w="28" w:type="dxa"/>
          <w:right w:w="28" w:type="dxa"/>
        </w:tblCellMar>
      </w:tblPr>
      <w:tblGrid>
        <w:gridCol w:w="906"/>
        <w:gridCol w:w="797"/>
        <w:gridCol w:w="801"/>
        <w:gridCol w:w="109"/>
        <w:gridCol w:w="109"/>
        <w:gridCol w:w="3481"/>
        <w:gridCol w:w="109"/>
        <w:gridCol w:w="109"/>
        <w:gridCol w:w="109"/>
        <w:gridCol w:w="323"/>
        <w:gridCol w:w="323"/>
        <w:gridCol w:w="109"/>
        <w:gridCol w:w="109"/>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1" w:type="dxa"/>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c>
          <w:tcPr>
            <w:tcW w:w="1345" w:type="dxa"/>
            <w:gridSpan w:val="8"/>
            <w:tcBorders/>
            <w:shd w:fill="auto" w:val="clear"/>
          </w:tcPr>
          <w:p>
            <w:pPr>
              <w:pStyle w:val="TableContents"/>
              <w:spacing w:before="0" w:after="283"/>
              <w:rPr>
                <w:sz w:val="4"/>
                <w:szCs w:val="4"/>
              </w:rPr>
            </w:pPr>
            <w:r>
              <w:rPr>
                <w:sz w:val="4"/>
                <w:szCs w:val="4"/>
              </w:rPr>
            </w:r>
          </w:p>
        </w:tc>
      </w:tr>
      <w:tr>
        <w:trPr/>
        <w:tc>
          <w:tcPr>
            <w:tcW w:w="25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anti-dilutive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3,279 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63220"/>
                <wp:effectExtent l="0" t="0" r="0" b="0"/>
                <wp:wrapNone/>
                <wp:docPr id="89" name="Frame3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14 — Commitments and Contingencies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Purchase Obligations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Guarantees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periodically provides guarantees to franchisees for lease payments. Annually, the Company determines if a liability needs to be recorded related to these guarantees. As of March 31, 2022 and December 31, 2021, the Company had guaranteed approximately $1.7 million and $1.7 million, respectively, in franchisee lease payments and has not established a liability for these guarantees as any liability arising from the guarantees is not material to the condensed consolidated financial statements.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Legal Proceedings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legal actions arising in the ordinary course of its business. These claims, legal proceedings and litigation principally arise from alleged casualty, employment, and other disputes. 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While any claim, proceeding or litigation has an element of uncertainty, the Company believes the outcome of any of these that are pending or threatened will not have a material adverse effect on its financial condition, results of operations, or cash flows.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15 — Related Party Transactions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donations to Dutch Bros Foundation, a not-for-profit founded by the Company that provides philanthropy to coffee farmers and local communities and for which the Company’s Chief Executive Officer serves on the board of directors, were as follows:</w:t>
      </w:r>
    </w:p>
    <w:tbl>
      <w:tblPr>
        <w:tblW w:w="7292" w:type="dxa"/>
        <w:jc w:val="left"/>
        <w:tblInd w:w="0" w:type="dxa"/>
        <w:tblCellMar>
          <w:top w:w="28" w:type="dxa"/>
          <w:left w:w="28" w:type="dxa"/>
          <w:bottom w:w="28" w:type="dxa"/>
          <w:right w:w="28" w:type="dxa"/>
        </w:tblCellMar>
      </w:tblPr>
      <w:tblGrid>
        <w:gridCol w:w="1185"/>
        <w:gridCol w:w="1040"/>
        <w:gridCol w:w="1045"/>
        <w:gridCol w:w="109"/>
        <w:gridCol w:w="109"/>
        <w:gridCol w:w="109"/>
        <w:gridCol w:w="280"/>
        <w:gridCol w:w="858"/>
        <w:gridCol w:w="144"/>
        <w:gridCol w:w="144"/>
        <w:gridCol w:w="144"/>
        <w:gridCol w:w="144"/>
        <w:gridCol w:w="280"/>
        <w:gridCol w:w="858"/>
        <w:gridCol w:w="144"/>
        <w:gridCol w:w="109"/>
        <w:gridCol w:w="109"/>
        <w:gridCol w:w="109"/>
        <w:gridCol w:w="109"/>
        <w:gridCol w:w="109"/>
        <w:gridCol w:w="154"/>
      </w:tblGrid>
      <w:tr>
        <w:trPr/>
        <w:tc>
          <w:tcPr>
            <w:tcW w:w="118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1,373 </w:t>
            </w:r>
          </w:p>
        </w:tc>
        <w:tc>
          <w:tcPr>
            <w:tcW w:w="1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2,125 </w:t>
            </w:r>
          </w:p>
        </w:tc>
        <w:tc>
          <w:tcPr>
            <w:tcW w:w="1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16 — Segment Reporting</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the Company’s Chief Executive Officer (CEO), who is the chief operating decision maker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franchisees and includes the initial franchise fees, royalties, and marketing fees.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CODM reviews segment performance and allocates resources based upon segment contribution, which is defined as segment gross profit before depreciation and amortization. </w:t>
      </w:r>
    </w:p>
    <w:p>
      <w:pPr>
        <w:pStyle w:val="HorizontalLine"/>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63220"/>
                <wp:effectExtent l="0" t="0" r="0" b="0"/>
                <wp:wrapNone/>
                <wp:docPr id="92" name="Frame3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and there are no intersegment revenues. As the CODM is not provided with asset information by segment, assets are reported only on a consolidated basis.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changes have been made to the Company’s segments during the three months ended March 31, 2022. In addition, no customer represents 10% or more of total accounts receivable or revenues as of and for the three months ended March 31, 2022 and 2021.</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 xml:space="preserve">Financial information for the Company’s reportable segments was as follows for the periods presented: </w:t>
      </w:r>
    </w:p>
    <w:tbl>
      <w:tblPr>
        <w:tblW w:w="7191" w:type="dxa"/>
        <w:jc w:val="left"/>
        <w:tblInd w:w="0" w:type="dxa"/>
        <w:tblCellMar>
          <w:top w:w="28" w:type="dxa"/>
          <w:left w:w="28" w:type="dxa"/>
          <w:bottom w:w="28" w:type="dxa"/>
          <w:right w:w="28" w:type="dxa"/>
        </w:tblCellMar>
      </w:tblPr>
      <w:tblGrid>
        <w:gridCol w:w="1354"/>
        <w:gridCol w:w="906"/>
        <w:gridCol w:w="905"/>
        <w:gridCol w:w="109"/>
        <w:gridCol w:w="109"/>
        <w:gridCol w:w="109"/>
        <w:gridCol w:w="246"/>
        <w:gridCol w:w="998"/>
        <w:gridCol w:w="127"/>
        <w:gridCol w:w="127"/>
        <w:gridCol w:w="127"/>
        <w:gridCol w:w="127"/>
        <w:gridCol w:w="246"/>
        <w:gridCol w:w="875"/>
        <w:gridCol w:w="127"/>
        <w:gridCol w:w="109"/>
        <w:gridCol w:w="109"/>
        <w:gridCol w:w="109"/>
        <w:gridCol w:w="109"/>
        <w:gridCol w:w="109"/>
        <w:gridCol w:w="154"/>
      </w:tblGrid>
      <w:tr>
        <w:trPr/>
        <w:tc>
          <w:tcPr>
            <w:tcW w:w="135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 ¹</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20,868 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98,785 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113,548 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60,339 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7,619 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6,169 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66,508 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contribution: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20,849 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15,692 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16,192 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segment contribution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39,471 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3,271 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1,342 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1,493 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8,482 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4,764 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(35,986)</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(4,779)</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The Company identified immaterial corrections related to the accrual of employee sick leave and the application of ASC 710, </w:t>
      </w:r>
      <w:r>
        <w:rPr>
          <w:rFonts w:ascii="Arial;sans-serif" w:hAnsi="Arial;sans-serif"/>
          <w:b w:val="false"/>
          <w:i/>
          <w:color w:val="000000"/>
          <w:sz w:val="16"/>
        </w:rPr>
        <w:t>Compensation - General</w:t>
      </w:r>
      <w:r>
        <w:rPr>
          <w:rFonts w:ascii="Arial;sans-serif" w:hAnsi="Arial;sans-serif"/>
          <w:b w:val="false"/>
          <w:color w:val="000000"/>
          <w:sz w:val="16"/>
        </w:rPr>
        <w:t xml:space="preserve">, which resulted in revisions to segments’ prior period reported amounts for the three months ended March 31, 2021. The impacted line items are presented below. </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Decrease in company-operated shops cost of sales (labor costs) of $0.38 million</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Decrease in franchising and other cost of sales of $0.03 million</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Decrease in total cost of sales of $0.4 million</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Increase in company-operated shops gross profit and segment contribution of $0.38 million</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Increase in franchising and other gross profit and segment contribution of $0.03 million</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Increase in total gross profit and segment contribution of $0.4 million</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Decrease in selling, general and administrative expenses of $0.4 million</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16"/>
        </w:rPr>
        <w:t>Decrease in loss before income taxes of $0.8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63220"/>
                <wp:effectExtent l="0" t="0" r="0" b="0"/>
                <wp:wrapNone/>
                <wp:docPr id="95" name="Frame3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17 — Subsequent Events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Interest Rate Swap Contract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April 1, 2022, the Company completed an interest rate swap transaction with JPMorgan Chase Bank, N.A. as administrative agent and other financial institutions as the lenders party thereto, with respect to $70 million of the term loan under the 2022 Credit Facility. The purpose of the floating-to-fixed interest rate swap transaction (the Interest Rate Swap) was to fix the term loan interest rate at 2.67%. The Interest Rate Swap has a maturity date of February 28, 2027.</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Property Sale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April 19, 2022, the Company sold the land and building at its Kansas City, Kansas shop location for approximately $2.6 million, net of closing costs. The Company will continue to operate at this location, and will leaseback the land and building.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Overview and Highlights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foodservice and restaurant industry in the United States by location count.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2022, we had 572 company-operated and franchised shops in 12 states, an increase of approximately 26.3% from the same period in the prior year. For the three months ended March 31, 2022, we generated $152.2 million of revenue, a $(16.3) million net loss, and $(0.10) loss per diluted share. We have two reportable operating segments: Company-operated shops and Franchising and other. </w:t>
      </w:r>
    </w:p>
    <w:p>
      <w:pPr>
        <w:pStyle w:val="TextBody"/>
        <w:spacing w:before="0" w:after="540"/>
        <w:rPr/>
      </w:pPr>
      <w:r>
        <w:rPr/>
        <w:drawing>
          <wp:inline distT="0" distB="63500" distL="0" distR="0">
            <wp:extent cx="1905000" cy="2476500"/>
            <wp:effectExtent l="0" t="0" r="0" b="0"/>
            <wp:docPr id="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 descr=""/>
                    <pic:cNvPicPr>
                      <a:picLocks noChangeAspect="1" noChangeArrowheads="1"/>
                    </pic:cNvPicPr>
                  </pic:nvPicPr>
                  <pic:blipFill>
                    <a:blip r:embed="rId35"/>
                    <a:stretch>
                      <a:fillRect/>
                    </a:stretch>
                  </pic:blipFill>
                  <pic:spPr bwMode="auto">
                    <a:xfrm>
                      <a:off x="0" y="0"/>
                      <a:ext cx="1905000" cy="2476500"/>
                    </a:xfrm>
                    <a:prstGeom prst="rect">
                      <a:avLst/>
                    </a:prstGeom>
                  </pic:spPr>
                </pic:pic>
              </a:graphicData>
            </a:graphic>
          </wp:inline>
        </w:drawing>
      </w:r>
      <w:r>
        <w:rPr/>
        <w:drawing>
          <wp:inline distT="0" distB="63500" distL="0" distR="0">
            <wp:extent cx="1905000" cy="2476500"/>
            <wp:effectExtent l="0" t="0" r="0" b="0"/>
            <wp:docPr id="9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5" descr=""/>
                    <pic:cNvPicPr>
                      <a:picLocks noChangeAspect="1" noChangeArrowheads="1"/>
                    </pic:cNvPicPr>
                  </pic:nvPicPr>
                  <pic:blipFill>
                    <a:blip r:embed="rId36"/>
                    <a:stretch>
                      <a:fillRect/>
                    </a:stretch>
                  </pic:blipFill>
                  <pic:spPr bwMode="auto">
                    <a:xfrm>
                      <a:off x="0" y="0"/>
                      <a:ext cx="1905000" cy="2476500"/>
                    </a:xfrm>
                    <a:prstGeom prst="rect">
                      <a:avLst/>
                    </a:prstGeom>
                  </pic:spPr>
                </pic:pic>
              </a:graphicData>
            </a:graphic>
          </wp:inline>
        </w:drawing>
      </w:r>
      <w:r>
        <w:rPr/>
        <w:drawing>
          <wp:inline distT="0" distB="63500" distL="0" distR="0">
            <wp:extent cx="2085975" cy="2476500"/>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37"/>
                    <a:stretch>
                      <a:fillRect/>
                    </a:stretch>
                  </pic:blipFill>
                  <pic:spPr bwMode="auto">
                    <a:xfrm>
                      <a:off x="0" y="0"/>
                      <a:ext cx="2085975" cy="2476500"/>
                    </a:xfrm>
                    <a:prstGeom prst="rect">
                      <a:avLst/>
                    </a:prstGeom>
                  </pic:spPr>
                </pic:pic>
              </a:graphicData>
            </a:graphic>
          </wp:inline>
        </w:drawing>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3220"/>
                <wp:effectExtent l="0" t="0" r="0" b="0"/>
                <wp:wrapNone/>
                <wp:docPr id="101" name="Frame3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0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7"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Key Highlights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Celebrated 30 years of serving high QUALITY, hand-crafted beverages with unparalleled SPEED and superior SERVICE to our customers in February 2022 with events in Nashville, TN and at our headquarters in Grants Pass, OR.</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 opened 34 company-operated shops in Q1 2022, and now company-operated shops represent 54.2% of our total shops, which is an increase of 62.3% from the same period in 2021.</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 February 2022, we increased our available credit under our credit facility to enable a faster pace of shop openings.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Impact of Global Events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COVID-19</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effects of COVID-19 continue to evolve, and we cannot easily predict the future potential impacts of the pandemic on our business and operations, or on the United States and global economy in general. This also may include any recurrence of the disease, actions taken in response to the evolving pandemic, any ongoing effects on consumer demand and spending patterns or other impacts of the pandemic. Whether these or other currently unanticipated consequences of the pandemic are reasonably likely to materially affect the continued and future impacts on our results of operations, cash flows or financial condition is yet to be determined.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Due to our drive-thru shops model, we have not experienced materially negative impacts to the degree as others in our industry, and our consumer demand has increased during the pandemic. Nevertheless, we have been affected by global shipping delays that have impacted deliveries of supplies to our shops.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Inflation and Minimum Wage Increases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Similar to many of our peers in the industry, in the three months ended March 31, 2022, we encountered current commodity inflation and experienced increasing minimum wages in certain states. We expect commodity inflation to continue to affect our operating results in the foreseeable future. While these cost increases have impacted our operating results, have taken measures to gradually increase our menu prices to help offset these pressures. We will continue to evaluate further pricing actions into 2022 to protect our operating results.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Russia/Ukraine Conflict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 date, the conflict between Russia and Ukraine has not had a material direct impact on our business, financial condition, or results of operations. Indirectly, this conflict and resulting sanctions may have caused recent increases in oil and gas prices. Because of our drive-thru shops model, we are monitoring closely the impact of recent significant increases in oil and gas prices on our customers’ behavior and believe such increases have resulted in decreased demand, which we believe is likely to continue. We are also monitoring any broader economic impact of the current conflict, including its effect on commodities (including oil and gas), liquidity and credit availability, declines in consumer confidence, declines in global economic growth, inflation, uncertainty about economic stability, and recent increases in unemployment rates. </w:t>
      </w: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3220"/>
                <wp:effectExtent l="0" t="0" r="0" b="0"/>
                <wp:wrapNone/>
                <wp:docPr id="104" name="Frame3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Results of Operations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historical results have been retroactively revised to reflect an immaterial error correction related to the accrual of employee sick leave. These revisions ensure comparability across all periods reflected herein. For additional information, refer to NOTE 2 — Basis of Presentation and Summary of Significant Accounting Policies and NOTE 16 — Segment Reporting, included elsewhere in this Form 10-Q.</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tables provide our operating results and explanation of changes for the periods presented.</w:t>
      </w:r>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Condensed Consolidated Statements of Operations</w:t>
      </w:r>
    </w:p>
    <w:tbl>
      <w:tblPr>
        <w:tblW w:w="10205" w:type="dxa"/>
        <w:jc w:val="left"/>
        <w:tblInd w:w="0" w:type="dxa"/>
        <w:tblCellMar>
          <w:top w:w="28" w:type="dxa"/>
          <w:left w:w="28" w:type="dxa"/>
          <w:bottom w:w="28" w:type="dxa"/>
          <w:right w:w="28" w:type="dxa"/>
        </w:tblCellMar>
      </w:tblPr>
      <w:tblGrid>
        <w:gridCol w:w="2293"/>
        <w:gridCol w:w="2013"/>
        <w:gridCol w:w="1975"/>
        <w:gridCol w:w="109"/>
        <w:gridCol w:w="109"/>
        <w:gridCol w:w="109"/>
        <w:gridCol w:w="237"/>
        <w:gridCol w:w="963"/>
        <w:gridCol w:w="122"/>
        <w:gridCol w:w="122"/>
        <w:gridCol w:w="122"/>
        <w:gridCol w:w="122"/>
        <w:gridCol w:w="237"/>
        <w:gridCol w:w="844"/>
        <w:gridCol w:w="122"/>
        <w:gridCol w:w="109"/>
        <w:gridCol w:w="109"/>
        <w:gridCol w:w="109"/>
        <w:gridCol w:w="109"/>
        <w:gridCol w:w="109"/>
        <w:gridCol w:w="161"/>
      </w:tblGrid>
      <w:tr>
        <w:trPr/>
        <w:tc>
          <w:tcPr>
            <w:tcW w:w="2293"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20,868 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98,785 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66,508 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2"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35,986 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166,381 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102,494 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FROM OPERATIONS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(14,225)</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(3,709)</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(1,017)</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(4,779)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Net loss attributable to Dutch Bros OpCo prior to the Reorganization Transactions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1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3220"/>
                <wp:effectExtent l="0" t="0" r="0" b="0"/>
                <wp:wrapNone/>
                <wp:docPr id="107" name="Frame3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Segment Financials</w:t>
      </w:r>
    </w:p>
    <w:tbl>
      <w:tblPr>
        <w:tblW w:w="7191" w:type="dxa"/>
        <w:jc w:val="left"/>
        <w:tblInd w:w="0" w:type="dxa"/>
        <w:tblCellMar>
          <w:top w:w="28" w:type="dxa"/>
          <w:left w:w="28" w:type="dxa"/>
          <w:bottom w:w="28" w:type="dxa"/>
          <w:right w:w="28" w:type="dxa"/>
        </w:tblCellMar>
      </w:tblPr>
      <w:tblGrid>
        <w:gridCol w:w="1146"/>
        <w:gridCol w:w="1006"/>
        <w:gridCol w:w="1013"/>
        <w:gridCol w:w="109"/>
        <w:gridCol w:w="109"/>
        <w:gridCol w:w="109"/>
        <w:gridCol w:w="246"/>
        <w:gridCol w:w="998"/>
        <w:gridCol w:w="127"/>
        <w:gridCol w:w="127"/>
        <w:gridCol w:w="127"/>
        <w:gridCol w:w="127"/>
        <w:gridCol w:w="246"/>
        <w:gridCol w:w="875"/>
        <w:gridCol w:w="127"/>
        <w:gridCol w:w="109"/>
        <w:gridCol w:w="109"/>
        <w:gridCol w:w="109"/>
        <w:gridCol w:w="109"/>
        <w:gridCol w:w="109"/>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20,868 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98,785 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113,548 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60,339 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7,619 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6,169 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66,508 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gross profit: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17,578 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14,350 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14,699 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30,989 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32,277 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(35,986)</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(4,779)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3,271 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1,342 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1,493 </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All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9,182 </w:t>
            </w:r>
          </w:p>
        </w:tc>
        <w:tc>
          <w:tcPr>
            <w:tcW w:w="1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5,350 </w:t>
            </w:r>
          </w:p>
        </w:tc>
        <w:tc>
          <w:tcPr>
            <w:tcW w:w="1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3220"/>
                <wp:effectExtent l="0" t="0" r="0" b="0"/>
                <wp:wrapNone/>
                <wp:docPr id="110" name="Frame3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1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0"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1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0"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 xml:space="preserve">Key Performance Indicators </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(KPIs) that we use to effectively manage and evaluate our business are as follows:</w:t>
      </w:r>
    </w:p>
    <w:tbl>
      <w:tblPr>
        <w:tblW w:w="8388" w:type="dxa"/>
        <w:jc w:val="left"/>
        <w:tblInd w:w="0" w:type="dxa"/>
        <w:tblCellMar>
          <w:top w:w="28" w:type="dxa"/>
          <w:left w:w="28" w:type="dxa"/>
          <w:bottom w:w="28" w:type="dxa"/>
          <w:right w:w="28" w:type="dxa"/>
        </w:tblCellMar>
      </w:tblPr>
      <w:tblGrid>
        <w:gridCol w:w="1542"/>
        <w:gridCol w:w="1354"/>
        <w:gridCol w:w="1363"/>
        <w:gridCol w:w="109"/>
        <w:gridCol w:w="109"/>
        <w:gridCol w:w="109"/>
        <w:gridCol w:w="411"/>
        <w:gridCol w:w="287"/>
        <w:gridCol w:w="557"/>
        <w:gridCol w:w="212"/>
        <w:gridCol w:w="212"/>
        <w:gridCol w:w="212"/>
        <w:gridCol w:w="411"/>
        <w:gridCol w:w="244"/>
        <w:gridCol w:w="557"/>
        <w:gridCol w:w="109"/>
        <w:gridCol w:w="109"/>
        <w:gridCol w:w="109"/>
        <w:gridCol w:w="109"/>
        <w:gridCol w:w="109"/>
        <w:gridCol w:w="154"/>
      </w:tblGrid>
      <w:tr>
        <w:trPr/>
        <w:tc>
          <w:tcPr>
            <w:tcW w:w="1542"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shop count data;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6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Shop count, beginning of period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538</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 of franchise shops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Shop count,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310</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shop count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572</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Average unit volume (AUV)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1,892</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1,829</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Same shop sales growth </w:t>
            </w:r>
            <w:r>
              <w:rPr>
                <w:rFonts w:ascii="Arial;sans-serif" w:hAnsi="Arial;sans-serif"/>
                <w:b w:val="false"/>
                <w:color w:val="131E29"/>
                <w:sz w:val="13"/>
              </w:rPr>
              <w:t>2, 4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5.1 </w:t>
            </w:r>
          </w:p>
        </w:tc>
        <w:tc>
          <w:tcPr>
            <w:tcW w:w="55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10.0 </w:t>
            </w:r>
          </w:p>
        </w:tc>
        <w:tc>
          <w:tcPr>
            <w:tcW w:w="55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revenues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17,578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Company-operated shop contribution </w:t>
            </w:r>
            <w:r>
              <w:rPr>
                <w:rFonts w:ascii="Arial;sans-serif" w:hAnsi="Arial;sans-serif"/>
                <w:b w:val="false"/>
                <w:color w:val="131E29"/>
                <w:sz w:val="13"/>
              </w:rPr>
              <w:t>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20,849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Company-operated shop gross profit as a % of </w:t>
            </w:r>
          </w:p>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company-operated shop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Company-operated shop contribution as a % of </w:t>
            </w:r>
          </w:p>
          <w:p>
            <w:pPr>
              <w:pStyle w:val="TableContents"/>
              <w:spacing w:lineRule="auto" w:line="288" w:before="0" w:after="180"/>
              <w:jc w:val="left"/>
              <w:rPr/>
            </w:pPr>
            <w:r>
              <w:rPr>
                <w:rFonts w:ascii="Arial;sans-serif" w:hAnsi="Arial;sans-serif"/>
                <w:b w:val="false"/>
                <w:color w:val="131E29"/>
                <w:sz w:val="20"/>
              </w:rPr>
              <w:t xml:space="preserve">company-operated shop revenue </w:t>
            </w:r>
            <w:r>
              <w:rPr>
                <w:rFonts w:ascii="Arial;sans-serif" w:hAnsi="Arial;sans-serif"/>
                <w:b w:val="false"/>
                <w:color w:val="131E29"/>
                <w:sz w:val="13"/>
              </w:rPr>
              <w:t>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55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26.8 </w:t>
            </w:r>
          </w:p>
        </w:tc>
        <w:tc>
          <w:tcPr>
            <w:tcW w:w="55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Adjusted EBITDA</w:t>
            </w:r>
            <w:r>
              <w:rPr>
                <w:color w:val="131E29"/>
              </w:rPr>
              <w:t xml:space="preserve"> </w:t>
            </w:r>
            <w:r>
              <w:rPr>
                <w:rFonts w:ascii="Arial;sans-serif" w:hAnsi="Arial;sans-serif"/>
                <w:b w:val="false"/>
                <w:color w:val="131E29"/>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9,662</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18,685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as % of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w:t>
            </w:r>
          </w:p>
        </w:tc>
        <w:tc>
          <w:tcPr>
            <w:tcW w:w="55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w:t>
            </w:r>
          </w:p>
        </w:tc>
        <w:tc>
          <w:tcPr>
            <w:tcW w:w="55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Adjusted EBITDA as % of revenue </w:t>
            </w:r>
            <w:r>
              <w:rPr>
                <w:rFonts w:ascii="Arial;sans-serif" w:hAnsi="Arial;sans-serif"/>
                <w:b w:val="false"/>
                <w:color w:val="131E29"/>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18.9 </w:t>
            </w:r>
          </w:p>
        </w:tc>
        <w:tc>
          <w:tcPr>
            <w:tcW w:w="55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Systemwide sales </w:t>
            </w:r>
            <w:r>
              <w:rPr>
                <w:rFonts w:ascii="Arial;sans-serif" w:hAnsi="Arial;sans-serif"/>
                <w:b w:val="false"/>
                <w:color w:val="131E29"/>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254,565</w:t>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190,477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Dutch Rewards member registrations </w:t>
            </w:r>
            <w:r>
              <w:rPr>
                <w:rFonts w:ascii="Arial;sans-serif" w:hAnsi="Arial;sans-serif"/>
                <w:b w:val="false"/>
                <w:color w:val="131E29"/>
                <w:sz w:val="13"/>
              </w:rPr>
              <w:t>5</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489</w:t>
            </w:r>
          </w:p>
        </w:tc>
        <w:tc>
          <w:tcPr>
            <w:tcW w:w="63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 xml:space="preserve">AUVs are determined based on the net sales for any trailing twelve-month period for systemwide and company-operated shops that have been open a minimum of 15 months. AUVs are calculated by dividing the net sales by the total number of systemwide and company-operated shops, respectively. Management uses this metric as an indicator of shop growth and future expectations of mature locations. </w:t>
      </w: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3220"/>
                <wp:effectExtent l="0" t="0" r="0" b="0"/>
                <wp:wrapNone/>
                <wp:docPr id="113" name="Frame3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1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1"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1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1"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0"/>
        <w:ind w:left="0" w:right="0" w:hanging="180"/>
        <w:jc w:val="both"/>
        <w:rPr/>
      </w:pPr>
      <w:r>
        <w:rPr>
          <w:rFonts w:ascii="Arial;sans-serif" w:hAnsi="Arial;sans-serif"/>
          <w:b w:val="false"/>
          <w:color w:val="131E29"/>
          <w:sz w:val="10"/>
        </w:rPr>
        <w:t>2    </w:t>
      </w:r>
      <w:r>
        <w:rPr>
          <w:rFonts w:ascii="Arial;sans-serif" w:hAnsi="Arial;sans-serif"/>
          <w:b w:val="false"/>
          <w:color w:val="131E29"/>
          <w:sz w:val="16"/>
        </w:rPr>
        <w:t xml:space="preserve">Same shop sales growth reflects the change in year-over-year sales for the comparable shop base, which we define as shops open for 15 complete months or longer. Management uses this metric as an indicator of shop growth and future expansion strategy. The number of shops included in the systemwide and company-operated comparable bases for the respective periods are presented in the following table. </w:t>
      </w:r>
    </w:p>
    <w:tbl>
      <w:tblPr>
        <w:tblW w:w="5913" w:type="dxa"/>
        <w:jc w:val="left"/>
        <w:tblInd w:w="0" w:type="dxa"/>
        <w:tblCellMar>
          <w:top w:w="28" w:type="dxa"/>
          <w:left w:w="28" w:type="dxa"/>
          <w:bottom w:w="28" w:type="dxa"/>
          <w:right w:w="28" w:type="dxa"/>
        </w:tblCellMar>
      </w:tblPr>
      <w:tblGrid>
        <w:gridCol w:w="847"/>
        <w:gridCol w:w="744"/>
        <w:gridCol w:w="749"/>
        <w:gridCol w:w="109"/>
        <w:gridCol w:w="109"/>
        <w:gridCol w:w="109"/>
        <w:gridCol w:w="283"/>
        <w:gridCol w:w="283"/>
        <w:gridCol w:w="283"/>
        <w:gridCol w:w="283"/>
        <w:gridCol w:w="283"/>
        <w:gridCol w:w="283"/>
        <w:gridCol w:w="283"/>
        <w:gridCol w:w="283"/>
        <w:gridCol w:w="283"/>
        <w:gridCol w:w="109"/>
        <w:gridCol w:w="109"/>
        <w:gridCol w:w="109"/>
        <w:gridCol w:w="109"/>
        <w:gridCol w:w="109"/>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2022</w:t>
            </w:r>
          </w:p>
        </w:tc>
        <w:tc>
          <w:tcPr>
            <w:tcW w:w="8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414</w:t>
            </w:r>
          </w:p>
        </w:tc>
        <w:tc>
          <w:tcPr>
            <w:tcW w:w="84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355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Company-operated shop base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173</w:t>
            </w:r>
          </w:p>
        </w:tc>
        <w:tc>
          <w:tcPr>
            <w:tcW w:w="8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180"/>
        <w:jc w:val="both"/>
        <w:rPr/>
      </w:pPr>
      <w:r>
        <w:rPr>
          <w:rFonts w:ascii="Arial;sans-serif" w:hAnsi="Arial;sans-serif"/>
          <w:b w:val="false"/>
          <w:color w:val="131E29"/>
          <w:sz w:val="10"/>
        </w:rPr>
        <w:t>3    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pStyle w:val="TextBody"/>
        <w:spacing w:lineRule="auto" w:line="288" w:before="0" w:after="180"/>
        <w:ind w:left="0" w:right="0" w:hanging="180"/>
        <w:jc w:val="both"/>
        <w:rPr/>
      </w:pPr>
      <w:r>
        <w:rPr>
          <w:rFonts w:ascii="Arial;sans-serif" w:hAnsi="Arial;sans-serif"/>
          <w:b w:val="false"/>
          <w:color w:val="131E29"/>
          <w:sz w:val="10"/>
        </w:rPr>
        <w:t>4    </w:t>
      </w:r>
      <w:r>
        <w:rPr>
          <w:rFonts w:ascii="Arial;sans-serif" w:hAnsi="Arial;sans-serif"/>
          <w:b w:val="false"/>
          <w:color w:val="131E29"/>
          <w:sz w:val="16"/>
        </w:rPr>
        <w:t xml:space="preserve">Systemwide sales and systemwide same shop sales include company-operated shop revenue and sales at franchised shops during the comparable periods noted. As these metrics include sales reported to us by our non-consolidated franchise partners, these metrics should be considered as a supplement to, not a substitute for, our results as reported under GAAP. Management uses these metrics as indicators of overall Dutch Bros financial health, growth and future expansion prospects. </w:t>
      </w:r>
    </w:p>
    <w:p>
      <w:pPr>
        <w:pStyle w:val="TextBody"/>
        <w:spacing w:lineRule="auto" w:line="288" w:before="0" w:after="180"/>
        <w:ind w:left="0" w:right="0" w:hanging="180"/>
        <w:jc w:val="both"/>
        <w:rPr/>
      </w:pPr>
      <w:r>
        <w:rPr>
          <w:rFonts w:ascii="Arial;sans-serif" w:hAnsi="Arial;sans-serif"/>
          <w:b w:val="false"/>
          <w:color w:val="131E29"/>
          <w:sz w:val="10"/>
        </w:rPr>
        <w:t>5    </w:t>
      </w:r>
      <w:r>
        <w:rPr>
          <w:rFonts w:ascii="Arial;sans-serif" w:hAnsi="Arial;sans-serif"/>
          <w:b w:val="false"/>
          <w:color w:val="131E29"/>
          <w:sz w:val="16"/>
        </w:rPr>
        <w:t>Dutch Rewards, a digitally-based rewards program available exclusively through the Dutch Rewards app, was launched February 2021.</w:t>
      </w:r>
      <w:r>
        <w:rPr>
          <w:color w:val="131E29"/>
        </w:rPr>
        <w:t xml:space="preserve"> </w:t>
      </w:r>
      <w:r>
        <w:rPr>
          <w:rFonts w:ascii="Arial;sans-serif" w:hAnsi="Arial;sans-serif"/>
          <w:b w:val="false"/>
          <w:color w:val="131E29"/>
          <w:sz w:val="16"/>
        </w:rPr>
        <w:t xml:space="preserve">Management uses this metric as an indicator of customer loyalty adoption of our Dutch Rewards app and future promotional plans.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Company-operated Shop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results for our company-operated shops segment were as follows:</w:t>
      </w:r>
    </w:p>
    <w:tbl>
      <w:tblPr>
        <w:tblW w:w="9859" w:type="dxa"/>
        <w:jc w:val="left"/>
        <w:tblInd w:w="0" w:type="dxa"/>
        <w:tblCellMar>
          <w:top w:w="28" w:type="dxa"/>
          <w:left w:w="28" w:type="dxa"/>
          <w:bottom w:w="28" w:type="dxa"/>
          <w:right w:w="28" w:type="dxa"/>
        </w:tblCellMar>
      </w:tblPr>
      <w:tblGrid>
        <w:gridCol w:w="1243"/>
        <w:gridCol w:w="1092"/>
        <w:gridCol w:w="1099"/>
        <w:gridCol w:w="109"/>
        <w:gridCol w:w="109"/>
        <w:gridCol w:w="109"/>
        <w:gridCol w:w="428"/>
        <w:gridCol w:w="428"/>
        <w:gridCol w:w="142"/>
        <w:gridCol w:w="142"/>
        <w:gridCol w:w="142"/>
        <w:gridCol w:w="142"/>
        <w:gridCol w:w="323"/>
        <w:gridCol w:w="323"/>
        <w:gridCol w:w="142"/>
        <w:gridCol w:w="142"/>
        <w:gridCol w:w="142"/>
        <w:gridCol w:w="142"/>
        <w:gridCol w:w="375"/>
        <w:gridCol w:w="376"/>
        <w:gridCol w:w="142"/>
        <w:gridCol w:w="142"/>
        <w:gridCol w:w="142"/>
        <w:gridCol w:w="142"/>
        <w:gridCol w:w="323"/>
        <w:gridCol w:w="323"/>
        <w:gridCol w:w="142"/>
        <w:gridCol w:w="109"/>
        <w:gridCol w:w="109"/>
        <w:gridCol w:w="109"/>
        <w:gridCol w:w="109"/>
        <w:gridCol w:w="109"/>
        <w:gridCol w:w="109"/>
        <w:gridCol w:w="109"/>
        <w:gridCol w:w="109"/>
        <w:gridCol w:w="109"/>
        <w:gridCol w:w="109"/>
        <w:gridCol w:w="109"/>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93"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4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4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77,917 </w:t>
            </w:r>
          </w:p>
        </w:tc>
        <w:tc>
          <w:tcPr>
            <w:tcW w:w="14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4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35,622</w:t>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27.4 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18,198 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41,761</w:t>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25,340 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23,003</w:t>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11,801 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6,022</w:t>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1,729 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w:t>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3,271 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w:t>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17,578 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Company-operated shop contribution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42"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42"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20,849 </w:t>
            </w:r>
          </w:p>
        </w:tc>
        <w:tc>
          <w:tcPr>
            <w:tcW w:w="142"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26.8 </w:t>
            </w:r>
          </w:p>
        </w:tc>
        <w:tc>
          <w:tcPr>
            <w:tcW w:w="142"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Company-operated Shop Segment Performance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Revenue</w:t>
      </w:r>
    </w:p>
    <w:tbl>
      <w:tblPr>
        <w:tblW w:w="8942" w:type="dxa"/>
        <w:jc w:val="left"/>
        <w:tblInd w:w="0" w:type="dxa"/>
        <w:tblCellMar>
          <w:top w:w="28" w:type="dxa"/>
          <w:left w:w="28" w:type="dxa"/>
          <w:bottom w:w="28" w:type="dxa"/>
          <w:right w:w="28" w:type="dxa"/>
        </w:tblCellMar>
      </w:tblPr>
      <w:tblGrid>
        <w:gridCol w:w="1080"/>
        <w:gridCol w:w="949"/>
        <w:gridCol w:w="955"/>
        <w:gridCol w:w="109"/>
        <w:gridCol w:w="109"/>
        <w:gridCol w:w="109"/>
        <w:gridCol w:w="258"/>
        <w:gridCol w:w="395"/>
        <w:gridCol w:w="401"/>
        <w:gridCol w:w="109"/>
        <w:gridCol w:w="109"/>
        <w:gridCol w:w="109"/>
        <w:gridCol w:w="258"/>
        <w:gridCol w:w="342"/>
        <w:gridCol w:w="349"/>
        <w:gridCol w:w="109"/>
        <w:gridCol w:w="109"/>
        <w:gridCol w:w="109"/>
        <w:gridCol w:w="211"/>
        <w:gridCol w:w="751"/>
        <w:gridCol w:w="109"/>
        <w:gridCol w:w="109"/>
        <w:gridCol w:w="109"/>
        <w:gridCol w:w="109"/>
        <w:gridCol w:w="219"/>
        <w:gridCol w:w="219"/>
        <w:gridCol w:w="221"/>
        <w:gridCol w:w="109"/>
        <w:gridCol w:w="109"/>
        <w:gridCol w:w="109"/>
        <w:gridCol w:w="109"/>
        <w:gridCol w:w="109"/>
        <w:gridCol w:w="109"/>
        <w:gridCol w:w="109"/>
        <w:gridCol w:w="154"/>
      </w:tblGrid>
      <w:tr>
        <w:trPr/>
        <w:tc>
          <w:tcPr>
            <w:tcW w:w="1080"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77,917</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52,270 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67.1%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3220"/>
                <wp:effectExtent l="0" t="0" r="0" b="0"/>
                <wp:wrapNone/>
                <wp:docPr id="116" name="Frame3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1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1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revenue increase was driven by the following:</w:t>
      </w:r>
    </w:p>
    <w:p>
      <w:pPr>
        <w:pStyle w:val="TextBody"/>
        <w:spacing w:lineRule="auto" w:line="288" w:before="0" w:after="120"/>
        <w:ind w:left="0" w:right="0" w:hanging="360"/>
        <w:jc w:val="both"/>
        <w:rPr/>
      </w:pPr>
      <w:r>
        <w:rPr>
          <w:rFonts w:ascii="Arial;sans-serif" w:hAnsi="Arial;sans-serif"/>
          <w:b/>
          <w:color w:val="006098"/>
          <w:sz w:val="20"/>
        </w:rPr>
        <w:t>+</w:t>
      </w:r>
      <w:r>
        <w:rPr>
          <w:color w:val="131E29"/>
        </w:rPr>
        <w:t>    </w:t>
      </w:r>
      <w:r>
        <w:rPr>
          <w:rFonts w:ascii="Arial;sans-serif" w:hAnsi="Arial;sans-serif"/>
          <w:b w:val="false"/>
          <w:color w:val="131E29"/>
          <w:sz w:val="20"/>
        </w:rPr>
        <w:t>$3.5 million from same shop sales growth (5.1% for 2022) in the comparable shop base</w:t>
      </w:r>
      <w:r>
        <w:rPr>
          <w:rFonts w:ascii="Arial;sans-serif" w:hAnsi="Arial;sans-serif"/>
          <w:b w:val="false"/>
          <w:color w:val="131E29"/>
          <w:sz w:val="13"/>
        </w:rPr>
        <w:t>1</w:t>
      </w:r>
      <w:r>
        <w:rPr>
          <w:rFonts w:ascii="Arial;sans-serif" w:hAnsi="Arial;sans-serif"/>
          <w:b w:val="false"/>
          <w:color w:val="131E29"/>
          <w:sz w:val="20"/>
        </w:rPr>
        <w:t>.</w:t>
      </w:r>
    </w:p>
    <w:p>
      <w:pPr>
        <w:pStyle w:val="TextBody"/>
        <w:spacing w:lineRule="auto" w:line="288" w:before="0" w:after="180"/>
        <w:ind w:left="0" w:right="0" w:hanging="360"/>
        <w:jc w:val="both"/>
        <w:rPr/>
      </w:pPr>
      <w:r>
        <w:rPr>
          <w:rFonts w:ascii="Arial;sans-serif" w:hAnsi="Arial;sans-serif"/>
          <w:b/>
          <w:color w:val="006098"/>
          <w:sz w:val="20"/>
        </w:rPr>
        <w:t>+    </w:t>
      </w:r>
      <w:r>
        <w:rPr>
          <w:rFonts w:ascii="Arial;sans-serif" w:hAnsi="Arial;sans-serif"/>
          <w:b w:val="false"/>
          <w:color w:val="131E29"/>
          <w:sz w:val="20"/>
        </w:rPr>
        <w:t xml:space="preserve">$48.8 million from company-operated shops opened during 2022 and 2021. </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rPr/>
      </w:pPr>
      <w:r>
        <w:rPr>
          <w:rFonts w:ascii="Arial;sans-serif" w:hAnsi="Arial;sans-serif"/>
          <w:b w:val="false"/>
          <w:color w:val="131E29"/>
          <w:sz w:val="10"/>
        </w:rPr>
        <w:t>1    </w:t>
      </w:r>
      <w:r>
        <w:rPr>
          <w:rFonts w:ascii="Arial;sans-serif" w:hAnsi="Arial;sans-serif"/>
          <w:b w:val="false"/>
          <w:color w:val="131E29"/>
          <w:sz w:val="16"/>
        </w:rPr>
        <w:t xml:space="preserve">For purposes of calculating company-operated same shop revenue growth, company-operated shop revenue for 173 shops was included in the comparable shop base.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Discounts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a percentage of gross sales, the sales and promotional discounts were 12.2% and 13.4% for the three months ended March 31, 2022 and 2021, respectively. Sales and promotional discounts have settled to our targeted go-forward rate, with our longer term run rate expected to be in the low double digits.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Beverage, Food and Packaging Costs</w:t>
      </w:r>
    </w:p>
    <w:tbl>
      <w:tblPr>
        <w:tblW w:w="9653" w:type="dxa"/>
        <w:jc w:val="left"/>
        <w:tblInd w:w="0" w:type="dxa"/>
        <w:tblCellMar>
          <w:top w:w="28" w:type="dxa"/>
          <w:left w:w="28" w:type="dxa"/>
          <w:bottom w:w="28" w:type="dxa"/>
          <w:right w:w="28" w:type="dxa"/>
        </w:tblCellMar>
      </w:tblPr>
      <w:tblGrid>
        <w:gridCol w:w="1194"/>
        <w:gridCol w:w="1049"/>
        <w:gridCol w:w="1056"/>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40"/>
        <w:gridCol w:w="241"/>
        <w:gridCol w:w="435"/>
        <w:gridCol w:w="109"/>
        <w:gridCol w:w="109"/>
        <w:gridCol w:w="109"/>
        <w:gridCol w:w="109"/>
        <w:gridCol w:w="109"/>
        <w:gridCol w:w="109"/>
        <w:gridCol w:w="109"/>
        <w:gridCol w:w="154"/>
      </w:tblGrid>
      <w:tr>
        <w:trPr/>
        <w:tc>
          <w:tcPr>
            <w:tcW w:w="1194"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9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35,622 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18,198 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17,424 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95.7%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400 </w:t>
            </w:r>
          </w:p>
        </w:tc>
        <w:tc>
          <w:tcPr>
            <w:tcW w:w="4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beverage, food and packaging costs impacts for the year-over-year comparison, in dollars and basis points, were driven by the following:</w:t>
      </w:r>
    </w:p>
    <w:tbl>
      <w:tblPr>
        <w:tblW w:w="5873" w:type="dxa"/>
        <w:jc w:val="left"/>
        <w:tblInd w:w="0" w:type="dxa"/>
        <w:tblCellMar>
          <w:top w:w="28" w:type="dxa"/>
          <w:left w:w="28" w:type="dxa"/>
          <w:bottom w:w="28" w:type="dxa"/>
          <w:right w:w="28" w:type="dxa"/>
        </w:tblCellMar>
      </w:tblPr>
      <w:tblGrid>
        <w:gridCol w:w="1249"/>
        <w:gridCol w:w="1097"/>
        <w:gridCol w:w="1104"/>
        <w:gridCol w:w="109"/>
        <w:gridCol w:w="109"/>
        <w:gridCol w:w="109"/>
        <w:gridCol w:w="211"/>
        <w:gridCol w:w="736"/>
        <w:gridCol w:w="109"/>
        <w:gridCol w:w="109"/>
        <w:gridCol w:w="109"/>
        <w:gridCol w:w="109"/>
        <w:gridCol w:w="240"/>
        <w:gridCol w:w="241"/>
        <w:gridCol w:w="232"/>
      </w:tblGrid>
      <w:tr>
        <w:trPr/>
        <w:tc>
          <w:tcPr>
            <w:tcW w:w="1249"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345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12,207 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Higher ingredient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480 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(1,624)</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Higher new shop operating inefficiencies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Promotional discounts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vAlign w:val="center"/>
          </w:tcPr>
          <w:p>
            <w:pPr>
              <w:pStyle w:val="TableContents"/>
              <w:spacing w:before="0" w:after="283"/>
              <w:rPr>
                <w:sz w:val="4"/>
                <w:szCs w:val="4"/>
              </w:rPr>
            </w:pPr>
            <w:r>
              <w:rPr>
                <w:sz w:val="4"/>
                <w:szCs w:val="4"/>
              </w:rPr>
            </w:r>
          </w:p>
        </w:tc>
      </w:tr>
      <w:tr>
        <w:trPr/>
        <w:tc>
          <w:tcPr>
            <w:tcW w:w="3450"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17,424</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400</w:t>
            </w:r>
            <w:r>
              <w:rPr>
                <w:color w:val="131E29"/>
              </w:rPr>
              <w:t> </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Labor Costs</w:t>
      </w:r>
    </w:p>
    <w:tbl>
      <w:tblPr>
        <w:tblW w:w="8874" w:type="dxa"/>
        <w:jc w:val="left"/>
        <w:tblInd w:w="0" w:type="dxa"/>
        <w:tblCellMar>
          <w:top w:w="28" w:type="dxa"/>
          <w:left w:w="28" w:type="dxa"/>
          <w:bottom w:w="28" w:type="dxa"/>
          <w:right w:w="28" w:type="dxa"/>
        </w:tblCellMar>
      </w:tblPr>
      <w:tblGrid>
        <w:gridCol w:w="912"/>
        <w:gridCol w:w="801"/>
        <w:gridCol w:w="806"/>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8"/>
        <w:gridCol w:w="218"/>
        <w:gridCol w:w="481"/>
        <w:gridCol w:w="109"/>
        <w:gridCol w:w="109"/>
        <w:gridCol w:w="109"/>
        <w:gridCol w:w="109"/>
        <w:gridCol w:w="109"/>
        <w:gridCol w:w="109"/>
        <w:gridCol w:w="109"/>
        <w:gridCol w:w="154"/>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1"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1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41,761 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25,340 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16,421 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64.8%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w:t>
            </w:r>
          </w:p>
        </w:tc>
        <w:tc>
          <w:tcPr>
            <w:tcW w:w="481"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3220"/>
                <wp:effectExtent l="0" t="0" r="0" b="0"/>
                <wp:wrapNone/>
                <wp:docPr id="119" name="Frame4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2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labor costs impacts for the year-over-year comparison, in dollars and basis points, were driven by the following:</w:t>
      </w:r>
    </w:p>
    <w:tbl>
      <w:tblPr>
        <w:tblW w:w="8797" w:type="dxa"/>
        <w:jc w:val="left"/>
        <w:tblInd w:w="0" w:type="dxa"/>
        <w:tblCellMar>
          <w:top w:w="28" w:type="dxa"/>
          <w:left w:w="28" w:type="dxa"/>
          <w:bottom w:w="28" w:type="dxa"/>
          <w:right w:w="28" w:type="dxa"/>
        </w:tblCellMar>
      </w:tblPr>
      <w:tblGrid>
        <w:gridCol w:w="2286"/>
        <w:gridCol w:w="2008"/>
        <w:gridCol w:w="2021"/>
        <w:gridCol w:w="109"/>
        <w:gridCol w:w="109"/>
        <w:gridCol w:w="109"/>
        <w:gridCol w:w="211"/>
        <w:gridCol w:w="736"/>
        <w:gridCol w:w="109"/>
        <w:gridCol w:w="109"/>
        <w:gridCol w:w="109"/>
        <w:gridCol w:w="109"/>
        <w:gridCol w:w="269"/>
        <w:gridCol w:w="271"/>
        <w:gridCol w:w="232"/>
      </w:tblGrid>
      <w:tr>
        <w:trPr/>
        <w:tc>
          <w:tcPr>
            <w:tcW w:w="2286"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631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14,027 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Legislated minimum wage increases and higher minimum staffing standards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831 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Lower COVID-19 leave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Promotional discounts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6315"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16,421</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color w:val="131E29"/>
                <w:sz w:val="18"/>
              </w:rPr>
            </w:pPr>
            <w:r>
              <w:rPr>
                <w:rFonts w:ascii="Arial;sans-serif" w:hAnsi="Arial;sans-serif"/>
                <w:b/>
                <w:color w:val="131E29"/>
                <w:sz w:val="18"/>
              </w:rPr>
              <w:t>(40)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Occupancy and Other Costs</w:t>
      </w:r>
    </w:p>
    <w:tbl>
      <w:tblPr>
        <w:tblW w:w="8873" w:type="dxa"/>
        <w:jc w:val="left"/>
        <w:tblInd w:w="0" w:type="dxa"/>
        <w:tblCellMar>
          <w:top w:w="28" w:type="dxa"/>
          <w:left w:w="28" w:type="dxa"/>
          <w:bottom w:w="28" w:type="dxa"/>
          <w:right w:w="28" w:type="dxa"/>
        </w:tblCellMar>
      </w:tblPr>
      <w:tblGrid>
        <w:gridCol w:w="912"/>
        <w:gridCol w:w="801"/>
        <w:gridCol w:w="806"/>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40"/>
        <w:gridCol w:w="241"/>
        <w:gridCol w:w="435"/>
        <w:gridCol w:w="109"/>
        <w:gridCol w:w="109"/>
        <w:gridCol w:w="109"/>
        <w:gridCol w:w="109"/>
        <w:gridCol w:w="109"/>
        <w:gridCol w:w="109"/>
        <w:gridCol w:w="109"/>
        <w:gridCol w:w="154"/>
      </w:tblGrid>
      <w:tr>
        <w:trPr/>
        <w:tc>
          <w:tcPr>
            <w:tcW w:w="9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21"/>
            <w:tcBorders>
              <w:bottom w:val="single" w:sz="8" w:space="0" w:color="131E29"/>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9"/>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1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11,801 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11,202 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94.9%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260 </w:t>
            </w:r>
          </w:p>
        </w:tc>
        <w:tc>
          <w:tcPr>
            <w:tcW w:w="4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occupancy and other costs impacts for the year-over-year comparison, in dollars and basis points, were driven by the following:</w:t>
      </w:r>
    </w:p>
    <w:tbl>
      <w:tblPr>
        <w:tblW w:w="9128" w:type="dxa"/>
        <w:jc w:val="left"/>
        <w:tblInd w:w="0" w:type="dxa"/>
        <w:tblCellMar>
          <w:top w:w="28" w:type="dxa"/>
          <w:left w:w="28" w:type="dxa"/>
          <w:bottom w:w="28" w:type="dxa"/>
          <w:right w:w="28" w:type="dxa"/>
        </w:tblCellMar>
      </w:tblPr>
      <w:tblGrid>
        <w:gridCol w:w="2427"/>
        <w:gridCol w:w="2132"/>
        <w:gridCol w:w="2146"/>
        <w:gridCol w:w="109"/>
        <w:gridCol w:w="109"/>
        <w:gridCol w:w="109"/>
        <w:gridCol w:w="211"/>
        <w:gridCol w:w="736"/>
        <w:gridCol w:w="109"/>
        <w:gridCol w:w="109"/>
        <w:gridCol w:w="109"/>
        <w:gridCol w:w="109"/>
        <w:gridCol w:w="240"/>
        <w:gridCol w:w="241"/>
        <w:gridCol w:w="232"/>
      </w:tblGrid>
      <w:tr>
        <w:trPr/>
        <w:tc>
          <w:tcPr>
            <w:tcW w:w="2427"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6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670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6,532 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670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 occupancy cost escalation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5"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Higher preventative maintenance programs and higher store operating expenses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1,868 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150 </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Rent/CAMS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5"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Higher new shop operating inefficiencies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666 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50 </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6705"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Cash tender reinstitution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(936)</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5"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Promotional discounts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3" w:type="dxa"/>
            <w:gridSpan w:val="3"/>
            <w:tcBorders/>
            <w:shd w:fill="auto" w:val="clear"/>
            <w:vAlign w:val="center"/>
          </w:tcPr>
          <w:p>
            <w:pPr>
              <w:pStyle w:val="TableContents"/>
              <w:spacing w:before="0" w:after="283"/>
              <w:rPr>
                <w:sz w:val="4"/>
                <w:szCs w:val="4"/>
              </w:rPr>
            </w:pPr>
            <w:r>
              <w:rPr>
                <w:sz w:val="4"/>
                <w:szCs w:val="4"/>
              </w:rPr>
            </w:r>
          </w:p>
        </w:tc>
      </w:tr>
      <w:tr>
        <w:trPr/>
        <w:tc>
          <w:tcPr>
            <w:tcW w:w="6705"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11,202</w:t>
            </w:r>
            <w:r>
              <w:rPr>
                <w:color w:val="131E29"/>
              </w:rPr>
              <w:t> </w:t>
            </w:r>
          </w:p>
        </w:tc>
        <w:tc>
          <w:tcPr>
            <w:tcW w:w="109"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260</w:t>
            </w:r>
            <w:r>
              <w:rPr>
                <w:color w:val="131E29"/>
              </w:rPr>
              <w:t> </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Pre-opening Costs</w:t>
      </w:r>
    </w:p>
    <w:tbl>
      <w:tblPr>
        <w:tblW w:w="9502" w:type="dxa"/>
        <w:jc w:val="left"/>
        <w:tblInd w:w="0" w:type="dxa"/>
        <w:tblCellMar>
          <w:top w:w="28" w:type="dxa"/>
          <w:left w:w="28" w:type="dxa"/>
          <w:bottom w:w="28" w:type="dxa"/>
          <w:right w:w="28" w:type="dxa"/>
        </w:tblCellMar>
      </w:tblPr>
      <w:tblGrid>
        <w:gridCol w:w="1243"/>
        <w:gridCol w:w="1092"/>
        <w:gridCol w:w="1099"/>
        <w:gridCol w:w="109"/>
        <w:gridCol w:w="109"/>
        <w:gridCol w:w="109"/>
        <w:gridCol w:w="258"/>
        <w:gridCol w:w="290"/>
        <w:gridCol w:w="296"/>
        <w:gridCol w:w="109"/>
        <w:gridCol w:w="109"/>
        <w:gridCol w:w="109"/>
        <w:gridCol w:w="211"/>
        <w:gridCol w:w="646"/>
        <w:gridCol w:w="109"/>
        <w:gridCol w:w="109"/>
        <w:gridCol w:w="109"/>
        <w:gridCol w:w="109"/>
        <w:gridCol w:w="211"/>
        <w:gridCol w:w="646"/>
        <w:gridCol w:w="109"/>
        <w:gridCol w:w="109"/>
        <w:gridCol w:w="109"/>
        <w:gridCol w:w="109"/>
        <w:gridCol w:w="323"/>
        <w:gridCol w:w="323"/>
        <w:gridCol w:w="421"/>
        <w:gridCol w:w="109"/>
        <w:gridCol w:w="109"/>
        <w:gridCol w:w="109"/>
        <w:gridCol w:w="109"/>
        <w:gridCol w:w="109"/>
        <w:gridCol w:w="109"/>
        <w:gridCol w:w="109"/>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3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8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1,729 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4,293 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248.3 </w:t>
            </w:r>
          </w:p>
        </w:tc>
        <w:tc>
          <w:tcPr>
            <w:tcW w:w="42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240 </w:t>
            </w:r>
          </w:p>
        </w:tc>
        <w:tc>
          <w:tcPr>
            <w:tcW w:w="4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company-operated shops opened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25</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277.8 </w:t>
            </w:r>
          </w:p>
        </w:tc>
        <w:tc>
          <w:tcPr>
            <w:tcW w:w="42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pre-opening costs were primarily driven by opening 25 more company-operated shops in the three months ended March 31, 2022 as compared to the same period in 2021, while also realizing cost and operational efficiencies.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3220"/>
                <wp:effectExtent l="0" t="0" r="0" b="0"/>
                <wp:wrapNone/>
                <wp:docPr id="122" name="Frame4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4"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2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4"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Depreciation and Amortization</w:t>
      </w:r>
    </w:p>
    <w:tbl>
      <w:tblPr>
        <w:tblW w:w="8703" w:type="dxa"/>
        <w:jc w:val="left"/>
        <w:tblInd w:w="0" w:type="dxa"/>
        <w:tblCellMar>
          <w:top w:w="28" w:type="dxa"/>
          <w:left w:w="28" w:type="dxa"/>
          <w:bottom w:w="28" w:type="dxa"/>
          <w:right w:w="28" w:type="dxa"/>
        </w:tblCellMar>
      </w:tblPr>
      <w:tblGrid>
        <w:gridCol w:w="977"/>
        <w:gridCol w:w="859"/>
        <w:gridCol w:w="864"/>
        <w:gridCol w:w="109"/>
        <w:gridCol w:w="109"/>
        <w:gridCol w:w="109"/>
        <w:gridCol w:w="247"/>
        <w:gridCol w:w="189"/>
        <w:gridCol w:w="425"/>
        <w:gridCol w:w="109"/>
        <w:gridCol w:w="109"/>
        <w:gridCol w:w="109"/>
        <w:gridCol w:w="211"/>
        <w:gridCol w:w="646"/>
        <w:gridCol w:w="109"/>
        <w:gridCol w:w="109"/>
        <w:gridCol w:w="109"/>
        <w:gridCol w:w="109"/>
        <w:gridCol w:w="211"/>
        <w:gridCol w:w="646"/>
        <w:gridCol w:w="109"/>
        <w:gridCol w:w="109"/>
        <w:gridCol w:w="109"/>
        <w:gridCol w:w="109"/>
        <w:gridCol w:w="240"/>
        <w:gridCol w:w="241"/>
        <w:gridCol w:w="504"/>
        <w:gridCol w:w="109"/>
        <w:gridCol w:w="109"/>
        <w:gridCol w:w="109"/>
        <w:gridCol w:w="109"/>
        <w:gridCol w:w="109"/>
        <w:gridCol w:w="109"/>
        <w:gridCol w:w="109"/>
        <w:gridCol w:w="154"/>
      </w:tblGrid>
      <w:tr>
        <w:trPr/>
        <w:tc>
          <w:tcPr>
            <w:tcW w:w="97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9"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0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14"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3,271 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118.3%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42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130 </w:t>
            </w:r>
          </w:p>
        </w:tc>
        <w:tc>
          <w:tcPr>
            <w:tcW w:w="50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depreciation and amortization was primarily driven by the opening of new company-operated shops during both 2022 and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pPr>
      <w:r>
        <w:rPr>
          <w:rFonts w:ascii="Arial;sans-serif" w:hAnsi="Arial;sans-serif"/>
          <w:b/>
          <w:i/>
          <w:color w:val="006098"/>
          <w:sz w:val="20"/>
        </w:rPr>
        <w:t>Company-operated Shop Gross Profit and Contribution</w:t>
      </w:r>
      <w:r>
        <w:rPr>
          <w:rFonts w:ascii="Arial;sans-serif" w:hAnsi="Arial;sans-serif"/>
          <w:b/>
          <w:i/>
          <w:color w:val="006098"/>
          <w:sz w:val="13"/>
        </w:rPr>
        <w:t>1</w:t>
      </w:r>
    </w:p>
    <w:tbl>
      <w:tblPr>
        <w:tblW w:w="9753" w:type="dxa"/>
        <w:jc w:val="left"/>
        <w:tblInd w:w="0" w:type="dxa"/>
        <w:tblCellMar>
          <w:top w:w="28" w:type="dxa"/>
          <w:left w:w="28" w:type="dxa"/>
          <w:bottom w:w="28" w:type="dxa"/>
          <w:right w:w="28" w:type="dxa"/>
        </w:tblCellMar>
      </w:tblPr>
      <w:tblGrid>
        <w:gridCol w:w="1243"/>
        <w:gridCol w:w="1092"/>
        <w:gridCol w:w="1100"/>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69"/>
        <w:gridCol w:w="271"/>
        <w:gridCol w:w="445"/>
        <w:gridCol w:w="109"/>
        <w:gridCol w:w="109"/>
        <w:gridCol w:w="109"/>
        <w:gridCol w:w="109"/>
        <w:gridCol w:w="109"/>
        <w:gridCol w:w="109"/>
        <w:gridCol w:w="109"/>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4"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3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gross profit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17,578 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(980)</w:t>
            </w:r>
          </w:p>
        </w:tc>
        <w:tc>
          <w:tcPr>
            <w:tcW w:w="4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Company-operated shop contribution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20,849 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2,930 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(850)</w:t>
            </w:r>
          </w:p>
        </w:tc>
        <w:tc>
          <w:tcPr>
            <w:tcW w:w="4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gross profit and contribution impacts for the year-over-year comparison, in basis points, were driven by the following:</w:t>
      </w:r>
    </w:p>
    <w:tbl>
      <w:tblPr>
        <w:tblW w:w="8367" w:type="dxa"/>
        <w:jc w:val="left"/>
        <w:tblInd w:w="0" w:type="dxa"/>
        <w:tblCellMar>
          <w:top w:w="28" w:type="dxa"/>
          <w:left w:w="28" w:type="dxa"/>
          <w:bottom w:w="28" w:type="dxa"/>
          <w:right w:w="28" w:type="dxa"/>
        </w:tblCellMar>
      </w:tblPr>
      <w:tblGrid>
        <w:gridCol w:w="2553"/>
        <w:gridCol w:w="2237"/>
        <w:gridCol w:w="2260"/>
        <w:gridCol w:w="109"/>
        <w:gridCol w:w="109"/>
        <w:gridCol w:w="109"/>
        <w:gridCol w:w="109"/>
        <w:gridCol w:w="109"/>
        <w:gridCol w:w="269"/>
        <w:gridCol w:w="271"/>
        <w:gridCol w:w="232"/>
      </w:tblGrid>
      <w:tr>
        <w:trPr/>
        <w:tc>
          <w:tcPr>
            <w:tcW w:w="2553" w:type="dxa"/>
            <w:tcBorders/>
            <w:shd w:fill="auto" w:val="clear"/>
            <w:vAlign w:val="center"/>
          </w:tcPr>
          <w:p>
            <w:pPr>
              <w:pStyle w:val="TableContents"/>
              <w:spacing w:before="0" w:after="283"/>
              <w:rPr>
                <w:sz w:val="4"/>
                <w:szCs w:val="4"/>
              </w:rPr>
            </w:pPr>
            <w:r>
              <w:rPr>
                <w:sz w:val="4"/>
                <w:szCs w:val="4"/>
              </w:rPr>
            </w:r>
          </w:p>
        </w:tc>
        <w:tc>
          <w:tcPr>
            <w:tcW w:w="2237"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70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705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Higher ingredient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Legislated minimum wage increases and higher minimum staffing standards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increases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(720)</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Menu price increases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Lower promotional discounts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150 </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Pricing and discounts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Higher preventative maintenance programs and higher store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Higher pre-opening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Higher new shop operating inefficiencies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shop related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(340)</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Lower COVID-19 leave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color w:val="131E29"/>
                <w:sz w:val="20"/>
              </w:rPr>
            </w:pPr>
            <w:r>
              <w:rPr>
                <w:rFonts w:ascii="Arial;sans-serif" w:hAnsi="Arial;sans-serif"/>
                <w:b/>
                <w:color w:val="131E29"/>
                <w:sz w:val="20"/>
              </w:rPr>
              <w:t>(980)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130 </w:t>
            </w:r>
          </w:p>
        </w:tc>
        <w:tc>
          <w:tcPr>
            <w:tcW w:w="232" w:type="dxa"/>
            <w:tcBorders>
              <w:top w:val="single" w:sz="8" w:space="0" w:color="131E2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50"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color w:val="131E29"/>
                <w:sz w:val="20"/>
              </w:rPr>
            </w:pPr>
            <w:r>
              <w:rPr>
                <w:rFonts w:ascii="Arial;sans-serif" w:hAnsi="Arial;sans-serif"/>
                <w:b/>
                <w:color w:val="131E29"/>
                <w:sz w:val="20"/>
              </w:rPr>
              <w:t>(850)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 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3220"/>
                <wp:effectExtent l="0" t="0" r="0" b="0"/>
                <wp:wrapNone/>
                <wp:docPr id="125" name="Frame4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5"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2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5"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Franchising and Other Segment Performance</w:t>
      </w:r>
    </w:p>
    <w:tbl>
      <w:tblPr>
        <w:tblW w:w="9383" w:type="dxa"/>
        <w:jc w:val="left"/>
        <w:tblInd w:w="0" w:type="dxa"/>
        <w:tblCellMar>
          <w:top w:w="28" w:type="dxa"/>
          <w:left w:w="28" w:type="dxa"/>
          <w:bottom w:w="28" w:type="dxa"/>
          <w:right w:w="28" w:type="dxa"/>
        </w:tblCellMar>
      </w:tblPr>
      <w:tblGrid>
        <w:gridCol w:w="1096"/>
        <w:gridCol w:w="964"/>
        <w:gridCol w:w="969"/>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69"/>
        <w:gridCol w:w="271"/>
        <w:gridCol w:w="481"/>
        <w:gridCol w:w="109"/>
        <w:gridCol w:w="109"/>
        <w:gridCol w:w="109"/>
        <w:gridCol w:w="109"/>
        <w:gridCol w:w="109"/>
        <w:gridCol w:w="109"/>
        <w:gridCol w:w="109"/>
        <w:gridCol w:w="154"/>
      </w:tblGrid>
      <w:tr>
        <w:trPr/>
        <w:tc>
          <w:tcPr>
            <w:tcW w:w="109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2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20,868 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 gross profit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65.3%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70.4%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w:t>
            </w:r>
          </w:p>
        </w:tc>
        <w:tc>
          <w:tcPr>
            <w:tcW w:w="481" w:type="dxa"/>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impacts for the year-over-year comparison, in dollars and basis points, were driven by the following:</w:t>
      </w:r>
    </w:p>
    <w:tbl>
      <w:tblPr>
        <w:tblW w:w="4567" w:type="dxa"/>
        <w:jc w:val="left"/>
        <w:tblInd w:w="0" w:type="dxa"/>
        <w:tblCellMar>
          <w:top w:w="28" w:type="dxa"/>
          <w:left w:w="28" w:type="dxa"/>
          <w:bottom w:w="28" w:type="dxa"/>
          <w:right w:w="28" w:type="dxa"/>
        </w:tblCellMar>
      </w:tblPr>
      <w:tblGrid>
        <w:gridCol w:w="765"/>
        <w:gridCol w:w="673"/>
        <w:gridCol w:w="677"/>
        <w:gridCol w:w="109"/>
        <w:gridCol w:w="109"/>
        <w:gridCol w:w="109"/>
        <w:gridCol w:w="211"/>
        <w:gridCol w:w="706"/>
        <w:gridCol w:w="109"/>
        <w:gridCol w:w="109"/>
        <w:gridCol w:w="109"/>
        <w:gridCol w:w="109"/>
        <w:gridCol w:w="269"/>
        <w:gridCol w:w="271"/>
        <w:gridCol w:w="232"/>
      </w:tblGrid>
      <w:tr>
        <w:trPr/>
        <w:tc>
          <w:tcPr>
            <w:tcW w:w="76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11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Inventory management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(1,088)</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Same shop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r>
      <w:tr>
        <w:trPr/>
        <w:tc>
          <w:tcPr>
            <w:tcW w:w="211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Store weeks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r>
      <w:tr>
        <w:trPr/>
        <w:tc>
          <w:tcPr>
            <w:tcW w:w="2115"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change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06"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color w:val="131E29"/>
                <w:sz w:val="20"/>
              </w:rPr>
            </w:pPr>
            <w:r>
              <w:rPr>
                <w:rFonts w:ascii="Arial;sans-serif" w:hAnsi="Arial;sans-serif"/>
                <w:b/>
                <w:color w:val="131E29"/>
                <w:sz w:val="20"/>
              </w:rPr>
              <w:t>(349)</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color w:val="131E29"/>
                <w:sz w:val="20"/>
              </w:rPr>
            </w:pPr>
            <w:r>
              <w:rPr>
                <w:rFonts w:ascii="Arial;sans-serif" w:hAnsi="Arial;sans-serif"/>
                <w:b/>
                <w:color w:val="131E29"/>
                <w:sz w:val="20"/>
              </w:rPr>
              <w:t>(510)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Selling, General, and Administrative</w:t>
      </w:r>
    </w:p>
    <w:tbl>
      <w:tblPr>
        <w:tblW w:w="9487" w:type="dxa"/>
        <w:jc w:val="left"/>
        <w:tblInd w:w="0" w:type="dxa"/>
        <w:tblCellMar>
          <w:top w:w="28" w:type="dxa"/>
          <w:left w:w="28" w:type="dxa"/>
          <w:bottom w:w="28" w:type="dxa"/>
          <w:right w:w="28" w:type="dxa"/>
        </w:tblCellMar>
      </w:tblPr>
      <w:tblGrid>
        <w:gridCol w:w="1150"/>
        <w:gridCol w:w="1011"/>
        <w:gridCol w:w="1018"/>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69"/>
        <w:gridCol w:w="271"/>
        <w:gridCol w:w="435"/>
        <w:gridCol w:w="109"/>
        <w:gridCol w:w="109"/>
        <w:gridCol w:w="109"/>
        <w:gridCol w:w="109"/>
        <w:gridCol w:w="109"/>
        <w:gridCol w:w="109"/>
        <w:gridCol w:w="109"/>
        <w:gridCol w:w="154"/>
      </w:tblGrid>
      <w:tr>
        <w:trPr/>
        <w:tc>
          <w:tcPr>
            <w:tcW w:w="1150"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4" w:type="dxa"/>
            <w:gridSpan w:val="21"/>
            <w:tcBorders>
              <w:bottom w:val="single" w:sz="8" w:space="0" w:color="131E29"/>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9"/>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35,986 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9,228 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25.6%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20"/>
              </w:rPr>
            </w:pPr>
            <w:r>
              <w:rPr>
                <w:rFonts w:ascii="Arial;sans-serif" w:hAnsi="Arial;sans-serif"/>
                <w:b w:val="false"/>
                <w:i/>
                <w:color w:val="131E29"/>
                <w:sz w:val="20"/>
              </w:rPr>
              <w:t>As a 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(670)</w:t>
            </w:r>
          </w:p>
        </w:tc>
        <w:tc>
          <w:tcPr>
            <w:tcW w:w="4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impacts for the year-over-year comparison, in dollars and basis points, were driven by the following:</w:t>
      </w:r>
    </w:p>
    <w:p>
      <w:pPr>
        <w:pStyle w:val="TextBody"/>
        <w:spacing w:lineRule="auto" w:line="288" w:before="0" w:after="12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$8.5 million from investments in human capital, processes, and systems to support our revenue growth. </w:t>
      </w:r>
    </w:p>
    <w:p>
      <w:pPr>
        <w:pStyle w:val="TextBody"/>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 xml:space="preserve">$2.4 million or 160 bps from company-wide event costs celebrating 30 years serving high QUALITY, hand-crafted beverages with unparalleled SPEED and superior SERVICE to our customers. </w:t>
      </w:r>
    </w:p>
    <w:p>
      <w:pPr>
        <w:pStyle w:val="TextBody"/>
        <w:spacing w:lineRule="auto" w:line="288" w:before="0" w:after="180"/>
        <w:ind w:left="0" w:right="0" w:hanging="360"/>
        <w:rPr/>
      </w:pPr>
      <w:r>
        <w:rPr>
          <w:rFonts w:ascii="Arial;sans-serif" w:hAnsi="Arial;sans-serif"/>
          <w:b/>
          <w:color w:val="006098"/>
          <w:sz w:val="24"/>
        </w:rPr>
        <w:t>+    </w:t>
      </w:r>
      <w:r>
        <w:rPr>
          <w:rFonts w:ascii="Arial;sans-serif" w:hAnsi="Arial;sans-serif"/>
          <w:b w:val="false"/>
          <w:color w:val="131E29"/>
          <w:sz w:val="20"/>
        </w:rPr>
        <w:t xml:space="preserve">$1.8 million or 120 bps from higher costs incurred as a result of being a public company. </w:t>
      </w:r>
    </w:p>
    <w:p>
      <w:pPr>
        <w:pStyle w:val="TextBody"/>
        <w:spacing w:lineRule="auto" w:line="288" w:before="0" w:after="180"/>
        <w:ind w:left="0" w:right="0" w:hanging="360"/>
        <w:jc w:val="both"/>
        <w:rPr/>
      </w:pPr>
      <w:r>
        <w:rPr>
          <w:rFonts w:ascii="Arial;sans-serif" w:hAnsi="Arial;sans-serif"/>
          <w:b/>
          <w:color w:val="006098"/>
          <w:sz w:val="24"/>
        </w:rPr>
        <w:t>+</w:t>
      </w:r>
      <w:r>
        <w:rPr>
          <w:color w:val="131E29"/>
        </w:rPr>
        <w:t>    </w:t>
      </w:r>
      <w:r>
        <w:rPr>
          <w:rFonts w:ascii="Arial;sans-serif" w:hAnsi="Arial;sans-serif"/>
          <w:b w:val="false"/>
          <w:color w:val="131E29"/>
          <w:sz w:val="20"/>
        </w:rPr>
        <w:t>$1.2 million or 80 bps from write-off of prepaid expense for our virtual corporate engagement platform built in response to COVID-19 pandemic as a substitute for in person engagement practices pre- pandemic. The platform was determined ineffective, particularly as we shift back to in person engagement and easing of restrictions related to the COVID-19 pandemic.</w:t>
      </w:r>
    </w:p>
    <w:p>
      <w:pPr>
        <w:pStyle w:val="TextBody"/>
        <w:spacing w:lineRule="auto" w:line="288" w:before="0" w:after="180"/>
        <w:ind w:left="0" w:right="0" w:hanging="360"/>
        <w:rPr/>
      </w:pPr>
      <w:r>
        <w:rPr>
          <w:rFonts w:ascii="Arial;sans-serif" w:hAnsi="Arial;sans-serif"/>
          <w:b/>
          <w:color w:val="D7282F"/>
          <w:sz w:val="24"/>
        </w:rPr>
        <w:t>-    </w:t>
      </w:r>
      <w:r>
        <w:rPr>
          <w:rFonts w:ascii="Arial;sans-serif" w:hAnsi="Arial;sans-serif"/>
          <w:b w:val="false"/>
          <w:color w:val="131E29"/>
          <w:sz w:val="20"/>
        </w:rPr>
        <w:t>$4.7 million or 310 bps from lower equity-based compensation charges.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summation of the impact of the specific items above would have increased selling, general and administrative expenses by 50 bps to be 36.9% of revenue. However, leverage from revenue growth reduces that percentage by 720 bps to be 29.7% of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3220"/>
                <wp:effectExtent l="0" t="0" r="0" b="0"/>
                <wp:wrapNone/>
                <wp:docPr id="128" name="Frame4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6"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6"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Other Expense</w:t>
      </w:r>
    </w:p>
    <w:tbl>
      <w:tblPr>
        <w:tblW w:w="9231" w:type="dxa"/>
        <w:jc w:val="left"/>
        <w:tblInd w:w="0" w:type="dxa"/>
        <w:tblCellMar>
          <w:top w:w="28" w:type="dxa"/>
          <w:left w:w="28" w:type="dxa"/>
          <w:bottom w:w="28" w:type="dxa"/>
          <w:right w:w="28" w:type="dxa"/>
        </w:tblCellMar>
      </w:tblPr>
      <w:tblGrid>
        <w:gridCol w:w="1145"/>
        <w:gridCol w:w="1006"/>
        <w:gridCol w:w="1013"/>
        <w:gridCol w:w="109"/>
        <w:gridCol w:w="109"/>
        <w:gridCol w:w="109"/>
        <w:gridCol w:w="211"/>
        <w:gridCol w:w="706"/>
        <w:gridCol w:w="109"/>
        <w:gridCol w:w="109"/>
        <w:gridCol w:w="109"/>
        <w:gridCol w:w="109"/>
        <w:gridCol w:w="211"/>
        <w:gridCol w:w="706"/>
        <w:gridCol w:w="109"/>
        <w:gridCol w:w="109"/>
        <w:gridCol w:w="109"/>
        <w:gridCol w:w="109"/>
        <w:gridCol w:w="211"/>
        <w:gridCol w:w="706"/>
        <w:gridCol w:w="109"/>
        <w:gridCol w:w="109"/>
        <w:gridCol w:w="109"/>
        <w:gridCol w:w="109"/>
        <w:gridCol w:w="254"/>
        <w:gridCol w:w="254"/>
        <w:gridCol w:w="256"/>
        <w:gridCol w:w="109"/>
        <w:gridCol w:w="109"/>
        <w:gridCol w:w="109"/>
        <w:gridCol w:w="109"/>
        <w:gridCol w:w="109"/>
        <w:gridCol w:w="109"/>
        <w:gridCol w:w="109"/>
        <w:gridCol w:w="154"/>
      </w:tblGrid>
      <w:tr>
        <w:trPr/>
        <w:tc>
          <w:tcPr>
            <w:tcW w:w="1145"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3" w:type="dxa"/>
            <w:gridSpan w:val="21"/>
            <w:tcBorders>
              <w:bottom w:val="single" w:sz="8" w:space="0" w:color="131E29"/>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7" w:type="dxa"/>
            <w:gridSpan w:val="9"/>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on finance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(1,719)</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(824)</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(895)</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108.6%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299.0%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(1,017)</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(1,472)</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144.7%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(2,268)</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(1,070)</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(1,198)</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112.0%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2022 v 2021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interest expense, net increase was primarily driven by additional finance leases for new shop builds, and increased borrowings associated with our credit facility.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other income (expense) increase was primarily driven by sales of previously written off Dutchwear inventory.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Income Tax Expense (Benefit)</w:t>
      </w:r>
    </w:p>
    <w:tbl>
      <w:tblPr>
        <w:tblW w:w="8447" w:type="dxa"/>
        <w:jc w:val="left"/>
        <w:tblInd w:w="0" w:type="dxa"/>
        <w:tblCellMar>
          <w:top w:w="28" w:type="dxa"/>
          <w:left w:w="28" w:type="dxa"/>
          <w:bottom w:w="28" w:type="dxa"/>
          <w:right w:w="28" w:type="dxa"/>
        </w:tblCellMar>
      </w:tblPr>
      <w:tblGrid>
        <w:gridCol w:w="961"/>
        <w:gridCol w:w="844"/>
        <w:gridCol w:w="850"/>
        <w:gridCol w:w="109"/>
        <w:gridCol w:w="109"/>
        <w:gridCol w:w="109"/>
        <w:gridCol w:w="211"/>
        <w:gridCol w:w="541"/>
        <w:gridCol w:w="286"/>
        <w:gridCol w:w="109"/>
        <w:gridCol w:w="109"/>
        <w:gridCol w:w="109"/>
        <w:gridCol w:w="211"/>
        <w:gridCol w:w="376"/>
        <w:gridCol w:w="286"/>
        <w:gridCol w:w="109"/>
        <w:gridCol w:w="109"/>
        <w:gridCol w:w="109"/>
        <w:gridCol w:w="211"/>
        <w:gridCol w:w="541"/>
        <w:gridCol w:w="109"/>
        <w:gridCol w:w="109"/>
        <w:gridCol w:w="109"/>
        <w:gridCol w:w="109"/>
        <w:gridCol w:w="265"/>
        <w:gridCol w:w="265"/>
        <w:gridCol w:w="265"/>
        <w:gridCol w:w="109"/>
        <w:gridCol w:w="109"/>
        <w:gridCol w:w="109"/>
        <w:gridCol w:w="109"/>
        <w:gridCol w:w="109"/>
        <w:gridCol w:w="109"/>
        <w:gridCol w:w="109"/>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4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37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43 </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4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(257)</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220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i/>
          <w:color w:val="006098"/>
          <w:sz w:val="20"/>
        </w:rPr>
      </w:pPr>
      <w:r>
        <w:rPr>
          <w:rFonts w:ascii="Arial;sans-serif" w:hAnsi="Arial;sans-serif"/>
          <w:b w:val="false"/>
          <w:i/>
          <w:color w:val="006098"/>
          <w:sz w:val="20"/>
        </w:rPr>
        <w:t>Three Months Ended March 31, 2022 v 2021</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 xml:space="preserve">The tax benefit was primarily driven by losses allocated from Dutch Bros OpCo to the Company, partially offset by state taxes and the tax expense of the corporate subsidiary.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Liquidity and Capital Resources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Cash Overview</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$26.8 million and $18.5 million as of March 31, 2022 and December 31, 2021, respectively.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three months ended March 31, 2022, our principal sources of liquidity were cash flows from our new term loan, revolving credit facilities, and operations. Our principal uses of liquidity for the three months ended March 31, 2022 were to pay off our prior revolving credit facility and fund our new shop builds and working capital needs.</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3220"/>
                <wp:effectExtent l="0" t="0" r="0" b="0"/>
                <wp:wrapNone/>
                <wp:docPr id="131" name="Frame4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3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7"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7"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Cash Flows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10205" w:type="dxa"/>
        <w:jc w:val="left"/>
        <w:tblInd w:w="0" w:type="dxa"/>
        <w:tblCellMar>
          <w:top w:w="28" w:type="dxa"/>
          <w:left w:w="28" w:type="dxa"/>
          <w:bottom w:w="28" w:type="dxa"/>
          <w:right w:w="28" w:type="dxa"/>
        </w:tblCellMar>
      </w:tblPr>
      <w:tblGrid>
        <w:gridCol w:w="1605"/>
        <w:gridCol w:w="1386"/>
        <w:gridCol w:w="1395"/>
        <w:gridCol w:w="109"/>
        <w:gridCol w:w="109"/>
        <w:gridCol w:w="109"/>
        <w:gridCol w:w="211"/>
        <w:gridCol w:w="751"/>
        <w:gridCol w:w="109"/>
        <w:gridCol w:w="109"/>
        <w:gridCol w:w="109"/>
        <w:gridCol w:w="109"/>
        <w:gridCol w:w="211"/>
        <w:gridCol w:w="751"/>
        <w:gridCol w:w="109"/>
        <w:gridCol w:w="109"/>
        <w:gridCol w:w="109"/>
        <w:gridCol w:w="109"/>
        <w:gridCol w:w="211"/>
        <w:gridCol w:w="801"/>
        <w:gridCol w:w="109"/>
        <w:gridCol w:w="109"/>
        <w:gridCol w:w="109"/>
        <w:gridCol w:w="109"/>
        <w:gridCol w:w="348"/>
        <w:gridCol w:w="348"/>
        <w:gridCol w:w="286"/>
        <w:gridCol w:w="109"/>
        <w:gridCol w:w="157"/>
      </w:tblGrid>
      <w:tr>
        <w:trPr/>
        <w:tc>
          <w:tcPr>
            <w:tcW w:w="1605"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v. 2021</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flows provided by (used in) operating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(756)</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15,487 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(16,243)</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(104.9)</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(46,021)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(38,954)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(used in) financing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55,025 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(5,084)</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60,109 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increase in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18,506 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31,640 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(13,134)</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(41.5)</w:t>
            </w:r>
          </w:p>
        </w:tc>
        <w:tc>
          <w:tcPr>
            <w:tcW w:w="286"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operating activities cash flows was primarily driven by higher inventory as a result of additional company-operated shops and rising product costs, which was partially offset by use of prepaid expenses for our 30 year anniversary celebration events and increased deferred revenue on our Dutch Rewards loyalty app.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decrease in investing activities cash flows was primarily driven by investment in capital expenditures as a result of new company-operated shop openings and our acquisition of franchise shops.</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financing activities cash flows was primarily driven by draws from new term loan and revolving credit facilities, which were partially offset by the payoff of prior revolving credit facility.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Cash Requirements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cash provided by operating activities, cash and cash equivalents, and proceeds from our 2022 Credit Facility are adequate to fund our debt service requirements, operating lease obligations, and working capital obligations for at least the next 12 months.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future capital requirements may vary materially from period to period and will depend on many factors, primarily our expansion and growth by opening additional company-operated shops and/or reacquiring existing franchised shops. We currently expect to fund our material cash requirements in the long term with additional proceeds from our 2022 Credit Facility, but we may also seek additional debt or equity financing.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2022, cash requirements for the following items have materially changed from our Annual Report on Form 10-K for the year ended December 31, 2021:</w:t>
      </w:r>
    </w:p>
    <w:p>
      <w:pPr>
        <w:pStyle w:val="TextBody"/>
        <w:spacing w:lineRule="auto" w:line="288" w:before="0" w:after="180"/>
        <w:ind w:left="0" w:right="0" w:hanging="360"/>
        <w:jc w:val="both"/>
        <w:rPr/>
      </w:pPr>
      <w:r>
        <w:rPr>
          <w:color w:val="131E29"/>
        </w:rPr>
        <w:t>•</w:t>
      </w:r>
      <w:r>
        <w:rPr>
          <w:rFonts w:ascii="Arial;sans-serif" w:hAnsi="Arial;sans-serif"/>
          <w:b w:val="false"/>
          <w:color w:val="006098"/>
          <w:sz w:val="20"/>
        </w:rPr>
        <w:t>Operating lease obligations</w:t>
      </w:r>
      <w:r>
        <w:rPr>
          <w:color w:val="131E29"/>
        </w:rPr>
        <w:t xml:space="preserve"> — </w:t>
      </w:r>
      <w:r>
        <w:rPr>
          <w:rFonts w:ascii="Arial;sans-serif" w:hAnsi="Arial;sans-serif"/>
          <w:b w:val="false"/>
          <w:color w:val="131E29"/>
          <w:sz w:val="20"/>
        </w:rPr>
        <w:t xml:space="preserve">increased approximately $29 million from the adoption of ASC 842, </w:t>
      </w:r>
      <w:r>
        <w:rPr>
          <w:rFonts w:ascii="Arial;sans-serif" w:hAnsi="Arial;sans-serif"/>
          <w:b w:val="false"/>
          <w:i/>
          <w:color w:val="131E29"/>
          <w:sz w:val="20"/>
        </w:rPr>
        <w:t>Leases,</w:t>
      </w:r>
      <w:r>
        <w:rPr>
          <w:color w:val="131E29"/>
        </w:rPr>
        <w:t xml:space="preserve"> </w:t>
      </w:r>
      <w:r>
        <w:rPr>
          <w:rFonts w:ascii="Arial;sans-serif" w:hAnsi="Arial;sans-serif"/>
          <w:b w:val="false"/>
          <w:color w:val="131E29"/>
          <w:sz w:val="20"/>
        </w:rPr>
        <w:t>and newly commenced leases during the three months ended March 31, 2022.</w:t>
      </w:r>
    </w:p>
    <w:p>
      <w:pPr>
        <w:pStyle w:val="TextBody"/>
        <w:spacing w:lineRule="auto" w:line="288" w:before="0" w:after="180"/>
        <w:ind w:left="0" w:right="0" w:hanging="360"/>
        <w:jc w:val="both"/>
        <w:rPr/>
      </w:pPr>
      <w:r>
        <w:rPr>
          <w:color w:val="131E29"/>
        </w:rPr>
        <w:t>•</w:t>
      </w:r>
      <w:r>
        <w:rPr>
          <w:rFonts w:ascii="Arial;sans-serif" w:hAnsi="Arial;sans-serif"/>
          <w:b w:val="false"/>
          <w:color w:val="006098"/>
          <w:sz w:val="20"/>
        </w:rPr>
        <w:t>Finance lease obligations</w:t>
      </w:r>
      <w:r>
        <w:rPr>
          <w:color w:val="131E29"/>
        </w:rPr>
        <w:t xml:space="preserve"> — </w:t>
      </w:r>
      <w:r>
        <w:rPr>
          <w:rFonts w:ascii="Arial;sans-serif" w:hAnsi="Arial;sans-serif"/>
          <w:b w:val="false"/>
          <w:color w:val="131E29"/>
          <w:sz w:val="20"/>
        </w:rPr>
        <w:t xml:space="preserve">increased approximately $86 million from the adoption of ASC 842, </w:t>
      </w:r>
      <w:r>
        <w:rPr>
          <w:rFonts w:ascii="Arial;sans-serif" w:hAnsi="Arial;sans-serif"/>
          <w:b w:val="false"/>
          <w:i/>
          <w:color w:val="131E29"/>
          <w:sz w:val="20"/>
        </w:rPr>
        <w:t>Leases,</w:t>
      </w:r>
      <w:r>
        <w:rPr>
          <w:color w:val="131E29"/>
        </w:rPr>
        <w:t xml:space="preserve"> </w:t>
      </w:r>
      <w:r>
        <w:rPr>
          <w:rFonts w:ascii="Arial;sans-serif" w:hAnsi="Arial;sans-serif"/>
          <w:b w:val="false"/>
          <w:color w:val="131E29"/>
          <w:sz w:val="20"/>
        </w:rPr>
        <w:t>and newly commenced leases during the three months ended March 31, 2022.</w:t>
      </w:r>
    </w:p>
    <w:p>
      <w:pPr>
        <w:pStyle w:val="TextBody"/>
        <w:spacing w:lineRule="auto" w:line="288" w:before="0" w:after="180"/>
        <w:ind w:left="0" w:right="0" w:hanging="360"/>
        <w:jc w:val="both"/>
        <w:rPr/>
      </w:pPr>
      <w:r>
        <w:rPr>
          <w:color w:val="131E29"/>
        </w:rPr>
        <w:t>•</w:t>
      </w:r>
      <w:r>
        <w:rPr>
          <w:rFonts w:ascii="Arial;sans-serif" w:hAnsi="Arial;sans-serif"/>
          <w:b w:val="false"/>
          <w:color w:val="006098"/>
          <w:sz w:val="20"/>
        </w:rPr>
        <w:t>Debt obligations</w:t>
      </w:r>
      <w:r>
        <w:rPr>
          <w:color w:val="131E29"/>
        </w:rPr>
        <w:t xml:space="preserve"> — </w:t>
      </w:r>
      <w:r>
        <w:rPr>
          <w:rFonts w:ascii="Arial;sans-serif" w:hAnsi="Arial;sans-serif"/>
          <w:b w:val="false"/>
          <w:color w:val="131E29"/>
          <w:sz w:val="20"/>
        </w:rPr>
        <w:t>increased approximately $63 million on a net basis due to our new 2022 Credit Facility for the three months ended March 31, 2022.</w:t>
      </w: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3220"/>
                <wp:effectExtent l="0" t="0" r="0" b="0"/>
                <wp:wrapNone/>
                <wp:docPr id="134" name="Frame4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3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8"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8"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Senior Secured Credit Facility</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JP Morgan Credit Facility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February 28, 2022 (the Effective Date) we amended our Senior Secured Credit Facility with JPMorgan Chase, N.A. The 2022 Credit Facility has a total capacity of $500 million, consisting of a $250 million revolving credit facility, a term loan facility of up to $100 million, and a delayed draw term loan facility of up to $150 million. The revolving credit facility includes sub-limits for issuance of letters of credit and swing line loans of up to $50 million and $15 million, respectively. It also contains an option allowing Dutch Bros PubCo to increase the size of the 2022 Credit Facility by up to an additional $150 million, with the agreement of the committing lenders. The 2022 Credit Facility expires five years after the Effective Date.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Upon entering into the 2022 Credit Facility, we drew a $100 million term loan and approximately $28 million in revolving loans, and the existing credit facility was repaid and terminated.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Obligations under the 2022 Credit Facility are guaranteed by Dutch Bros OpCo and its subsidiaries, and secured by a first priority perfected security interest in substantially all of the assets of the guarantors.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April 1, 2022, Dutch Bros PubCo completed an interest rate swap transaction with JPMorgan Chase Bank, N.A. as administrative agent and other financial institutions as the lenders party thereto, with respect to $70 million of the term loan under the 2022 Credit Facility. The purpose of the floating-to-fixed interest rate swap transaction (the Interest Rate Swap) was to fix the term loan interest rate at 2.67%. The Interest Rate Swap has a maturity date of February 28, 2027.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Seasonality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in that our system sales are typically nominally higher during the summer months affecting the second and third quarters.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Critical Accounting Estimates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consolidated financial statements. While we believe that our estimates, assumptions, and judgments are reasonable, they are based on information available when the estimate was made.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Material changes to our critical accounting estimates from those disclosed in Part II, Item 7 of our Annual Report on Form 10-K for the year ended December 31, 2021 are listed below. Refer also to NOTE 2 — Basis of Presentation and Summary of Significant Accounting Policies within the condensed consolidated financial statements for further information.</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3220"/>
                <wp:effectExtent l="0" t="0" r="0" b="0"/>
                <wp:wrapNone/>
                <wp:docPr id="137" name="Frame4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3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9"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9"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pPr>
      <w:r>
        <w:rPr>
          <w:rFonts w:ascii="Arial;sans-serif" w:hAnsi="Arial;sans-serif"/>
          <w:b/>
          <w:i/>
          <w:color w:val="006098"/>
          <w:sz w:val="20"/>
        </w:rPr>
        <w:t>Dutch Rewards Loyalty Program</w:t>
      </w:r>
      <w:r>
        <w:rPr>
          <w:color w:val="131E29"/>
        </w:rPr>
        <w:t xml:space="preserv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Eligible customers who register for the Dutch Rewards loyalty program earn points for every dollar spent. After accumulating a certain number of points, the customer earns a reward that can be redeemed for a free drink. Earned rewards expire six months after they are issued, and points collected but not redeemed expire after six months.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estimation of the standalone selling price of points and other rewards issued to customers involves several assumptions, primarily the estimated value of product for which the reward is expected to be redeemed and the probability that the points or reward will expire. Our estimate of points and other rewards we expect to be redeemed is based on historical company-specific data. These inputs are subject to change over time due to factors such as menu price increases, changes in points redemption options, and changes in customer behavior.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Leases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estimation of our incremental borrowing rate and assumptions of our lease terms, including reasonable renewal periods, which are used in our calculation of right-of-use assets and lease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Non-GAAP Financial Measures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These non-GAAP financial measures should not be considered a substitute for, or superior to, financial measures calculated in accordance with GAAP, and the financial results calculated in accordance with U.S. GAAP and reconciliations from these results should be carefully evaluated.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contribution (in dollars and as a percentage of revenue)</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Company-operated segment gross profit, before company-operated shop depreciation and amortization. Company-operated shop contribution in dollars (as defined), taken as a percentage of company-operated shop revenue.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the industry by our investors.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EBITDA, Adjusted EBITDA (in dollars and as a percentage of revenue)</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(loss) before interest expense (net of interest income), income taxes expense (benefit), and depreciation and amortization expense.</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(as defined above), excluding equity-based compensation, expenses associated with equity offerings, COVID-19: “Thank You” pay and catastrophic leave expenses, COVID-19: prepaid costs not utilized, and costs incurred for company-wide milestone events. Adjusted EBITDA in dollars (as defined), taken as a percentage of total revenue. </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3220"/>
                <wp:effectExtent l="0" t="0" r="0" b="0"/>
                <wp:wrapNone/>
                <wp:docPr id="140" name="Frame4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4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0"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4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0"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Non-GAAP adjustments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Non-cash expenses related to the grant and vesting of stock awards, restricted stock awards and restricted stock units in Dutch Bros PubCo and/or Profit Interest Units in Dutch Bros OpCo to certain eligible employees. These awards are accounted for in accordance with guidance prescribed for in accounting for share-based compensation.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Expenses associated with equity offerings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incurred as a result of our equity offerings. These costs include legal fees, consulting fees, tax and accounting fees, and payroll taxes related to the grant and vesting of equity awards for certain employees.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COVID-19: “Thank You” pay and catastrophic leave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All COVID-19-related protocols, including catastrophic leave, will remain in effect until the end of the COVID-19 pandemic as determined by the appropriate government agency.</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COVID-19: Prepaid costs not utilized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Milestone events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incurred for company-wide events to celebrate 30 years of serving high QUALITY, hand-crafted beverages with unparalleled SPEED and superior SERVICE to our customers.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3220"/>
                <wp:effectExtent l="0" t="0" r="0" b="0"/>
                <wp:wrapNone/>
                <wp:docPr id="143" name="Frame4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4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1"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4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1"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Following are the reconciliations of the most comparable GAAP metric to non-GAAP metrics presented: </w:t>
      </w:r>
    </w:p>
    <w:tbl>
      <w:tblPr>
        <w:tblW w:w="10205" w:type="dxa"/>
        <w:jc w:val="left"/>
        <w:tblInd w:w="0" w:type="dxa"/>
        <w:tblCellMar>
          <w:top w:w="28" w:type="dxa"/>
          <w:left w:w="28" w:type="dxa"/>
          <w:bottom w:w="28" w:type="dxa"/>
          <w:right w:w="28" w:type="dxa"/>
        </w:tblCellMar>
      </w:tblPr>
      <w:tblGrid>
        <w:gridCol w:w="1179"/>
        <w:gridCol w:w="1036"/>
        <w:gridCol w:w="1024"/>
        <w:gridCol w:w="109"/>
        <w:gridCol w:w="109"/>
        <w:gridCol w:w="109"/>
        <w:gridCol w:w="109"/>
        <w:gridCol w:w="109"/>
        <w:gridCol w:w="286"/>
        <w:gridCol w:w="286"/>
        <w:gridCol w:w="327"/>
        <w:gridCol w:w="286"/>
        <w:gridCol w:w="286"/>
        <w:gridCol w:w="286"/>
        <w:gridCol w:w="375"/>
        <w:gridCol w:w="376"/>
        <w:gridCol w:w="286"/>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59"/>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1463" w:type="dxa"/>
            <w:gridSpan w:val="10"/>
            <w:tcBorders/>
            <w:shd w:fill="auto" w:val="clea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131E29"/>
              </w:rPr>
            </w:pPr>
            <w:r>
              <w:rPr>
                <w:color w:val="131E29"/>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286"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2021 ¹</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1463" w:type="dxa"/>
            <w:gridSpan w:val="10"/>
            <w:tcBorders/>
            <w:shd w:fill="auto" w:val="clea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Company-operated shop gross profit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16,639 </w:t>
            </w:r>
          </w:p>
        </w:tc>
        <w:tc>
          <w:tcPr>
            <w:tcW w:w="28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17,578 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Company-operated shop contribution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28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20,849 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26.8 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599"/>
        <w:gridCol w:w="1392"/>
        <w:gridCol w:w="1419"/>
        <w:gridCol w:w="109"/>
        <w:gridCol w:w="109"/>
        <w:gridCol w:w="109"/>
        <w:gridCol w:w="402"/>
        <w:gridCol w:w="404"/>
        <w:gridCol w:w="109"/>
        <w:gridCol w:w="109"/>
        <w:gridCol w:w="109"/>
        <w:gridCol w:w="109"/>
        <w:gridCol w:w="297"/>
        <w:gridCol w:w="299"/>
        <w:gridCol w:w="109"/>
        <w:gridCol w:w="109"/>
        <w:gridCol w:w="109"/>
        <w:gridCol w:w="109"/>
        <w:gridCol w:w="375"/>
        <w:gridCol w:w="376"/>
        <w:gridCol w:w="109"/>
        <w:gridCol w:w="109"/>
        <w:gridCol w:w="109"/>
        <w:gridCol w:w="109"/>
        <w:gridCol w:w="270"/>
        <w:gridCol w:w="271"/>
        <w:gridCol w:w="109"/>
        <w:gridCol w:w="109"/>
        <w:gridCol w:w="109"/>
        <w:gridCol w:w="109"/>
        <w:gridCol w:w="109"/>
        <w:gridCol w:w="109"/>
        <w:gridCol w:w="109"/>
        <w:gridCol w:w="109"/>
        <w:gridCol w:w="109"/>
        <w:gridCol w:w="109"/>
        <w:gridCol w:w="109"/>
        <w:gridCol w:w="109"/>
        <w:gridCol w:w="158"/>
      </w:tblGrid>
      <w:tr>
        <w:trPr/>
        <w:tc>
          <w:tcPr>
            <w:tcW w:w="1599"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357" w:type="dxa"/>
            <w:gridSpan w:val="12"/>
            <w:tcBorders/>
            <w:shd w:fill="auto" w:val="clea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9" w:type="dxa"/>
            <w:gridSpan w:val="10"/>
            <w:tcBorders/>
            <w:shd w:fill="auto" w:val="clea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Net loss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1,017 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EBITDA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Expenses associated with equity offerings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“Thank You” pay and catastrophic leave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Prepaid costs not utilized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Milestone events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1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Adjusted EBITDA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9,662 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18,685 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18.9 </w:t>
            </w:r>
          </w:p>
        </w:tc>
        <w:tc>
          <w:tcPr>
            <w:tcW w:w="109"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Our historical results have been revised to reflect immaterial corrections related to the accrual of employee sick leave. For additional information, refer to NOTE 2 — Basis of Presentation and Summary of Significant Accounting Policies and NOTE 16 — Segment Reporting, included elsewhere in this Form 10-Q. The impacts of the immaterial corrections on our non-GAAP measures, not included elsewhere in this Form 10-Q, are presented below.</w:t>
      </w:r>
    </w:p>
    <w:p>
      <w:pPr>
        <w:pStyle w:val="TextBody"/>
        <w:spacing w:lineRule="auto" w:line="288" w:before="0" w:after="60"/>
        <w:ind w:left="0" w:right="0" w:hanging="360"/>
        <w:jc w:val="both"/>
        <w:rPr/>
      </w:pPr>
      <w:r>
        <w:rPr>
          <w:color w:val="000000"/>
        </w:rPr>
        <w:t>•</w:t>
      </w:r>
      <w:r>
        <w:rPr>
          <w:rFonts w:ascii="Arial;sans-serif" w:hAnsi="Arial;sans-serif"/>
          <w:b w:val="false"/>
          <w:color w:val="000000"/>
          <w:sz w:val="16"/>
        </w:rPr>
        <w:t>Increase in EBITDA of $0.8 million</w:t>
      </w:r>
    </w:p>
    <w:p>
      <w:pPr>
        <w:pStyle w:val="TextBody"/>
        <w:spacing w:lineRule="auto" w:line="288" w:before="0" w:after="180"/>
        <w:ind w:left="0" w:right="0" w:hanging="360"/>
        <w:jc w:val="both"/>
        <w:rPr/>
      </w:pPr>
      <w:r>
        <w:rPr>
          <w:color w:val="000000"/>
        </w:rPr>
        <w:t>•</w:t>
      </w:r>
      <w:r>
        <w:rPr>
          <w:rFonts w:ascii="Arial;sans-serif" w:hAnsi="Arial;sans-serif"/>
          <w:b w:val="false"/>
          <w:color w:val="000000"/>
          <w:sz w:val="16"/>
        </w:rPr>
        <w:t>Increase in Adjusted EBITDA of $0.8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 xml:space="preserve">ITEM 3. QUANTITATIVE AND QUALITATIVE DISCLOSURES ABOUT MARKET RISK </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Commodity Risks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as well as making other operational adjustments that increase productivity. However, substantial increases in costs and expenses, such as the approximately 25% increase in dairy commodities pricing during the three months ended March 31, 2022, could impact our operating results to the extent that such increases cannot be offset by menu price increases. Additionally, if there is a time lag between increasing commodity prices and our ability to increase menu prices or if we choose not to pass on the cost increases, our operating results could be negatively affected.</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Labor and Benefits Costs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minimum wage increases in several states. In the future, we may or may not be able to offset these cost increases with operational efficiencies or menu price increases. As of March 31, 2022, we employed approximately 11,500 hourly workers in our company-operated shops.</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3220"/>
                <wp:effectExtent l="0" t="0" r="0" b="0"/>
                <wp:wrapNone/>
                <wp:docPr id="146" name="Frame4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4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2"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4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2"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Interest Rate Risk</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As of March 31, 2022, $100.0 million and $27.7 million was outstanding on our term loans and revolving loans, respectively. A hypothetical increase of interest rates up to 1% on our outstanding term and revolving loans as of March 31, 2022 would result in an increase in our annual interest expense of approximately $1.3 million, excluding any potential interest expense savings that may result from our interest rate swap agreement which was implemented as of April 1, 2022.</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Impact of Inflation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supplies, energy costs, and materials used in the construction of company-operated shops. Increases in the minimum wage requirements directly affect our labor costs. Our leases require us to pay taxes, maintenance, repairs, insurance, and utilities, all of which are generally subject to inflationary increases. Finally, the cost of constructing our shops is subject to inflation, which could increase the costs of labor and materials, and result in higher rent expense on new shops. In the three months ended March 31, 2022, we encountered current commodity inflation and increasing minimum wages in certain states. We expect commodity inflation to continue to affect our operating results in the foreseeable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 xml:space="preserve">ITEM 4. CONTROLS AND PROCEDURES </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Evaluation of Disclosure Controls and Procedures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the end of the period covered by this Form 10-Q, our Chief Executive Officer (principal executive officer) and Chief Financial Officer (principal financial officer), have conducted an evaluation of the effectiveness of the design and operation of our disclosure controls and procedures (as defined in Rules 13a-15(e) and 15d-15(e) under the Securities Exchange Act of 1934, as amended (the Exchange Act)). Our certifying officers concluded that, as a result of the material weaknesses in internal control over financial reporting as described below, our disclosure controls and procedures were not effective as of March 31, 2022. 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 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3220"/>
                <wp:effectExtent l="0" t="0" r="0" b="0"/>
                <wp:wrapNone/>
                <wp:docPr id="149" name="Frame5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3"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5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3"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previously identified and disclosed in Part II, Item 9A of our Annual Report on Form 10-K for the year ended December 31, 2021, material weaknesses in our internal control over financial reporting due to limited accounting department personnel capable of appropriately accounting for complex transactions undertaken by the Company and insufficient controls over the review and approval of manual journal entries, including appropriate segregation of duties. Additionally, as a result of the limited accounting department personnel we were unable to maintain an effective risk assessment process necessary to identify all relevant risks of material misstatement and to evaluate the implications of relevant risks on our internal control over financial reporting. As a consequence of the material weaknesses described above, internal control deficiencies related to the design and operation of process-level controls were determined to be pervasive throughout the Company’s financial reporting processes.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Notwithstanding the previously identified material weaknesses, management believes the condensed consolidated financial statements included in this Quarterly Report on Form 10-Q fairly present, in all material respects, our financial condition, results of operations and cash flows as of and for the periods presented in accordance with GAAP.</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Remediation Efforts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remedial actions have been taken as of March 31, 2022:</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Hired additional full-time accounting subject matter experts with appropriate levels of experience, and augmented skills gaps with external experts;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Reallocated responsibilities across the accounting organization to ensure level of knowledge and experience is applied based on risk and complexity of transactions and tasks under review, as well as establish an appropriate segregation of duties;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Engaged a professional accounting services firm for technical support in critical areas regarding pronouncements and standards;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Established procedures to document review of manual journal entries and are in the process of implementing applications controls within the accounting system to ensure proper segregation of duties;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Initiated detailed accounting policies review to confirm alignment with GAAP. This review process identified the immaterial error related to historic sick leave pay accruals that should not have been recorded;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Commenced an entity-wide risk assessment process which will include documenting internal ownership of risk monitoring and mitigation efforts, risk monitoring activities, and regular reporting by internal audit to executive management and our Audit and Risk Committee of the Board of Directors on an appropriate frequency.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significant progress has been made to enhance our internal control over financial reporting, we are still in the process of implementing and testing these remediated processes, procedures and controls. Additional time is required to complete our assessment. 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 had been remediated as of March 31, 2022, and therefore have concluded that our disclosure controls and procedures were not effective as of March 31, 2022.</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3220"/>
                <wp:effectExtent l="0" t="0" r="0" b="0"/>
                <wp:wrapNone/>
                <wp:docPr id="152" name="Frame5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4"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4"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spacing w:lineRule="auto" w:line="288" w:before="0" w:after="180"/>
        <w:jc w:val="both"/>
        <w:rPr/>
      </w:pPr>
      <w:r>
        <w:rPr>
          <w:rFonts w:ascii="Arial;sans-serif" w:hAnsi="Arial;sans-serif"/>
          <w:b w:val="false"/>
          <w:color w:val="131E29"/>
          <w:sz w:val="20"/>
        </w:rPr>
        <w:t xml:space="preserve">Beginning January 1, 2022, we implemented ASU 842, </w:t>
      </w:r>
      <w:r>
        <w:rPr>
          <w:rFonts w:ascii="Arial;sans-serif" w:hAnsi="Arial;sans-serif"/>
          <w:b w:val="false"/>
          <w:i/>
          <w:color w:val="131E29"/>
          <w:sz w:val="20"/>
        </w:rPr>
        <w:t>Leases</w:t>
      </w:r>
      <w:r>
        <w:rPr>
          <w:rFonts w:ascii="Arial;sans-serif" w:hAnsi="Arial;sans-serif"/>
          <w:b w:val="false"/>
          <w:color w:val="131E29"/>
          <w:sz w:val="20"/>
        </w:rPr>
        <w:t>, as amended, which required the implementation of internal controls to ensure we adequately evaluated our real estate and other vendor contracts and agreements and properly assessed the impact of the new accounting standard. In addition, the new leasing standard had a material impact on our condensed consolidated balance sheets as well as additional disclosure requirements. As such, we implemented changes to our policies and internal control over financial reporting related to our accounting for leases.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than those with respect to leases and the remediation efforts described above in our internal control over financial reporting (as defined in Rules 13a-15(f) and 1d-15(f) under the Exchange Act), no other changes occurred during the three months ended March 31, 2022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Arial;sans-serif" w:hAnsi="Arial;sans-serif"/>
          <w:b/>
          <w:color w:val="006098"/>
          <w:sz w:val="32"/>
        </w:rPr>
      </w:pPr>
      <w:r>
        <w:rPr>
          <w:rFonts w:ascii="Arial;sans-serif" w:hAnsi="Arial;sans-serif"/>
          <w:b/>
          <w:color w:val="006098"/>
          <w:sz w:val="32"/>
        </w:rPr>
        <w:t>PART II. OTHER INFORMATION</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1. LEGAL PROCEEDINGS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not currently involved in any material legal proceedings.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1A. RISK FACTORS</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Summary of Risk Factors</w:t>
      </w:r>
    </w:p>
    <w:p>
      <w:pPr>
        <w:pStyle w:val="TextBody"/>
        <w:spacing w:lineRule="auto" w:line="288" w:before="0" w:after="0"/>
        <w:jc w:val="both"/>
        <w:rPr>
          <w:rFonts w:ascii="Arial;sans-serif" w:hAnsi="Arial;sans-serif"/>
          <w:b w:val="false"/>
          <w:i/>
          <w:color w:val="131E29"/>
          <w:sz w:val="20"/>
        </w:rPr>
      </w:pPr>
      <w:r>
        <w:rPr>
          <w:rFonts w:ascii="Arial;sans-serif" w:hAnsi="Arial;sans-serif"/>
          <w:b w:val="false"/>
          <w:i/>
          <w:color w:val="131E29"/>
          <w:sz w:val="20"/>
        </w:rPr>
        <w:t>Below is a summary of the principal factors that make an investment in our Class A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pStyle w:val="TextBody"/>
        <w:spacing w:before="0" w:after="0"/>
        <w:jc w:val="both"/>
        <w:rPr/>
      </w:pPr>
      <w:r>
        <w:rPr/>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Evolving consumer preferences and tastes or changes in consumer spending may adversely affect our business.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 may not be able to compete successfully with other shops, QSRs and convenience shops, including the growing number of coffee delivery options. Intense competition in the foodservice and restaurant industry could make it more difficult to expand our business and could also have a negative impact on our operating results if customers favor our competitors or we are forced to change our pricing and other marketing strategies.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failure to manage our growth effectively could harm our business and operating results.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inability to identify, recruit and retain qualified individuals for our shops could slow our growth and adversely impact our ability to operate.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shops are geographically concentrated in the Western United States, and we could be negatively affected by conditions specific to that region.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3220"/>
                <wp:effectExtent l="0" t="0" r="0" b="0"/>
                <wp:wrapNone/>
                <wp:docPr id="155" name="Frame5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5"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5"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Increases in the cost of high-quality arabica coffee beans, dairy or other commodities or decreases in the availability of high-quality arabica coffee beans, dairy or other commodities could have an adverse impact on our business and financial results.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Pandemics or disease outbreaks such as COVID-19 have had, and may continue to have, an effect on our business and results of operations.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success depends substantially on the value of our brands and failure to preserve their value could have a negative impact on our financial results.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the availability of and the cost of labor could harm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Co-Founder and Sponsor continue to have significant influence over us, which could limit your ability to influence the outcome of matters submitted to stockholders for a vote.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growth strategy depends in part on opening new shops in existing and new markets. We may be unsuccessful in opening new shops or establishing new markets, which could adversely affect our growth.</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3220"/>
                <wp:effectExtent l="0" t="0" r="0" b="0"/>
                <wp:wrapNone/>
                <wp:docPr id="158" name="Frame5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6"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6"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 Factors</w:t>
      </w:r>
    </w:p>
    <w:p>
      <w:pPr>
        <w:pStyle w:val="TextBody"/>
        <w:spacing w:lineRule="auto" w:line="288" w:before="0" w:after="180"/>
        <w:jc w:val="both"/>
        <w:rPr>
          <w:rFonts w:ascii="Arial;sans-serif" w:hAnsi="Arial;sans-serif"/>
          <w:b w:val="false"/>
          <w:i/>
          <w:color w:val="131E29"/>
          <w:sz w:val="20"/>
        </w:rPr>
      </w:pPr>
      <w:r>
        <w:rPr>
          <w:rFonts w:ascii="Arial;sans-serif" w:hAnsi="Arial;sans-serif"/>
          <w:b w:val="false"/>
          <w:i/>
          <w:color w:val="131E29"/>
          <w:sz w:val="20"/>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consolidated financial statements and related notes in this Form 10-Q, before making an investment decision. If any of the risks and uncertainties described below occur, it could have a material adverse impact on our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 come material and adversely affect our business, reputation, financial condition, results of operations or cash flows or the trading price of our Class A common stock. The risks relating to our business set forth in our Annual Report on Form 10-K, filed with the SEC, are set forth below and are unchanged substantively as of the date of this filing, except for those risks designated by an asterisk (*).</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*Evolving consumer preferences and tastes or changes in consumer spending may adversely affect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continued success depends on our ability to attract and retain customers. Our financial results could be adversely affected by a shift in consumer spending away from outside-the-home beverages, decreases in general discretionary consumer spending due to higher gas prices, increased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and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of consumption of various food and beverage products. While we offer alternatives, including reduced sugar and sugar-free items, an unfavorable report on the health effects of sugar, caffeine or other ingredients in our products or changes in public perception of these ingredients could significantly reduce the demand for our beverages. A decrease in customer traffic as a result of these health concerns or negative publicity could significantly reduce the demand for Dutch Bros’ hand-crafted beverages and could harm our business.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financial condition and results of operations are subject to, and may be adversely affected by, a number of factors, many of which are also largely outside our control.</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in real estate or labor costs in certain markets;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consumer preferences;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3220"/>
                <wp:effectExtent l="0" t="0" r="0" b="0"/>
                <wp:wrapNone/>
                <wp:docPr id="161" name="Frame5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7"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7"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disruptions in our supply chain;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impact of shortages or inflation on our cost of goods or labor, which we have recently seen;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governmental rules and approaches to taxation;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severe weather or other natural or man-made disasters affecting a large market or several closely located markets that may temporarily but significantly affect our business in such markets, including the price or availability of goods;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labor discord or disruption, geopolitical events, social unrest, war, including repercussions of the recent military conflict between Russia and Ukraine, terrorism, political instability, acts of public violence, boycotts, hostilities and social unrest and other health pandemics;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adverse outcomes of litigation.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marketing programs may not be successful, and our new menu items and advertising campaigns may not generate increased sales or profits.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incur costs and expend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there could be an adverse effect on our sales and profits could decrease.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We may not be able to compete successfully with other coffee shops, QSRs and convenience shops, including the growing number of coffee delivery options. Intense competition in the foodservice and restaurant industry could make it more difficult to expand our business and could also have a negative impact on our operating results if customers favor our competitors or we are forced to change our pricing and other marketing strategies.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foodservice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if our competitors begin to evolve their business strategies and adopt aspects of the Dutch Bros business model, such as our drive-thru convenience and digital ordering, our customers may be drawn to those competitors for their beverage needs and our business could be harmed.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strategic initiatives and growth strategy may be unsuccessful which could adversely affect our business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2022, Dutch Bros had 572 shops across 12 states, of which 310 were company-operated and 262 were franchised. One of the key means to achieving our growth strategy will be through opening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3220"/>
                <wp:effectExtent l="0" t="0" r="0" b="0"/>
                <wp:wrapNone/>
                <wp:docPr id="164" name="Frame5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8"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8"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new shops and operating those shops on a profitable basis. During the three months ended March 31, 2022, we opened 34 new company-operated shops. Our ability to open new shops is dependent upon a number of factors, many of which are beyond our control, including our and our franchise partners’ ability to: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identify available and suitable sites, specifically for drive-thru locations;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compete for such sites;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reach acceptable agreements regarding the lease of locations;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obtain or have available the financing required to acquire and operate a shop, including construction and opening costs, which includes access to build-to-suit leases and ground lease construction arrangements;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respond to unforeseen engineering or environmental problems with leased premises;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avoid the impact of inclement weather, natural disasters and other calamities;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hire, train and retain the skilled management and other employees necessary to meet staffing needs;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obtain, in a timely manner and for an acceptable cost, required licenses, permits and regulatory approvals and respond effectively to any changes in local, state or federal law and regulations that adversely affect our and our franchise partners’ costs or ability to open new shops; and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control construction and equipment cost increases for new shops and secure the services of qualified contractors and subcontractors in an increasingly competitive environment.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part of our longer term growth strategy, we expect to enter into geographic markets in which we have little or no prior operating experience. The challenges of entering new markets include: adapting to local regulations or restrictions that may limit our ability to open new shops, restrict the use of certain branding or increase the cost of development; difficulties in hiring experienced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Due to brand recognition and logistical synergies, as part of our growth strategy, we also intend to open new shops in areas where we have existing shops. The operating results and comparable shop sales could be adversely affected due to close proximity with our other shops and market saturation.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*New shops, once opened, may not be profitable or may close, and the increases in average per shop revenue and comparable sales that we have experienced in the past may not be indicative of future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plan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3220"/>
                <wp:effectExtent l="0" t="0" r="0" b="0"/>
                <wp:wrapNone/>
                <wp:docPr id="167" name="Frame5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9"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9"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beverage distributors, area demographics and geography. Our results have been, and in the future may continue to be, significantly impacted by the timing of new shop openings, which is subject to a number of factors, many of which are outside of our control, including landlord delays,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Some of Dutch Bros’ shops open with an initial start-up period of higher than 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our AUV and comparable sales may not increase at the rates achieved over the past several years. Our ability to operate new shops profitably and increase average shop revenue and comparable shop sales will depend on many factors, some of which are beyond our control, including: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consumer awareness and understanding of the Dutch Bros brand;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general economic conditions, such as inflation, which can affect shop traffic, local labor costs and prices we pay for the beverage and other supplies we use;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consumption patterns and beverage preferences that differ from region to region;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consumer preferences and discretionary spending;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difficulties obtaining or maintaining adequate relationships with distributors or suppliers in new markets;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in prices for commodities, including coffee, milk and flavored syrups;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inefficiency in our labor costs as the staff gains experience;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competition, either from our competitors in the beverage industry or our own shops;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temporary and permanent site characteristics of new shops;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government regulation;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ability to hire, motivate and keep qualified employees who share our values; and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other unanticipated increases in costs, any of which could give rise to delays or cost overruns.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our new shops do not perform as planned or close, our business and future prospects could be harmed. In addition, an inability to achieve our expected average shop revenue could harm our business.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3220"/>
                <wp:effectExtent l="0" t="0" r="0" b="0"/>
                <wp:wrapNone/>
                <wp:docPr id="170" name="Frame5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0"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0"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As a result, the opening of a new shop in or near markets in which we or our franchise partners already have shops could adversely impact sales at these existing shops while growing the overall AUV in a region.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could affect our sales growth, which could, in turn,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we expand, we may not be able to maintain our current average shop sales and our business may be harmed. Although we have specific target operating and financial metrics, new shops may not meet these targets or may take longer than anticipated to do so. Any new Dutch Bros shops we open may not be profitable or achieve operating results similar to those of our existing shops, which could adversely affect our business, financial condition or results of operations.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failure to manage our growth effectively could harm our business and operating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including a decline in financial performance, could be harmed. If we experience a decline in financial performance, we may decrease the number of or discontinue new Dutch Bros shop openings, or we may decide to close shops that we are unable to operate in a profitable manner.</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*Damage to our brand or reputation or negative publicity could negatively impact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may, from time to time, be faced with negative publicity, regardless of its accuracy, relating to beverage quality; pricing; the safety, sanitation and welfare of our shops; customer complaints or litigation alleging illness or injury; health inspection scores; integrity of our or our suppliers’ food processing, employment practices and other policies, practices and procedures; or employee relationships and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3220"/>
                <wp:effectExtent l="0" t="0" r="0" b="0"/>
                <wp:wrapNone/>
                <wp:docPr id="173" name="Frame5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7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1"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7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1"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welfare or other matters. Negative publicity may adversely affect us, regardless of whether the allegations are substantiated or whether we are held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Ultimately, the risks associated with any such negative publicity or incorrect information cannot be completely eliminated or mitigated and may harm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inability to identify, recruit and retain qualified individuals for our shops could slow our growth and adversely impact our ability to operate.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will likely require us to pay higher wages and provide greater benefits, especially if there is continued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63220"/>
                <wp:effectExtent l="0" t="0" r="0" b="0"/>
                <wp:wrapNone/>
                <wp:docPr id="176" name="Frame5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7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7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the risks associated with leasing space subject to long-term non-cancelable leases and, with respect to the real property that we own, owning real estate.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2022, approximately 46%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3220"/>
                <wp:effectExtent l="0" t="0" r="0" b="0"/>
                <wp:wrapNone/>
                <wp:docPr id="179" name="Frame6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8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shops are geographically concentrated in the Western United States, and we could be negatively affected by conditions specific to that region.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2022, our company-operated and franchised shops in the Western United States represent approximately 90%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any future wildfires may have a similar impact.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material interruption in our supply chain, such as material interruption of the supply of coffee, flavored syrups, dairy, coffee machines and other restaurant equipment or packaging, including any packaging for our for our proprietary products due to the casualty loss of any of our roasting plant, interruptions in service by our third-party logistic service providers or common carriers that ship goods within our distribution channels, trade restrictions, such as increased tariffs or quotas, embargoes or customs restrictions, pandemics, social or labor unrest, natural disasters or political disputes and military conflicts that cause a material disruption in our supply chain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our relationship with Portland Bottling Co. to manufacture and bottle these drinks. Sales of Dutch Bros. Blue Rebel accounted for approximately 24% of our systemwide net sales in three months ended March 31, 2022. Failures by Portland Bottling Co. or any of our other suppliers to meet our standards, provide products in a timely and efficient manner, or comply with applicable laws is beyond our control. Failures by a supplier could have a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3220"/>
                <wp:effectExtent l="0" t="0" r="0" b="0"/>
                <wp:wrapNone/>
                <wp:docPr id="182" name="Frame6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64"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8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4"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direct negative impact that would harm our business by reducing our and our franchise partners’ sales, which would reduce income from direct sales and royalties.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it will negatively affect or business and profitability. If we are unable to locate sufficient building or construction materials, we may not be able to achieve our stated growth objectives.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*Increases in the cost of high-quality arabica coffee beans, dairy or other commodities or decreases in the availability of high-quality arabica coffee beans, dairy or other commodities could have an adverse impact on our business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also purchase significant amounts of dairy products, particularly milk, to support the needs of our shops. For example, the cost of dairy products increased significantly towards the end of the three months ended March 31, 2022, and we continue to see such increased costs. If these increased dairy costs are sustained or further increased,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Increases in the cost of other commodities, such as petroleum, may increase the cost of our packing materials, or lack of availability, whether due to supply shortages, delays or interruptions in processing, impact consumer spending or could otherwise harm our business. For example, we believe the recent increase in gas prices has negatively impacted consumer discretionary spending, particularly in the Western United States where such increases have been relatively higher and where our shops are geographically concentrated.</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3220"/>
                <wp:effectExtent l="0" t="0" r="0" b="0"/>
                <wp:wrapNone/>
                <wp:docPr id="185" name="Frame6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5"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8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5"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fail to offer high-quality customer experience, our business and reputation will suffer.</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fail to maintain adequate operational and financial resources, particularly if we continue to grow rapidly, we may be unable to execute our business plan or maintain high levels of service and customer satisfaction.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continuous growth and expansion has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rely on information technology networks and systems and data processing to market,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information, to manage a variety of business processes and activities, for financial reporting purposes, to operate our business, to process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3220"/>
                <wp:effectExtent l="0" t="0" r="0" b="0"/>
                <wp:wrapNone/>
                <wp:docPr id="188" name="Frame6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66"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6"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orders, for legal and marketing purposes and to comply with regulatory, legal and tax requirements (Business Functions). 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customer loyalty program and communication platform, and other functions. Our ability to monitor these third parties’ information security practices is limited, and these third parties may not have adequate information security measures in place.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These information technology networks and systems, and the Processing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sophisticated nation states, and nation-state supported actors.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risk of unauthorized circumvention of our security measures or those of our third parties on whom we rely has been heightened by advances in computer and software capabilities and the increasing sophistication of hackers who employ complex techniques, including, without limitation, “phishing” or social engineering incidents, ransomware, extortion, account takeover attacks, denial or degradation of service attacks, malicious code (such as viruses or worms), supply-chain attacks, software bugs, server malfunctions, software or hardware failures, loss of data or other information technology assets, adware, and malware. Further, security incidents experienced by other companies may also be leveraged against us. For example, credential stuffing attacks are becoming increasingly common and sophisticated actors can mask their attacks, making them increasingly difficult to identify and prevent. We have technology security initiatives and disaster recovery plans in place to mitigate our risk to these vulnerabilities, but these measures may not be adequately designed or implemented to ensure that our operations are not disrupted or that data security breaches do not occur. If our information technology networks and systems or data processing suffers damage, security breaches, vulnerabilities, disruption or shutdown, and we do not effectively resolve the issues in a timely manner, they could cause a material adverse impact to, our Business Functions and our business, reputation and financial condition.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sensitive information.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Hackers and data thieves are increasingly sophisticated and operate large-scale and complex automated attacks, which may remain undetected until after they occur. Despite our efforts to protect our information technology networks and systems, Processing and information, we may not be able to anticipate or to implement effective preventive and remedial measures against all data security and privacy threats. Our security measures may not be adequate to prevent or detect service interruption, system failure data loss or theft, or other material adverse consequences. No security solution, strategy or measures can address all possible security threats. Our applications, systems, networks, software and physical facilities could have material vulnerabilities, be breached or personal or confidential information could be otherwise compromised due to employee error or malfeasance, if, for example, third parties attempt to fraudulently induce our personnel or our customers to disclose information or usernames and/or passwords, or otherwise compromise the security of our networks, systems and/or physical facilities. We cannot be certain that we will be able to address any such vulnerabilities, in whole or part, and there may be delays in developing and deploying patches and other remedial measures to adequately address vulnerabilities, and taking such remedial steps could adversely impact or disrupt our operations. We expect similar issues to arise in the future as our mobile application is more widely adopted, and as we continue to expand the features and functionality of our mobile application.</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3220"/>
                <wp:effectExtent l="0" t="0" r="0" b="0"/>
                <wp:wrapNone/>
                <wp:docPr id="191" name="Frame6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9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67"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7"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result in reputational harm, costly litigation (including class action litigation), material contract breaches, liability, settlement costs, loss of sales, regulatory scrutiny, actions or investigations, a loss of confidence in our business, systems and Processing, a diversion of management’s time and attention, and significant fines, penalties, assessments, fees and expenses.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security incident or other interruption could disrupt our ability (or that of third parties upon whom we rely) to process payments. We may expend significant resources or modify our business activities to try to protect against such security incidents. Certain data privacy and security obligations may require us to implement and maintain specific security measures, industry-standard or reasonable security measures to protect our information technology networks and systems and sensitive information.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costs to respond to a security incident and/or to mitigate any security vulnerabilities that may be identified could be significant,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 Additionally, most jurisdictions have enacted laws requiring companies to notify individuals, regulatory authorities, and others of security breaches involving certain types of data.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not have adequate insurance coverage for handling security incidents or breaches, including fines, judgments, settlements, penalties, costs, attorney fees and other impacts that arise out of incidents or breaches.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privacy risks are likely to increase as we continue to expand, grow our customer base, and process, store, and transmit increasingly large amounts of personal and/or sensitive data.</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Pandemics or disease outbreaks such as the COVID-19 pandemic have had, and may continue to have, an effect on our business and results of operations.</w:t>
      </w:r>
    </w:p>
    <w:p>
      <w:pPr>
        <w:pStyle w:val="TextBody"/>
        <w:spacing w:lineRule="auto" w:line="288" w:before="0" w:after="180"/>
        <w:jc w:val="both"/>
        <w:rPr/>
      </w:pPr>
      <w:r>
        <w:rPr>
          <w:rFonts w:ascii="Arial;sans-serif" w:hAnsi="Arial;sans-serif"/>
          <w:b w:val="false"/>
          <w:color w:val="131E29"/>
          <w:sz w:val="20"/>
        </w:rPr>
        <w:t xml:space="preserve">Pandemics or disease outbreaks such as the COVID-19 pandemic have impacted and are likely to continue to impact customer traffic at our Dutch Bros shops and may make it more difficult to staff our shops and, in more severe cases, may cause a temporary inability to obtain supplies and increase commodity costs. </w:t>
      </w:r>
      <w:r>
        <w:rPr>
          <w:rFonts w:ascii="Arial;sans-serif" w:hAnsi="Arial;sans-serif"/>
          <w:b w:val="false"/>
          <w:color w:val="131E29"/>
          <w:sz w:val="20"/>
          <w:highlight w:val="white"/>
        </w:rPr>
        <w:t xml:space="preserve">The COVID-19 pandemic continues to evolve rapidly, and while we continue to monitor it closely, the extent of the impact of the COVID-19 pandemic on our business, operations and development timelines and plans remains uncertain and will depend on future developments that cannot be predicted at this time. Such developments include the continued spread of the Delta and Omicron variants in the U.S. and other countries and the potential emergence of other variants that may prove especially contagious or virulent, the effectiveness of actions taken globally to contain and treat the disease, including the rate at which vaccinations (including boosters to vaccinations) are made available,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3220"/>
                <wp:effectExtent l="0" t="0" r="0" b="0"/>
                <wp:wrapNone/>
                <wp:docPr id="194" name="Frame6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9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8"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8"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highlight w:val="white"/>
        </w:rPr>
      </w:pPr>
      <w:r>
        <w:rPr>
          <w:rFonts w:ascii="Arial;sans-serif" w:hAnsi="Arial;sans-serif"/>
          <w:b w:val="false"/>
          <w:color w:val="131E29"/>
          <w:sz w:val="20"/>
          <w:highlight w:val="white"/>
        </w:rPr>
        <w:t>the percentage of the population that becomes vaccinated and the effectiveness of the vaccines against Delta, Omicron or other SARS-CoV-2 variants. The COVID-19 has impacted all global economies, and in the United States has resulted in varying levels of restrictions and shutdowns implemented by national, state, and local authorities.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Even though we have been deemed an “essential business” to date during this COVID-19 pandemic and have been allowed to remain in operation, even while some of our competitors were not, there is no guarantee that in the event of a future pandemic or resurgence of the COVID-19 pandemic that we will receive the same designation. Regardless of our status as an essential business during the COVID-19 pandemic, our operations have been and we expect will be disrupted when employees or employees of our franchise partners were suspected of having COVID-19 or other illnesses since this required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COVID-19 pandemic and mitigation measures have also had an adverse impact on global economic conditions generally, which have had an adverse effect on our business and financial condition. Our sales and operating results may be affected by uncertain or changing economic and market conditions arising in connection with and in response to the COVID-19 pandemic, including prolonged periods of high unemployment, inflation, deflation, prolonged weak consumer demand, a decrease in consumer discretionary spending, political instability or other changes.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This has led to, and may continue to lead to, write-offs of amounts we have currently due from our franchise partners beyond amounts we have reserved, as well as decreased future collections from franchise partners. Additionally, in certain instances, we have offered grace periods for certain near-term payments due to us by our franchise partners who needed more access to capital and were in good standing with Dutch Bros. If we need to extend such grace periods again in the future, it will negatively impact our cash flows in the near-term and there is no guarantee that our franchise partners will ultimately pay amounts due. Additionally, our franchise partners may not be able to make payments to landlords, distributors and key suppliers, as well as payments to service any debt they may have outstanding. Franchise partners’ financial distress has also led to, and may continue to lead to, permanent shop closures and delayed or reduced new franchise partners development which would further harm our results and liquidity going forward. Further, in some cases, we are contingently liable for franchise partner lease or supplier obligations, and a failure by a franchise partner to perform its obligations under such lease could result in direct payment obligations for us.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do not yet know the full extent of potential delays or impacts on our business, operations or the global economy as a whole. While the spread of COVID-19 may eventually be contained or mitigated, we do not yet know how our business, our customers or our franchise partners will operate in a post COVID-19 environment. In addition, new strains and variants of the virus have caused a resurgence and an increase in reported infection rates, particularly in areas with lower vaccination rates, which may impact the general economic recovery. There is no guarantee that a future outbreak of this or any other widespread epidemics will not occur, or that the global economy will recover, either of which could seriously harm our business fully recover. The ultimate impact of the COVID-19 pandemic or a similar health epidemic on our business, operations or the global economy as a whole remains highly uncertain.</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3220"/>
                <wp:effectExtent l="0" t="0" r="0" b="0"/>
                <wp:wrapNone/>
                <wp:docPr id="197" name="Frame6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9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9" descr=""/>
                                          <pic:cNvPicPr>
                                            <a:picLocks noChangeAspect="1" noChangeArrowheads="1"/>
                                          </pic:cNvPicPr>
                                        </pic:nvPicPr>
                                        <pic:blipFill>
                                          <a:blip r:embed="rId7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9" descr=""/>
                                    <pic:cNvPicPr>
                                      <a:picLocks noChangeAspect="1" noChangeArrowheads="1"/>
                                    </pic:cNvPicPr>
                                  </pic:nvPicPr>
                                  <pic:blipFill>
                                    <a:blip r:embed="rId7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Our Brands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success depends substantially on the value of our brands and failure to preserve their value could have a negative impact on our financial results.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depends in large part upon our and our franchise partners’ ability to maintain and enhance our corporate reputation and the value and perception of our brands.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 stewardship, including with respect to environmental sustainability matters, and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63220"/>
                <wp:effectExtent l="0" t="0" r="0" b="0"/>
                <wp:wrapNone/>
                <wp:docPr id="200" name="Frame6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0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0"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0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0"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may not be able to adequately protect our intellectual property, including trademarks, trade names, and service marks, which, in turn, could harm the value of our brand and adversely affect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trademark, copyright, and trade secret laws, as well as license agreements, nondisclosure agreements, and confidentiality and other contractual provisions to protect our intellectual property. Nevertheless, our competitors may develop similar menu items and concepts, and adequate remedies may not be available in the event of an unauthorized use or disclosure of our trade secrets and other intellectual property.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U.S. trademark applications will be approved in a timely manner or at all, or that such registrations will effectively protect our brand names and trademarks.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steps we have taken to protect our intellectual property in the United States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brands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also from time to time be required to institute litigation to enforce our trademarks, service marks and other intellectual property. Such litigation could result in substantial costs and diversion of resources and could negatively affect our sales, profitability and prospects regardless of whether we can successfully enforce our rights.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Third parties may oppose our trademark and service mark applications, or otherwise challenge our use of the trademarks and service marks. In the event that these or other intellectual property rights are successfully challenged, we could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 party intellectual property that we use or wish to use in our business (whether or not asserted against us in litigation), we may not be able to enter into licensing or other arrangements with the owner of such intellectual property at a reasonable cost or on reasonable terms.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63220"/>
                <wp:effectExtent l="0" t="0" r="0" b="0"/>
                <wp:wrapNone/>
                <wp:docPr id="203" name="Frame6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71" descr=""/>
                                          <pic:cNvPicPr>
                                            <a:picLocks noChangeAspect="1" noChangeArrowheads="1"/>
                                          </pic:cNvPicPr>
                                        </pic:nvPicPr>
                                        <pic:blipFill>
                                          <a:blip r:embed="rId7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0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1" descr=""/>
                                    <pic:cNvPicPr>
                                      <a:picLocks noChangeAspect="1" noChangeArrowheads="1"/>
                                    </pic:cNvPicPr>
                                  </pic:nvPicPr>
                                  <pic:blipFill>
                                    <a:blip r:embed="rId7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or our franchise partners are unable to protect our customers’ credit and debit card data or confidential information in connection with process the same or confidential employee information, we could be exposed to data loss, litigation, liability and reputational damage.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currently accept payments using credit cards and debit cards and, as such, are subject to payment card association operating rules and certification requirements, including the Payment Card Industry Data Security Standard, which is a security standard applicable to companies like ours that collect, store or transmit certain data regarding credit and debit cards, holders and transactions. We are also subject to rules governing electronic funds transfers.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3220"/>
                <wp:effectExtent l="0" t="0" r="0" b="0"/>
                <wp:wrapNone/>
                <wp:docPr id="206" name="Frame6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0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72"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0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2"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Risks Related to People and Culture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*Changes in the availability of and the cost of labor could harm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could be harmed by increases in labor costs, including those increases triggered by inflation, regulatory actions regarding wages, scheduling and benefits, increased health care and workers’ compensation insurance costs, which, in a retail business such as ours, are some of our most significant costs. In particular, our broistas are paid wage rates at or based on the applicable federal or state minimum wage, and increases in the applicable minimum wage have in the past and will increase labor costs. From time to time, legislative proposals are made to increase the minimum wage at the federal or state level.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expect to increase prices in order to fully pass increased labor or commodity costs on to customers, as we believe such price increases would negatively impact our brand and consumer loyalty. If we do not increase prices to cover increased labor or commodity costs, this is likely to result in lower revenue, and may also reduce margins.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due to the COVID-19 pandemic, we could experience a shortage of labor for shop positions as concern over exposure to COVID-19 and other factors could decrease the pool of available qualified talent for key functions. In addition, our wages and benefits programs, combined with the challenging conditions due to the COVID-19 pandemic, may be insufficient to attract and retain the best talent.</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depend on our executive officers and other key employees, and the loss of one or more of these employees or an inability to attract and retain other highly skilled employees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depends largely upon the continued services of our executive officers and other key employees, and the hiring and retention of additional executives and other key personnel. We rely on our leadership team in the areas of marketing, sales, customer experience, and selling, general and administrative. From time to time, we expect there will be changes in our executive management team resulting from the hiring or departure of executives, which could disrupt our business. The loss of one or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3220"/>
                <wp:effectExtent l="0" t="0" r="0" b="0"/>
                <wp:wrapNone/>
                <wp:docPr id="209" name="Frame7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73"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1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3"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 of our executive officers or key employees could harm our business. Changes in our executive management team may also cause disruptions in, and harm to,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Unionization activities may disrupt our operations and affect our profitability.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Regulation and Litigation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Changes in statutory, regulatory, accounting, and other legal requirements, including changes in accounting principles generally accepted in the United States, could potentially impact our operating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3220"/>
                <wp:effectExtent l="0" t="0" r="0" b="0"/>
                <wp:wrapNone/>
                <wp:docPr id="212" name="Frame7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74"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1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4"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Government regulations and mandates related to COVID-19 prevention or response may have an negative impact on our business and profitability by exacerbating an already challenging labor market, increasing costs for testing and compliance, and causing labor shortages.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Federal regulators and some state governments in states that we do business in have indicated that they will be imposing vaccination and testing mandates for employers. While the exact contours of these rules and regulations are not yet known, if vaccinations are mandated it will negatively impact our ability to recruit and retain sufficient employees to meet our growth goals and operate existing shops in some areas. In addition, if these mandates impose the cost of testing of wages for time spent testing on employers this will have a material impact on our business and profitability.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Until the end of the COVID-19 pandemic, we may be made subject to additional burdensome employment and health and safety laws and regulations passed or adopted by legislatures and regulators in an effort to end the pandemic or mitigate its effects. Any future pandemics could have similar impacts.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Fluctuations in our tax obligations and effective tax rate and realization of our deferred tax assets may result in volatility of our operating results and adversely affect our financial condition.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the valuation of our deferred tax assets and liabilities;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expected timing and amount of the release of any tax valuation allowance;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tax laws, regulations or interpretations thereof; or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future earnings being lower than anticipated in jurisdictions where we have lower statutory tax rates and higher than anticipated earnings in jurisdictions where we have higher statutory tax rates.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many federal, state and local laws with which compliance is both costly and complex.</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beverage industry is subject to extensive federal, state and local laws and regulations, including the recently enacted comprehensive health care reform legislation discussed above, those relating to building and zoning requirements and those relating to the preparation and sale of food and beverages or consumption. Such laws and regulations are subject to change from time to time. The failure to comply with these laws and regulations could adversely affect our operating results. Typically, licenses, permits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3220"/>
                <wp:effectExtent l="0" t="0" r="0" b="0"/>
                <wp:wrapNone/>
                <wp:docPr id="215" name="Frame7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75"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1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5"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licensing sales and our relationships with our licensees.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3220"/>
                <wp:effectExtent l="0" t="0" r="0" b="0"/>
                <wp:wrapNone/>
                <wp:docPr id="218" name="Frame7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76"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6"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(and our vendors) are subject to stringent and changing laws, regulations, industry standards, contractual obligations, policies and other obligations related to data privacy and security. The actual or perceived failure by us, our customers or vendors to comply with such laws, regulations, industry standards, may harm our business, financial condition, results of operations and prospects.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Process personal information, confidential information and other information necessary to provide our products and service and ensure that they are delivered effectively, to operate our business, for legal and marketing purposes and for other business-related purposes. Our Processing activities may subject us to numerous data privacy and security obligations, such as various laws, regulations, guidance, industry standards, external and internal privacy and security policies, contracts, and other obligations that govern the Processing of personal information by us and on our behalf.</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Data privacy and regulation of privacy, information security and Processing has become a significant issue in the United States. The legal and regulatory framework for data privacy and security issues is rapidly evolving and is expected to increase our compliance costs and exposure to liability. There are numerous federal, state, local laws, orders, codes, regulations and regulatory guidance regarding privacy, information security and Processing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customers for Processing is obtained, could increase our costs and require us to modify our operations, possibly in a material manner, which we may be unable to complete and may limit our ability to store and process customer data and operate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Data Protection Laws are, and are likely to remain, uncertain for the foreseeable future, and our actual or perceived failure to address or comply with these laws could: increase our compliance and operational costs; limit our ability to market our products or services and attract new and retain current customers; limit or eliminate our ability to Process; expose us to regulatory scrutiny, actions, investigations, fines and penalties; result in reputational harm; lead to a loss of customers; reduce the use of our products or services; result in litigation and liability, including class action litigation; cause to incur significant costs, expenses and fees (including attorney fees); cause a material adverse impact to business operations or financial results, and; otherwise result in other material harm to our business (Adverse Data Protection Impact).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or may also be subject to the terms of our external and internal privacy and security policies, codes, representations, certifications, industry standards, publications and frameworks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(Data Protection Obligations).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strive to comply with applicable Data Protection Laws, Privacy Policies and Data Protection Obligations to the extent possible, but we may at times fail to do so, or may be perceived to have failed to do so. Moreover, despite our efforts, we may not be successful in achieving compliance if our employees, partners or vendors do not comply with applicable Data Protection Laws, Privacy Policies and Data Protection Obligations. For example, any failure by a third-party processor to comply with applicable Data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3220"/>
                <wp:effectExtent l="0" t="0" r="0" b="0"/>
                <wp:wrapNone/>
                <wp:docPr id="221" name="Frame7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2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77"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7"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Protection Laws, Privacy Policies and Data Protection Obligations could result in adverse effects, including inability to, or interruption in our ability to, operate our business and proceedings against us by governmental entities or others. We may be subject to, and suffer an Adverse Data Protection Impact if we fail (or are perceived to have failed) to comply with applicable Data Protection Laws, Privacy Policies and Data Protection Obligations, if our Privacy Policies are, in whole or part, found to be inaccurate, incomplete, deceptive, unfair or misrepresentative of our actual practices. In addition, any such failure or perceived failure could result in public statements against us by consumer advocacy groups, the media or others, which may cause us material reputational harm. Our actual or perceived failure to comply with Data Protection Laws, Privacy Policies and Data Protection Obligations could also subject us to litigation, claims, proceedings, actions or investigations by governmental entities, authorities or regulators, which could result in an Adverse Data Protection Impact, including required changes to our business practices, the diversion of resources and the attention of management from our business, regulatory oversights and audits, discontinuance of necessary Processing or other remedies that adversely affect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the United States, these include rules and regulations promulgated under the authority of the Federal Trade Commission, the Electronic Communications Privacy Act, the Computer Fraud and Abuse Act, the California Consumer Privacy Act (the CCPA) and other state and federal laws relating to data privacy and security. The CCPA provides individual privacy rights for California residents and places increased privacy and security obligations on covered businesses processing personal information. The CCPA requires covered businesses to provide new disclosures to California residents and provide such individuals with ways to opt-out of certain sales of personal information. The CCPA also provides a private right of action and statutory damages for violations (up to $7,500 per violation), including for data breaches. To the extent applicable to our business and operations, the CCPA may impact our business activities by increasing our compliance costs and potential liability with respect to personal information that we or third parties with whom we contract to provide services maintain about California residents. It is anticipated that the CCPA will be expanded on January 1, 2023, when the California Privacy Rights Act of 2020 (the CPRA) becomes operative. The CPRA will, among other things, establish a new California Privacy Protection Agency to implement and enforce the law. These Data Protection Laws (such as the CCPA and CPRA) exemplify the vulnerability of our business to the evolving regulatory environment related to personal information.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across the United States, laws and regulations governing data privacy and security continue to develop and evolve. For example, Virginia passed the Consumer Data Protection Act (CDPA), Colorado passed the Colorado Privacy Act (CPA) and Utah passed the Utah Consumer Privacy Act (UCPA), all of which become effective in 2023. In addition, data privacy and security laws have been proposed at the federal, state, and local levels in recent years, which could further complicate compliance efforts. . Compliance with the CPRA, the CCPA, the CDPA, the CPA, the UCPA and any newly enacted data privacy and security laws or regulations may be challenging and cost- and time-intensive, and may require us to modify our data processing practices and policies and to incur substantial costs and potential liability in an effort to comply with such legislation. The Data Protection Laws, Privacy Policies and Data Protection Obligations to which we are subject may significantly affect our business activities and many of these obligations may contain ambiguous provisions creating uncertainty. Compliance with the requirements imposed by such Data Protection Laws and Data Protection Obligations may require us to revise our business practices, allocate more resources to data privacy and security, and implement new technologies. Such efforts may result in significant costs to our business. Noncompliance could result in Adverse Data Protection Impact, including proceedings against us by governmental and regulatory entities, collaborators, individuals or others.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such as the CCPA, require our customers to impose specific contractual restrictions on their service providers. Additionally, we may also be subject to the Payment Card Industry Data Security Standard (PCI DSS). The PCI DSS requires companies to adopt certain measures to ensure the security of cardholder information, including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63220"/>
                <wp:effectExtent l="0" t="0" r="0" b="0"/>
                <wp:wrapNone/>
                <wp:docPr id="224" name="Frame7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2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78"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8"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noncompliance.We rely on a variety of marketing techniques and practices, including email and social media marketing, online targeted advertising, and cookie-based Processing, to sell our products and services and to attract new customers, and we, and our vendors, are subject to various current and future Data Protection Laws and Data Protection Obligations that govern marketing and advertising practices. For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Additionally,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Additionally, some providers of consumer devices, web browsers and application shops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Additionally, Google has announced that it intends to phase out third-party cookies in its Chrome browser, which could make it more difficult for us to target advertisements. Individuals may increasingly resist our collecting, using, and sharing of personal information to deliver targeted advertising. Individuals are becoming more aware of options related to consent, “do not track” mechanisms, and “ad-blocking” software, any of which could materially impact our ability to collect personal information and deliver relevant promotions or media. As a result, we may be required to change the way we market our products. Any of these developments could increase our costs of operations and limit our ability to acquire new customers on cost-effective terms, which, in turn, could have an adverse effect on our business, financial condition, results of operations and prospects.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and our franchise partners are subject to extensive government regulations that could result in claims leading to increased costs and restrict our ability to operate franchises.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thereby increasing the possibility of Dutch Bros being held liable for our franchise partners’ employment practices.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3220"/>
                <wp:effectExtent l="0" t="0" r="0" b="0"/>
                <wp:wrapNone/>
                <wp:docPr id="227" name="Frame7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2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79"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9"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Beverage and restaurant companies have been the target of class action lawsuits and other proceedings that are costly, divert management attention and, if successful, could result in our payment of substantial damages or settlement costs.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The outcome of litigation, particularly class action and regulatory actions, is difficult to assess or quantify. In recent years, beverage and restaurant companies have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While we have not been a party to any of these types of lawsuits in the past, there can be no assurance that we will not be named in any such lawsuit in the future or that we would not be required to pay substantial expenses and/or damages.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beverage and restaurant industry has also been subject to a growing number of claims that their menus and actions have led to the obesity of certain of their customers.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we and our franchise partners are involved in disputes with neighbors, government officials and landlords over the lines of cars attempting to visit our shops. These disputes have led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3220"/>
                <wp:effectExtent l="0" t="0" r="0" b="0"/>
                <wp:wrapNone/>
                <wp:docPr id="230" name="Frame7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3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0"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3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0"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beverage industry in general.</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Our Organizational Structure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anticipate that Dutch Bros OpCo will continue to be treated as a partnership for U.S. federal income tax purposes and, as such, generally will not be subject to any entity-level U.S. federal income tax. Instead, taxable income will be allocated to holders of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Class A common units for shares of Class A common stock or cash.</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intend, through Dutch Bros Inc.’s role as managing member, to cause Dutch Bros OpCo to make cash distributions to the holders of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3220"/>
                <wp:effectExtent l="0" t="0" r="0" b="0"/>
                <wp:wrapNone/>
                <wp:docPr id="233" name="Frame7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3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81"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3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1"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Class A common units.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No adjustments to the exchange ratio of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Class A common units or lends such cash to Dutch Bros OpCo, this may result in shares of Class A common stock increasing in value relative to the Class A common units. The holders of Class A common units may benefit from any value attributable to such cash balances if they receive shares of Class A common stock on redemption or exchange of their Class A common units or if Dutch Bros Inc. acquires additional Class A common units (whether from Dutch Bros OpCo or from holders of Class A common units) at a price based on the market price of our Class A common stock at the time.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*The Tax Receivable Agreements with the Continuing Members and Pre-IPO Blocker Holders require Dutch Bros Inc. to make cash payments to them in respect of certain tax benefits to which it may become entitled, and such payments may be substantial.</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connection with the IPO, Dutch Bros Inc. entered into two Tax Receivable Agreements. It entered into (i) the Exchange Tax Receivable Agreement with the Continuing Members and (ii) the Reorganization Tax Receivable Agreement with the Pre-IPO Blocker Holders.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Class A common units (including certain transactions in connection with the IPO) which tax basis is allocated to such redeemed or exchanged Class A common units acquired by Dutch Bros Inc., (ii) adjustments that will increase the tax basis of the tangible and intangible assets of the Dutch Bros OpCo and its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63220"/>
                <wp:effectExtent l="0" t="0" r="0" b="0"/>
                <wp:wrapNone/>
                <wp:docPr id="236" name="Frame7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3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82"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3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2"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subsidiaries as a result of Dutch Bros Inc.’s taxable acquisition of Class A common units from the Continuing Members in connection with the IPO and in connection with future redemptions or exchanges of Class A common units for shares of Class A common stock (or a corresponding amount of cash), (iii) disproportionate allocations (if any) of tax benefits to Dutch Bros Inc. under Section 704(c) of the Internal Revenue Code of 1986, as amended (the Code), as a result of Dutch Bros Inc.’s acquisition of other Class A common units from Dutch Bros OpCo and former members of Dutch Bros OpCo who are not Continuing Members in certain transactions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Class A common units or the Pre-IPO Blocker 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63220"/>
                <wp:effectExtent l="0" t="0" r="0" b="0"/>
                <wp:wrapNone/>
                <wp:docPr id="239" name="Frame8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83"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4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3"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 certain cases, payments under the Tax Receivable Agreements may be accelerated and/or significantly exceed the actual benefits Dutch Bros Inc. realizes in respect of the tax attributes subject to the Tax Receivable Agreements.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The acceleration of payments under the Tax Receivable Agreements in the case of certain changes of control may impair our ability to consummate change of control transactions or negatively impact the value received by owners of our Class A common stock.</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3220"/>
                <wp:effectExtent l="0" t="0" r="0" b="0"/>
                <wp:wrapNone/>
                <wp:docPr id="242" name="Frame8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84"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4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4"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Ownership of Our Class A Common Stock</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Additional stock issuances (including pursuant to the redemption of Class A common units from our Continuing Members) could result in significant dilution to our stockholders and cause the trading price of our Class A common stock to decline.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issue our capital stock or securities convertible into our capital stock from time to time in connection with a financing, acquisition, investments or otherwise (including pursuant to the redemption of Class A common units from our Continuing Members). Additional issuances of our stock will result in dilution to existing holders of our stock. Any such issuances could result in substantial dilution to our existing stockholders and cause the trading price of our Class A common stock to decline.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particular, following the issuance of shares of Class A common stock in connection with the redemption of Class A common units from our Continuing Members and the related cancellation of shares of our Class B common stock or Class C common stock, such shares of Class A common stock will have the same economic rights as other shares of Class A common stock.</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An active trading market for our Class A common stock may never develop or be sustained, and the trading price of our Class A common stock may be volatile, and you could lose all or part of your investment.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only recently completed our IPO, so there is a limited history regarding the public market and trading of our Class A common stock. We cannot predict the extent to which investor interest in us will lead to the development of an active trading market on that exchange or otherwise or how liquid that market might become. An active public market for our Class A common stock may not develop or be sustained. If an active public market does not develop or is not sustained, it may be difficult for you to sell your shares of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3220"/>
                <wp:effectExtent l="0" t="0" r="0" b="0"/>
                <wp:wrapNone/>
                <wp:docPr id="245" name="Frame8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85"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47"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5"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Class A common stock at a price at or above the price per share of the IPO or at a price that is attractive to you or at all. Further, an inactive market may also impair our ability to raise capital by selling shares of our Class A common stock and may impair our ability to enter into strategic collaborations or acquire companies or products by using our shares of Class A common stock as consideration. Likewise, the price of our Class A common stock is likely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price and volume fluctuations in the overall stock market from time to time;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volatility in the trading prices and trading volumes of competitors’ stocks;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operating performance and stock market valuations of other companies generally, or those in our industry in particular;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sales of shares of our Class A common stock by us or our stockholders, including the Continuing Members;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failure of securities analysts to maintain coverage of us, changes in financial estimates by securities analysts who follow our company, or our failure to meet these estimates or the expectations of investors;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announcements by us or our competitors of new products or services;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the public’s reaction to our press releases, other public announcements, and filings with the SEC;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rumors and market speculation involving us or other companies in our industry;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changes in our results of operations or fluctuations in our results of operations;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developments in our business, our competitors’ businesses or the competitive landscape generally;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litigation involving us, our industry or both, or investigations by regulators into our operations or those of our competitors;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actual or perceived privacy or data security incidents;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developments or disputes concerning our intellectual property or other proprietary rights;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announced or completed acquisitions of businesses, franchises or other assets by us or our competitors;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new laws or regulations or new interpretations of existing laws or regulations applicable to our business;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accounting standards, policies, guidelines, interpretations or principles;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any significant change in our management; and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general political and economic conditions and slow or negative growth of our markets.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3220"/>
                <wp:effectExtent l="0" t="0" r="0" b="0"/>
                <wp:wrapNone/>
                <wp:docPr id="248" name="Frame8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86"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6"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The multi-class structure of our common stock has the effect of concentrating voting control with Continuing Members, limiting your ability to influence corporate matters.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newly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the announced policies, our multi-class capital structure make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3220"/>
                <wp:effectExtent l="0" t="0" r="0" b="0"/>
                <wp:wrapNone/>
                <wp:docPr id="251" name="Frame8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5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8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Co-Founder and Sponsor have significant influence over us, which could limit your ability to influence the outcome of matters submitted to stockholders for a vote.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affiliates of our Co-Founder beneficially own approximately 74.8% of the combined voting power of our Class A common stock, Class B common stock, Class C common stock and Class D common stock, and our Sponsor, directly and through affiliated investment funds, beneficially owns approximately 20.6%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Co-Founder and Sponsor own approximately 67.2% of the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 accordance with their ownership of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tax or other considerations even where no similar benefit would accrue to us.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3220"/>
                <wp:effectExtent l="0" t="0" r="0" b="0"/>
                <wp:wrapNone/>
                <wp:docPr id="254" name="Frame8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5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88"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8"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Certain affiliates of our Co-Founder beneficially own approximately 74.8%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 board that is composed of a majority of “independent directors,” as defined under the New York Stock Exchange rules;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 compensation committee that is composed entirely of independent directors;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director nominations be made, or recommended to the full board of directors, by its independent directors, or by a nominations/governance committee that is composed entirely of independent directors.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intend to continue to utilize these exemptions until we are no longer eligible for them. Accordingly, you will not have the same protections afforded to stockholders of companies that are subject to all the corporate governance requirements of the New York Stock Exchange.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Certain of our directors have relationships with our Sponsor, which may cause conflicts of interest with respect to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Two of our directors are affiliated with our Sponsor. Our Sponsor-affiliated directors have fiduciary duties to us and, in addition, have duties to our Sponsor. As a result, these directors may face real or apparent conflicts of interest with respect to matters affecting both us and our Sponsor, whose interests may be adverse to ours in some circumstances.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*Future sales of shares of our Class A or Class D common stock cause the market price of our Class A common stock to decline.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Subject to the terms of the Third Dutch Bros OpCo Agreement, an aggregate of 110,084,772 Class A common units may be redeemed in exchange for shares of our Class A common stock and an aggregate of 14,061,817 shares of Class D common stock may be converted into shares of our Class A common stock. Any shares we issue upon redemption or exchange of Class A common units or upon the conversion of shares of Class D common stock, as applicable, will be “restricted securities” as defined in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3220"/>
                <wp:effectExtent l="0" t="0" r="0" b="0"/>
                <wp:wrapNone/>
                <wp:docPr id="257" name="Frame8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5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89"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89"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Rule 144 and may not be sold in the absence of registration under the Securities Act unless an exemption from registration is available, including the exemptions contained in Rule 144. We, our executive officers, our directors, the holders of all our Class D common stock, and the holders of substantially all our outstanding OpCo Units have agreed, subject to certain exceptions, not to dispose of or hedge any shares of our Class A common stock (including shares issued upon redemption or exchange of Class A common units or upon conversion of shares of Class D common stock, as applicable) or securities convertible into or exchangeable for shares of our Class A common stock, including our Class B, Class C and Class D common stock, for the lock-up period following the date of our IPO, except with certain underwriters’ prior written consent.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Upon the expiration of the lock-up agreements described above, all such shares will be eligible for resale in the public market, subject, in the case of shares held by our affiliates, to volume, manner of sale, and other limitations under Rule 144.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trading price and trading volume could decline if securities or industry analysts do not publish research about our business, or if they publish unfavorable research.</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As a newly public company, we incur increased costs and demands upon management as a result of complying with the laws and regulations affecting public companies in the United States, which may harm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a public company listed in the United States, we have incurred and will incur significant additional legal, accounting, and other expenses. In addition, changing laws, regulations, and standards relating to corporate governance and public disclosure, including regulations implemented by the SEC and the New York Stock Exchange,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selling,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These rules and regulations could also make it more difficult for us to attract and retain qualified persons to serve on our board of directors or our board committees or as executive officers. Our management and other personnel devote a substantial amount of time to these compliance initiatives and, as a result, management’s attention may be diverted from other business concerns, which could harm our business and operating results. As we hire more employees to aid us in compliance with these requirements, our costs and expenses may increase.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are implementing new internal controls and procedures and hiring accounting or internal audit staff, which will require us to incur additional expenses and harm our results of operations.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3220"/>
                <wp:effectExtent l="0" t="0" r="0" b="0"/>
                <wp:wrapNone/>
                <wp:docPr id="260" name="Frame8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6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90"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6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0"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We are an “emerging growth company,” and we intend to comply only with reduced disclosure requirements applicable to emerging growth companies. As a result, our Class A common stock could be less attractive to investors.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an “emerging growth company,” as defined in the JOBS Act, and for as long as we continue to be an emerging growth company, we are permitted by SEC rules and plan to take advantage of exemptions from various reporting requirements applicable to other public companies but not to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earlier of (1) the last day of the fiscal year (a) following the fifth anniversary of the completion of the IPO, (b) in which we have total annual gross revenue of over $1.07 billion or (c) in which we are deemed to be a large accelerated filer, which means the market value of our Class A common stock held by non-affiliates exceeds $700 million as of the prior June 30 and (2) the date on which we have issued more than $1.0 billion in non-convertible debt during the prior three-year period. We cannot predict if investors will find our Class A common stock less attractive because we choose to rely on these exemptions. If some investors find our Class A common stock less attractive as a result of any choices to reduce future disclosure, there may be a less active trading market for our Class A common stock, and our stock price may be more volatile. </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General Risks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results may fluctuate significantly and may not meet our expectations or those of investors or securities analysts.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consumer tastes and nutritional and dietary trends;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successful identification and acquisition of appropriate sites and timely develop and expand our number of profitable shops;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protection of our brand and reputation;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dependence on a small number of suppliers, including for roasting;</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expectations regarding our future operating and financial performance;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size of our addressable markets, market share, and market trends;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effective management and continued growth of our workforce and operations;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attract, retain, and motivate skilled personnel, including key members of our senior management;</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generation of projected same shop sales growth;</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3220"/>
                <wp:effectExtent l="0" t="0" r="0" b="0"/>
                <wp:wrapNone/>
                <wp:docPr id="263" name="Frame8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6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91"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6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1"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sufficiency of our cash, cash equivalents, and investments to meet our liquidity needs;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dependence on long-term non-cancelable leases;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employees and the status of our workers;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inability to maintain good relationships with our franchising partners;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timing and amount of deferred expenses related to the maintenance of company-operated shops;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effects of seasonal trends on our results of operations;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vulnerability to global financial market conditions, including the continuing effects from the recent recession;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adverse weather conditions in local or regional areas where our shops are located;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realization of any benefit from our organizational structure net of expenses associated with the same (including our obligations under the Tax Receivable Agreements).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outstanding indebtedness could materially adversely affect our financial condition and our ability to operate our business, pursue our growth strategy, and react to changes in the economy or industry.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2022, we had $100.0 million and $27.7 million in term loan and revolving loans outstanding, respectively. In addition, subject to certain restrictions under the 2022 Credit Facility (as defined in NOTE 9 — Debt to the condensed consolidated financial statements located in Part I, Item 1 of this Form 10-Q), we may incur additional debt.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debt could have important consequences to you, including the following:</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it may be difficult for us to satisfy our obligations, including debt service requirements under our outstanding debt, resulting in possible defaults on and acceleration of such indebtedness;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obtain additional financing for working capital, capital expenditures, debt service requirements or other general corporate purposes may be impaired;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 are more vulnerable to economic downturns and adverse industry conditions and our flexibility to plan for, or react to, changes in our business or industry is more limited;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capitalize on business opportunities and to react to competitive pressures, as compared to our competitors, may be compromised due to our level of debt;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borrow additional funds or to refinance debt may be limited.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all of our debt under our 2022 Credit Facility bears interest at variable rates. If these rates were to increase significantly, whether because of an increase in market interest rates or a decrease in our creditworthiness, our ability to borrow additional funds may be reduced and the risks related to our substantial debt would intensify.</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3220"/>
                <wp:effectExtent l="0" t="0" r="0" b="0"/>
                <wp:wrapNone/>
                <wp:docPr id="266" name="Frame8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6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92"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6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2"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*Restrictions imposed by our outstanding indebtedness and any future indebtedness may limit our ability to operate our business, execute our growth strategy, and finance our future operations or capital needs or engage in other business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covenants under our 2022 Credit Facility restrict our ability, among other things, to:</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incur additional debt;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grant liens on assets;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sell or dispose of assets;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merge with or acquire other companies, or make other investments;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enter into sale and leaseback transactions and swap agreements;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liquidate or dissolve ourselves; engage in businesses that are not in a related line of business; or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pay dividends or make other distribution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result of these restrictions, we may be: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limited in how we conduct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unable to raise additional debt or equity financing to operate during general economic or business downturns; or</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unable to compete effectively or to take advantage of new business opportunities.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restrictions may affect our ability to grow in accordance with our strategy.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3220"/>
                <wp:effectExtent l="0" t="0" r="0" b="0"/>
                <wp:wrapNone/>
                <wp:docPr id="269" name="Frame9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93"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7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3"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Prior to the IPO, we were a private company and had limited accounting and financial reporting personnel and other resources with which to address our internal controls and related procedures. In connection with the audit of our consolidated financial statements as of and for the years ended December 31, 2021, 2020, and 2019, our management and auditors determined that a material weakness existed in the internal control over financial reporting due to limited accounting department personnel capable of appropriately accounting for complex transactions we undertake. Additionally, there were insufficient controls over the review and approval of manual journal entries, including appropriate segregation of duties. Further, as a result of the limited accounting department personnel we were unable to maintain an effective risk assessment process necessary to identify all relevant risks of material misstatement and to evaluate the implications of relevant risks on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 While we continue to take remediation steps, including hiring additional personnel subsequent to December 31, 2020, initiating detailed accounting policies review, and commencing an entity-wide risk assessment process, we continue to have a limited number of personnel with the level of GAAP accounting knowledge, specifically related to complex accounting transactions, commensurate with our financial reporting requirements. As such, we continued to have material weaknesses in our control over financial reporting as of March 31,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If we fail to remediate our existing material weaknesses or identify new material weaknesses in our internal controls over financial reporting, if we are unable to comply with the requirements of Section 404 of the Sarbanes-Oxley Act in a timely manner, if we are unable to conclude that our internal control over financial reporting is effective, or if our independent registered public accounting firm is unable to express an opinion as to the effectiveness of our internal controls over financial reporting when we are no longer an emerging growth company,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3220"/>
                <wp:effectExtent l="0" t="0" r="0" b="0"/>
                <wp:wrapNone/>
                <wp:docPr id="272" name="Frame9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94"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7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4"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may engage in merger and acquisition activities or strategic partnerships, which would require significant management attention, disrupt our business, dilute stockholder value, and adversely affect our business, results of operations, and financial condition.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3220"/>
                <wp:effectExtent l="0" t="0" r="0" b="0"/>
                <wp:wrapNone/>
                <wp:docPr id="275" name="Frame9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95"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7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5"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may need additional capital, and we cannot be sure that additional financing will be available.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Historically, we have financed our operations and capital expenditures primarily through sales of Dutch Bros OpCo Units that are convertible into our capital stock. In the future, we may raise additional capital through additional equity or debt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derivative claim or cause of action brought on our behalf;</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for a breach of fiduciary duty owed by any of our current or former directors, officers or other employees to us or our stockholders;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any claim or cause of action against us or any of our current or former directors, officers or other employees arising out of or pursuant to any provision of the Delaware General Corporation Law, our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3220"/>
                <wp:effectExtent l="0" t="0" r="0" b="0"/>
                <wp:wrapNone/>
                <wp:docPr id="278" name="Frame93"/>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96"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6"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amended and restated certificate of incorporation or our amended and restated bylaws (as each may be amended from time to time);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as to which the Delaware General Corporation Law confers jurisdiction to the Court of Chancery of the State of Delaware;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governed by the internal-affairs doctrine.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any person or entity holding, owning or otherwise acquiring any interest in any of our securities shall be deemed to have notice of and consented to these provisions.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Provisions in our corporate charter documents and under Delaware law may prevent or frustrate attempts by our stockholders to change our management or hinder efforts to acquire a controlling interest in us, and the market price of our Class A common stock may be lower as a result.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charter documents also contain other provisions that could have an anti-takeover effect, such as: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permitting the board of directors to establish the number of directors and fill any vacancies and newly created directorships;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providing that directors may only be removed pursuant to the provisions of Section 141(k) of the Delaware General Corporation Law;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3220"/>
                <wp:effectExtent l="0" t="0" r="0" b="0"/>
                <wp:wrapNone/>
                <wp:docPr id="281" name="Frame94"/>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8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97"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7"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prohibiting cumulative voting for directors;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the ability of the holders of our Class C common stock, voting as a separate class, to elect up to two directors, subject to the limitations set forth in our amended and restated certificate;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requiring super-majority voting to amend some provisions in our amended and restated bylaws;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authorizing the issuance of “blank check” preferred stock that our board of directors could use to implement a stockholder rights plan;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eliminating the ability of stockholders to call special meetings of stockholders;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multi-class common stock structure as described above.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do not intend to pay dividends for the foreseeable future.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Class A common stock and our Class D common stock is currently limited by the covenants of our Senior Secured Credit Facility and may be further restricted by the terms of any future debt or preferred securities. Holders of our Class B common stock and Class C common stock do not have any right to receive dividends, or to receive a distribution upon a liquidation, dissolution or winding up of Dutch Bros Inc., with respect to their Class B common stock or Class C common stock. Accordingly, stockholders must rely on sales of their Class A common stock after price appreciation, which may never occur, as the only way to realize any future gains on their investments.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*Catastrophic events may disrupt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Labor discord or disruption, geopolitical events, social unrest, war, including repercussions of the recent military conflict between Russia and Ukraine,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the COVID-19 pandemic, including the reactions of governments, markets, and the general public, may result in a number of adverse consequences for our business, operations, and results of operations, many of which are beyond our control. 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3220"/>
                <wp:effectExtent l="0" t="0" r="0" b="0"/>
                <wp:wrapNone/>
                <wp:docPr id="284" name="Frame95"/>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8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98"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8"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*Economic and business factors that are largely beyond our control may adversely affect consumer behavior and the results of our operations.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dependent upon consumer discretionary spending, which may be affected by general economic conditions that are beyond our control. For example, increasing inflation, international, domestic and regional economic conditions, consumer income levels, financial market volatility, a slow or stagnant pace of economic growth, rising energy costs, rising interest rates, social unrest, and governmental, political and budget concerns or divisions may have a negative effect on consumer confidence and discretionary spending. For example, the recent rapid rise in inflation may prompt consumers to decrease discretionary spending. A significant decrease in our customer traffic or average value per transaction without a corresponding decrease in costs would put downward pressure on margins and would negatively impact our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the QSR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2. UNREGISTERED SALES OF EQUITY SECURITIES AND USE OF PROCEEDS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Recent Sales of Unregistered Securities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March 10, 2022, pursuant to Section 3(a)(9) of the Securities Act of 1933, we made an unregistered issuance of our Class A common stock via exchange of approximately 3.6 million Dutch Bros OpCo Class A common units held by our Sponsor for shares of our Class A common stock on a one-for-one basis. Such shares of Class A common stock were then sold directly by our Sponsor pursuant to Rule 144 of the Securities Act of 1933, and no proceeds were received by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Issuer Purchases of Equity Securities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 summarizes such purchases of Class A common stock during the three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409"/>
        <w:gridCol w:w="300"/>
        <w:gridCol w:w="305"/>
        <w:gridCol w:w="109"/>
        <w:gridCol w:w="109"/>
        <w:gridCol w:w="109"/>
        <w:gridCol w:w="478"/>
        <w:gridCol w:w="459"/>
        <w:gridCol w:w="460"/>
        <w:gridCol w:w="109"/>
        <w:gridCol w:w="109"/>
        <w:gridCol w:w="109"/>
        <w:gridCol w:w="441"/>
        <w:gridCol w:w="1351"/>
        <w:gridCol w:w="228"/>
        <w:gridCol w:w="109"/>
        <w:gridCol w:w="109"/>
        <w:gridCol w:w="109"/>
        <w:gridCol w:w="661"/>
        <w:gridCol w:w="661"/>
        <w:gridCol w:w="663"/>
        <w:gridCol w:w="109"/>
        <w:gridCol w:w="109"/>
        <w:gridCol w:w="109"/>
        <w:gridCol w:w="723"/>
        <w:gridCol w:w="723"/>
        <w:gridCol w:w="1035"/>
      </w:tblGrid>
      <w:tr>
        <w:trPr/>
        <w:tc>
          <w:tcPr>
            <w:tcW w:w="4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rial;sans-serif" w:hAnsi="Arial;sans-serif"/>
                <w:b/>
                <w:color w:val="131E29"/>
                <w:sz w:val="20"/>
              </w:rPr>
              <w:t xml:space="preserve">Total Number of Shares Purchased </w:t>
            </w:r>
            <w:r>
              <w:rPr>
                <w:rFonts w:ascii="Arial;sans-serif" w:hAnsi="Arial;sans-serif"/>
                <w:b/>
                <w:color w:val="131E29"/>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Maximum Number (or Approximate Dollar Value) of Shares that May Yet Be Purchased Under the Plans or Programs</w:t>
            </w:r>
          </w:p>
        </w:tc>
      </w:tr>
      <w:tr>
        <w:trPr/>
        <w:tc>
          <w:tcPr>
            <w:tcW w:w="1014"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January 1 - 31, 2022</w:t>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74,394 </w:t>
            </w:r>
          </w:p>
        </w:tc>
        <w:tc>
          <w:tcPr>
            <w:tcW w:w="460"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52.42 </w:t>
            </w:r>
          </w:p>
        </w:tc>
        <w:tc>
          <w:tcPr>
            <w:tcW w:w="228"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663"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35"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February 1 - 28,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4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6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March 1 - 31,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46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2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66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35"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r>
        <w:trPr/>
        <w:tc>
          <w:tcPr>
            <w:tcW w:w="10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In connection with the vesting of restricted stock units granted pursuant to Dutch Bros Inc. 2021 Equity Incentive Plan, as amended, shares of Class A common stock are delivered to Dutch Bros by employees to satisfy tax withholding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3220"/>
                <wp:effectExtent l="0" t="0" r="0" b="0"/>
                <wp:wrapNone/>
                <wp:docPr id="287" name="Frame96"/>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8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99"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99"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3. DEFAULTS UPON SENIOR SECURITIES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4. MINE SAFETY DISCLOSURES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5. OTHER INFORMATION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3220"/>
                <wp:effectExtent l="0" t="0" r="0" b="0"/>
                <wp:wrapNone/>
                <wp:docPr id="290" name="Frame97"/>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9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00"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92"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0"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v:textbox>
              </v:rect>
            </w:pict>
          </mc:Fallback>
        </mc:AlternateContent>
      </w:r>
    </w:p>
    <w:p>
      <w:pPr>
        <w:pStyle w:val="TextBody"/>
        <w:spacing w:lineRule="auto" w:line="288" w:before="0" w:after="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0"/>
        <w:rPr>
          <w:rFonts w:ascii="Arial;sans-serif" w:hAnsi="Arial;sans-serif"/>
          <w:b/>
          <w:color w:val="D7282F"/>
          <w:sz w:val="28"/>
        </w:rPr>
      </w:pPr>
      <w:r>
        <w:rPr>
          <w:rFonts w:ascii="Arial;sans-serif" w:hAnsi="Arial;sans-serif"/>
          <w:b/>
          <w:color w:val="D7282F"/>
          <w:sz w:val="28"/>
        </w:rPr>
        <w:t>ITEM 6. EXHIBITS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spacing w:lineRule="auto" w:line="288" w:before="0" w:after="60"/>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205" w:type="dxa"/>
        <w:jc w:val="left"/>
        <w:tblInd w:w="0" w:type="dxa"/>
        <w:tblCellMar>
          <w:top w:w="28" w:type="dxa"/>
          <w:left w:w="28" w:type="dxa"/>
          <w:bottom w:w="28" w:type="dxa"/>
          <w:right w:w="28" w:type="dxa"/>
        </w:tblCellMar>
      </w:tblPr>
      <w:tblGrid>
        <w:gridCol w:w="310"/>
        <w:gridCol w:w="272"/>
        <w:gridCol w:w="273"/>
        <w:gridCol w:w="109"/>
        <w:gridCol w:w="109"/>
        <w:gridCol w:w="109"/>
        <w:gridCol w:w="1447"/>
        <w:gridCol w:w="1249"/>
        <w:gridCol w:w="1262"/>
        <w:gridCol w:w="111"/>
        <w:gridCol w:w="111"/>
        <w:gridCol w:w="111"/>
        <w:gridCol w:w="176"/>
        <w:gridCol w:w="176"/>
        <w:gridCol w:w="177"/>
        <w:gridCol w:w="340"/>
        <w:gridCol w:w="261"/>
        <w:gridCol w:w="199"/>
        <w:gridCol w:w="220"/>
        <w:gridCol w:w="220"/>
        <w:gridCol w:w="221"/>
        <w:gridCol w:w="111"/>
        <w:gridCol w:w="111"/>
        <w:gridCol w:w="111"/>
        <w:gridCol w:w="378"/>
        <w:gridCol w:w="378"/>
        <w:gridCol w:w="383"/>
        <w:gridCol w:w="109"/>
        <w:gridCol w:w="109"/>
        <w:gridCol w:w="109"/>
        <w:gridCol w:w="272"/>
        <w:gridCol w:w="272"/>
        <w:gridCol w:w="399"/>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5" w:type="dxa"/>
            <w:gridSpan w:val="18"/>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Description</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180"/>
              <w:jc w:val="left"/>
              <w:rPr/>
            </w:pPr>
            <w:hyperlink r:id="rId102">
              <w:r>
                <w:rPr>
                  <w:rStyle w:val="InternetLink"/>
                </w:rPr>
                <w:t xml:space="preserve">Amended and Restated </w:t>
              </w:r>
            </w:hyperlink>
            <w:hyperlink r:id="rId103">
              <w:r>
                <w:rPr>
                  <w:rStyle w:val="InternetLink"/>
                </w:rPr>
                <w:t xml:space="preserve">Certificate of Incorporation of </w:t>
              </w:r>
            </w:hyperlink>
            <w:hyperlink r:id="rId104">
              <w:r>
                <w:rPr>
                  <w:rStyle w:val="InternetLink"/>
                </w:rPr>
                <w:t>Registrant</w:t>
              </w:r>
            </w:hyperlink>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hyperlink r:id="rId105">
              <w:r>
                <w:rPr>
                  <w:rStyle w:val="InternetLink"/>
                  <w:rFonts w:ascii="Arial;sans-serif" w:hAnsi="Arial;sans-serif"/>
                  <w:b w:val="false"/>
                  <w:color w:val="0000FF"/>
                  <w:sz w:val="18"/>
                  <w:u w:val="single"/>
                </w:rPr>
                <w:t>Amended and Restated Bylaws of Registrant</w:t>
              </w:r>
            </w:hyperlink>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hyperlink r:id="rId106">
              <w:r>
                <w:rPr>
                  <w:rStyle w:val="InternetLink"/>
                  <w:rFonts w:ascii="Arial;sans-serif" w:hAnsi="Arial;sans-serif"/>
                  <w:b w:val="false"/>
                  <w:color w:val="0000FF"/>
                  <w:sz w:val="18"/>
                  <w:u w:val="single"/>
                </w:rPr>
                <w:t>Form of Common Stock Certificate</w:t>
              </w:r>
            </w:hyperlink>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80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13,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hyperlink r:id="rId107">
              <w:r>
                <w:rPr>
                  <w:rStyle w:val="InternetLink"/>
                </w:rPr>
                <w:t xml:space="preserve">Amended and Restated </w:t>
              </w:r>
            </w:hyperlink>
            <w:hyperlink r:id="rId108">
              <w:r>
                <w:rPr>
                  <w:rStyle w:val="InternetLink"/>
                </w:rPr>
                <w:t>Credit Agreement by and between JPMorgan Chase Bank, N.A., the Company, and the other parties listed therein</w:t>
              </w:r>
            </w:hyperlink>
            <w:hyperlink r:id="rId109">
              <w:r>
                <w:rPr>
                  <w:rStyle w:val="InternetLink"/>
                </w:rPr>
                <w:t xml:space="preserve"> dated </w:t>
              </w:r>
            </w:hyperlink>
            <w:hyperlink r:id="rId110">
              <w:r>
                <w:rPr>
                  <w:rStyle w:val="InternetLink"/>
                </w:rPr>
                <w:t>February 28, 2022</w:t>
              </w:r>
            </w:hyperlink>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10-K</w:t>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10.16</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March 11,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hyperlink w:anchor="exh311-2022q1.htm">
              <w:r>
                <w:rPr>
                  <w:rStyle w:val="InternetLink"/>
                  <w:rFonts w:ascii="Arial;sans-serif" w:hAnsi="Arial;sans-serif"/>
                  <w:b w:val="false"/>
                  <w:color w:val="0000FF"/>
                  <w:sz w:val="18"/>
                  <w:u w:val="single"/>
                </w:rPr>
                <w:t>Certification of Chief Executive Officer Pursuant to Rules 13a-14(a) and 15d-14(a) of the Securities Exchange Act of 1934, as Adopted Pursuant to Section 302 of the Sarbanes-Oxley Act of 2002</w:t>
              </w:r>
            </w:hyperlink>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hyperlink w:anchor="exh312-2022q1.htm">
              <w:r>
                <w:rPr>
                  <w:rStyle w:val="InternetLink"/>
                  <w:rFonts w:ascii="Arial;sans-serif" w:hAnsi="Arial;sans-serif"/>
                  <w:b w:val="false"/>
                  <w:color w:val="0000FF"/>
                  <w:sz w:val="18"/>
                  <w:u w:val="single"/>
                </w:rPr>
                <w:t>Certification of Chief Financial Officer Pursuant to Rules 13a-14(a) and 15d-14(a) of the Securities Exchange Act of 1934, as Adopted Pursuant to Section 302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hyperlink w:anchor="exh321-2022q1.htm">
              <w:r>
                <w:rPr>
                  <w:rStyle w:val="InternetLink"/>
                  <w:rFonts w:ascii="Arial;sans-serif" w:hAnsi="Arial;sans-serif"/>
                  <w:b w:val="false"/>
                  <w:color w:val="0000FF"/>
                  <w:sz w:val="18"/>
                  <w:u w:val="single"/>
                </w:rPr>
                <w:t>Certifications of Chief Executive Officer and Chief Financial Officer Pursuant to 18 U.S.C. Section 1350, as Adopted Pursuant to Section 906 of the Sarbanes-Oxley Act of 2002</w:t>
              </w:r>
            </w:hyperlink>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spacing w:lineRule="auto" w:line="288" w:before="0" w:after="180"/>
        <w:rPr>
          <w:rFonts w:ascii="Arial;sans-serif" w:hAnsi="Arial;sans-serif"/>
          <w:b w:val="false"/>
          <w:color w:val="131E29"/>
          <w:sz w:val="16"/>
        </w:rPr>
      </w:pPr>
      <w:r>
        <w:rPr>
          <w:rFonts w:ascii="Arial;sans-serif" w:hAnsi="Arial;sans-serif"/>
          <w:b w:val="false"/>
          <w:color w:val="131E29"/>
          <w:sz w:val="16"/>
        </w:rPr>
        <w:t>_______________________</w:t>
      </w:r>
    </w:p>
    <w:p>
      <w:pPr>
        <w:pStyle w:val="TextBody"/>
        <w:spacing w:lineRule="auto" w:line="288" w:before="0" w:after="180"/>
        <w:ind w:left="0" w:right="0" w:hanging="180"/>
        <w:jc w:val="both"/>
        <w:rPr>
          <w:rFonts w:ascii="Arial;sans-serif" w:hAnsi="Arial;sans-serif"/>
          <w:b w:val="false"/>
          <w:color w:val="000000"/>
          <w:sz w:val="16"/>
        </w:rPr>
      </w:pPr>
      <w:r>
        <w:rPr>
          <w:rFonts w:ascii="Arial;sans-serif" w:hAnsi="Arial;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3220"/>
                <wp:effectExtent l="0" t="0" r="0" b="0"/>
                <wp:wrapNone/>
                <wp:docPr id="293" name="Frame98"/>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rPr/>
                            </w:pPr>
                            <w:r>
                              <w:rPr/>
                              <w:drawing>
                                <wp:inline distT="0" distB="63500" distL="0" distR="0">
                                  <wp:extent cx="190500" cy="266700"/>
                                  <wp:effectExtent l="0" t="0" r="0" b="0"/>
                                  <wp:docPr id="29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01"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pPr>
                      <w:r>
                        <w:rPr/>
                        <w:drawing>
                          <wp:inline distT="0" distB="63500" distL="0" distR="0">
                            <wp:extent cx="190500" cy="266700"/>
                            <wp:effectExtent l="0" t="0" r="0" b="0"/>
                            <wp:docPr id="29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1"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v:textbox>
              </v:rect>
            </w:pict>
          </mc:Fallback>
        </mc:AlternateContent>
      </w:r>
    </w:p>
    <w:p>
      <w:pPr>
        <w:pStyle w:val="TextBody"/>
        <w:spacing w:lineRule="auto" w:line="288" w:before="0" w:after="180"/>
        <w:rPr/>
      </w:pPr>
      <w:hyperlink w:anchor="i08d36940599d4c4a854e086ebf05d520_16">
        <w:r>
          <w:rPr>
            <w:rStyle w:val="InternetLink"/>
            <w:rFonts w:ascii="Arial;sans-serif" w:hAnsi="Arial;sans-serif"/>
            <w:b w:val="false"/>
            <w:color w:val="006098"/>
            <w:sz w:val="16"/>
            <w:u w:val="single"/>
          </w:rPr>
          <w:t>Table of Contents</w:t>
        </w:r>
      </w:hyperlink>
    </w:p>
    <w:p>
      <w:pPr>
        <w:pStyle w:val="TextBody"/>
        <w:spacing w:lineRule="auto" w:line="288" w:before="0" w:after="18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Pursuant to the requirements of the Securities Exchange Act of 1934, the Registrant has duly caused this report to be signed on its behalf by the undersigned thereunto duly authorized. </w:t>
      </w:r>
    </w:p>
    <w:tbl>
      <w:tblPr>
        <w:tblW w:w="6420" w:type="dxa"/>
        <w:jc w:val="right"/>
        <w:tblInd w:w="0" w:type="dxa"/>
        <w:tblCellMar>
          <w:top w:w="28" w:type="dxa"/>
          <w:left w:w="28" w:type="dxa"/>
          <w:bottom w:w="28" w:type="dxa"/>
          <w:right w:w="28" w:type="dxa"/>
        </w:tblCellMar>
      </w:tblPr>
      <w:tblGrid>
        <w:gridCol w:w="471"/>
        <w:gridCol w:w="416"/>
        <w:gridCol w:w="418"/>
        <w:gridCol w:w="109"/>
        <w:gridCol w:w="109"/>
        <w:gridCol w:w="109"/>
        <w:gridCol w:w="291"/>
        <w:gridCol w:w="291"/>
        <w:gridCol w:w="291"/>
        <w:gridCol w:w="1139"/>
        <w:gridCol w:w="1139"/>
        <w:gridCol w:w="1637"/>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DUTCH BROS INC.</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(Registrant)</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/s/ Jonathan Ricci</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Jonathan Ricci</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Chief Executive Officer and President</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i/>
                <w:color w:val="131E29"/>
                <w:sz w:val="20"/>
              </w:rPr>
            </w:pPr>
            <w:r>
              <w:rPr>
                <w:rFonts w:ascii="Arial;sans-serif" w:hAnsi="Arial;sans-serif"/>
                <w:b w:val="false"/>
                <w:i/>
                <w:color w:val="131E29"/>
                <w:sz w:val="20"/>
              </w:rPr>
              <w:t>(Principal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/s/ Charles L. Jemley</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Charles L. Jemley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Chief Financial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i/>
                <w:color w:val="131E29"/>
                <w:sz w:val="20"/>
              </w:rPr>
            </w:pPr>
            <w:r>
              <w:rPr>
                <w:rFonts w:ascii="Arial;sans-serif" w:hAnsi="Arial;sans-serif"/>
                <w:b w:val="false"/>
                <w:i/>
                <w:color w:val="131E29"/>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131E29"/>
          <w:sz w:val="18"/>
        </w:rPr>
      </w:pPr>
      <w:r>
        <w:rPr>
          <w:rFonts w:ascii="Arial;sans-serif" w:hAnsi="Arial;sans-serif"/>
          <w:b/>
          <w:color w:val="131E29"/>
          <w:sz w:val="18"/>
        </w:rPr>
        <w:t>E</w:t>
      </w:r>
      <w:r>
        <w:rPr>
          <w:rFonts w:ascii="Arial;sans-serif" w:hAnsi="Arial;sans-serif"/>
          <w:b/>
          <w:color w:val="131E29"/>
          <w:sz w:val="18"/>
        </w:rPr>
        <w:t>xhibit 31.1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3220"/>
                <wp:effectExtent l="0" t="0" r="0" b="0"/>
                <wp:wrapNone/>
                <wp:docPr id="296" name="Frame99"/>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9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02"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9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2"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v:textbox>
              </v:rect>
            </w:pict>
          </mc:Fallback>
        </mc:AlternateContent>
      </w:r>
    </w:p>
    <w:p>
      <w:pPr>
        <w:pStyle w:val="TextBody"/>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spacing w:before="0" w:after="0"/>
        <w:rPr/>
      </w:pPr>
      <w:r>
        <w:rPr/>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Jonathan Ricci, certify that:</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March 31, 2022 of Dutch Bros Inc.;</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for the registrant and have: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 Any fraud, whether or not material, that involves management or other employees who have a significant role in the registrant’s internal control over financial reporting.</w:t>
      </w:r>
    </w:p>
    <w:p>
      <w:pPr>
        <w:pStyle w:val="TextBody"/>
        <w:spacing w:before="0" w:after="0"/>
        <w:jc w:val="both"/>
        <w:rPr/>
      </w:pPr>
      <w:r>
        <w:rPr/>
      </w:r>
    </w:p>
    <w:tbl>
      <w:tblPr>
        <w:tblW w:w="5393" w:type="dxa"/>
        <w:jc w:val="left"/>
        <w:tblInd w:w="0" w:type="dxa"/>
        <w:tblCellMar>
          <w:top w:w="28" w:type="dxa"/>
          <w:left w:w="28" w:type="dxa"/>
          <w:bottom w:w="28" w:type="dxa"/>
          <w:right w:w="28" w:type="dxa"/>
        </w:tblCellMar>
      </w:tblPr>
      <w:tblGrid>
        <w:gridCol w:w="471"/>
        <w:gridCol w:w="416"/>
        <w:gridCol w:w="418"/>
        <w:gridCol w:w="109"/>
        <w:gridCol w:w="109"/>
        <w:gridCol w:w="109"/>
        <w:gridCol w:w="109"/>
        <w:gridCol w:w="109"/>
        <w:gridCol w:w="109"/>
        <w:gridCol w:w="1003"/>
        <w:gridCol w:w="1003"/>
        <w:gridCol w:w="1428"/>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Jonathan Ricci</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Jonathan Ricci</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131E29"/>
          <w:sz w:val="18"/>
        </w:rPr>
      </w:pPr>
      <w:r>
        <w:rPr>
          <w:rFonts w:ascii="Arial;sans-serif" w:hAnsi="Arial;sans-serif"/>
          <w:b/>
          <w:color w:val="131E29"/>
          <w:sz w:val="18"/>
        </w:rPr>
        <w:t>E</w:t>
      </w:r>
      <w:r>
        <w:rPr>
          <w:rFonts w:ascii="Arial;sans-serif" w:hAnsi="Arial;sans-serif"/>
          <w:b/>
          <w:color w:val="131E29"/>
          <w:sz w:val="18"/>
        </w:rPr>
        <w:t>xhibit 31.2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63220"/>
                <wp:effectExtent l="0" t="0" r="0" b="0"/>
                <wp:wrapNone/>
                <wp:docPr id="299" name="Frame100"/>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0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03" descr=""/>
                                          <pic:cNvPicPr>
                                            <a:picLocks noChangeAspect="1" noChangeArrowheads="1"/>
                                          </pic:cNvPicPr>
                                        </pic:nvPicPr>
                                        <pic:blipFill>
                                          <a:blip r:embed="rId1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0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3" descr=""/>
                                    <pic:cNvPicPr>
                                      <a:picLocks noChangeAspect="1" noChangeArrowheads="1"/>
                                    </pic:cNvPicPr>
                                  </pic:nvPicPr>
                                  <pic:blipFill>
                                    <a:blip r:embed="rId1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31.1</w:t>
                      </w:r>
                    </w:p>
                  </w:txbxContent>
                </v:textbox>
              </v:rect>
            </w:pict>
          </mc:Fallback>
        </mc:AlternateContent>
      </w:r>
    </w:p>
    <w:p>
      <w:pPr>
        <w:pStyle w:val="TextBody"/>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spacing w:before="0" w:after="0"/>
        <w:rPr/>
      </w:pPr>
      <w:r>
        <w:rPr/>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I, Charles L. Jemley, certify that:</w:t>
      </w:r>
    </w:p>
    <w:p>
      <w:pPr>
        <w:pStyle w:val="TextBody"/>
        <w:spacing w:before="0" w:after="0"/>
        <w:jc w:val="both"/>
        <w:rPr/>
      </w:pPr>
      <w:r>
        <w:rPr/>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March 31, 2022 of Dutch Bros Inc.;</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for the registrant and have: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 Any fraud, whether or not material, that involves management or other employees who have a significant role in the registrant’s internal control over financial reporting.</w:t>
      </w:r>
    </w:p>
    <w:p>
      <w:pPr>
        <w:pStyle w:val="TextBody"/>
        <w:spacing w:before="0" w:after="0"/>
        <w:jc w:val="both"/>
        <w:rPr/>
      </w:pPr>
      <w:r>
        <w:rPr/>
      </w:r>
    </w:p>
    <w:tbl>
      <w:tblPr>
        <w:tblW w:w="5873" w:type="dxa"/>
        <w:jc w:val="left"/>
        <w:tblInd w:w="0" w:type="dxa"/>
        <w:tblCellMar>
          <w:top w:w="28" w:type="dxa"/>
          <w:left w:w="28" w:type="dxa"/>
          <w:bottom w:w="28" w:type="dxa"/>
          <w:right w:w="28" w:type="dxa"/>
        </w:tblCellMar>
      </w:tblPr>
      <w:tblGrid>
        <w:gridCol w:w="471"/>
        <w:gridCol w:w="416"/>
        <w:gridCol w:w="418"/>
        <w:gridCol w:w="109"/>
        <w:gridCol w:w="109"/>
        <w:gridCol w:w="109"/>
        <w:gridCol w:w="109"/>
        <w:gridCol w:w="109"/>
        <w:gridCol w:w="109"/>
        <w:gridCol w:w="1143"/>
        <w:gridCol w:w="1143"/>
        <w:gridCol w:w="1628"/>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Charles L. Jemley</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Charles L. Jemley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131E29"/>
          <w:sz w:val="18"/>
        </w:rPr>
      </w:pPr>
      <w:r>
        <w:rPr>
          <w:rFonts w:ascii="Arial;sans-serif" w:hAnsi="Arial;sans-serif"/>
          <w:b/>
          <w:color w:val="131E29"/>
          <w:sz w:val="18"/>
        </w:rPr>
        <w:t>E</w:t>
      </w:r>
      <w:r>
        <w:rPr>
          <w:rFonts w:ascii="Arial;sans-serif" w:hAnsi="Arial;sans-serif"/>
          <w:b/>
          <w:color w:val="131E29"/>
          <w:sz w:val="18"/>
        </w:rPr>
        <w:t>xhibit 32.1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3220"/>
                <wp:effectExtent l="0" t="0" r="0" b="0"/>
                <wp:wrapNone/>
                <wp:docPr id="302" name="Frame101"/>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0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04" descr=""/>
                                          <pic:cNvPicPr>
                                            <a:picLocks noChangeAspect="1" noChangeArrowheads="1"/>
                                          </pic:cNvPicPr>
                                        </pic:nvPicPr>
                                        <pic:blipFill>
                                          <a:blip r:embed="rId1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4" descr=""/>
                                    <pic:cNvPicPr>
                                      <a:picLocks noChangeAspect="1" noChangeArrowheads="1"/>
                                    </pic:cNvPicPr>
                                  </pic:nvPicPr>
                                  <pic:blipFill>
                                    <a:blip r:embed="rId1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31.2</w:t>
                      </w:r>
                    </w:p>
                  </w:txbxContent>
                </v:textbox>
              </v:rect>
            </w:pict>
          </mc:Fallback>
        </mc:AlternateContent>
      </w:r>
    </w:p>
    <w:p>
      <w:pPr>
        <w:pStyle w:val="TextBody"/>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spacing w:before="0" w:after="0"/>
        <w:rPr/>
      </w:pPr>
      <w:r>
        <w:rPr/>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Quarterly Report of Dutch Bros Inc. (the Company) on Form 10-Q for the period ended March 31, 2022, as filed with the Securities and Exchange Commission on the date of the signatures below (the Report), Jonathan Ricci, Chief Executive Officer and President of the Company, and Charles L. Jemley, Chief Financial Officer of the Company, each hereby certifies, pursuant to 18 U.S.C. Section 1350, as adopted pursuant to Section 906 of the Sarbanes-Oxley Act of 2002, that, to the best of their respective knowledge:</w:t>
      </w:r>
    </w:p>
    <w:p>
      <w:pPr>
        <w:pStyle w:val="TextBody"/>
        <w:spacing w:before="0" w:after="0"/>
        <w:rPr/>
      </w:pPr>
      <w:r>
        <w:rPr/>
      </w:r>
    </w:p>
    <w:p>
      <w:pPr>
        <w:pStyle w:val="TextBody"/>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spacing w:before="0" w:after="0"/>
        <w:jc w:val="both"/>
        <w:rPr/>
      </w:pPr>
      <w:r>
        <w:rPr/>
      </w:r>
    </w:p>
    <w:p>
      <w:pPr>
        <w:pStyle w:val="TextBody"/>
        <w:spacing w:before="0" w:after="0"/>
        <w:rPr/>
      </w:pPr>
      <w:r>
        <w:rPr/>
      </w:r>
    </w:p>
    <w:tbl>
      <w:tblPr>
        <w:tblW w:w="5873" w:type="dxa"/>
        <w:jc w:val="left"/>
        <w:tblInd w:w="0" w:type="dxa"/>
        <w:tblCellMar>
          <w:top w:w="28" w:type="dxa"/>
          <w:left w:w="28" w:type="dxa"/>
          <w:bottom w:w="28" w:type="dxa"/>
          <w:right w:w="28" w:type="dxa"/>
        </w:tblCellMar>
      </w:tblPr>
      <w:tblGrid>
        <w:gridCol w:w="471"/>
        <w:gridCol w:w="416"/>
        <w:gridCol w:w="418"/>
        <w:gridCol w:w="109"/>
        <w:gridCol w:w="109"/>
        <w:gridCol w:w="109"/>
        <w:gridCol w:w="109"/>
        <w:gridCol w:w="109"/>
        <w:gridCol w:w="109"/>
        <w:gridCol w:w="1143"/>
        <w:gridCol w:w="1143"/>
        <w:gridCol w:w="1628"/>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Jonathan Ricci</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Jonathan Ricci</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Charles L. Jemley</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Charles L. Jemley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spacing w:before="0" w:after="0"/>
        <w:rPr/>
      </w:pPr>
      <w:r>
        <w:rPr/>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63220"/>
                <wp:effectExtent l="0" t="0" r="0" b="0"/>
                <wp:wrapNone/>
                <wp:docPr id="305" name="Frame102"/>
                <a:graphic xmlns:a="http://schemas.openxmlformats.org/drawingml/2006/main">
                  <a:graphicData uri="http://schemas.microsoft.com/office/word/2010/wordprocessingShape">
                    <wps:wsp>
                      <wps:cNvSpPr txBox="1"/>
                      <wps:spPr>
                        <a:xfrm>
                          <a:off x="0" y="0"/>
                          <a:ext cx="648017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0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05" descr=""/>
                                          <pic:cNvPicPr>
                                            <a:picLocks noChangeAspect="1" noChangeArrowheads="1"/>
                                          </pic:cNvPicPr>
                                        </pic:nvPicPr>
                                        <pic:blipFill>
                                          <a:blip r:embed="rId1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07"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5" descr=""/>
                                    <pic:cNvPicPr>
                                      <a:picLocks noChangeAspect="1" noChangeArrowheads="1"/>
                                    </pic:cNvPicPr>
                                  </pic:nvPicPr>
                                  <pic:blipFill>
                                    <a:blip r:embed="rId1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32.1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hyperlink" Target="https://www.sec.gov/Archives/edgar/data/0001866581/000162828021018861/exhibit31-8xk.htm" TargetMode="External"/><Relationship Id="rId103" Type="http://schemas.openxmlformats.org/officeDocument/2006/relationships/hyperlink" Target="https://www.sec.gov/Archives/edgar/data/0001866581/000162828021018861/exhibit31-8xk.htm" TargetMode="External"/><Relationship Id="rId104" Type="http://schemas.openxmlformats.org/officeDocument/2006/relationships/hyperlink" Target="https://www.sec.gov/Archives/edgar/data/0001866581/000162828021018861/exhibit31-8xk.htm" TargetMode="External"/><Relationship Id="rId105" Type="http://schemas.openxmlformats.org/officeDocument/2006/relationships/hyperlink" Target="https://www.sec.gov/Archives/edgar/data/1866581/000162828021017441/exhibit34-sx1.htm" TargetMode="External"/><Relationship Id="rId106" Type="http://schemas.openxmlformats.org/officeDocument/2006/relationships/hyperlink" Target="http://www.sec.gov/Archives/edgar/data/0001866581/000162828021018116/exhibit41.htm" TargetMode="External"/><Relationship Id="rId107" Type="http://schemas.openxmlformats.org/officeDocument/2006/relationships/hyperlink" Target="https://www.sec.gov/Archives/edgar/data/1866581/000186658122000020/final2022dmljpmarcredita.htm" TargetMode="External"/><Relationship Id="rId108" Type="http://schemas.openxmlformats.org/officeDocument/2006/relationships/hyperlink" Target="https://www.sec.gov/Archives/edgar/data/1866581/000186658122000020/final2022dmljpmarcredita.htm" TargetMode="External"/><Relationship Id="rId109" Type="http://schemas.openxmlformats.org/officeDocument/2006/relationships/hyperlink" Target="https://www.sec.gov/Archives/edgar/data/1866581/000186658122000020/final2022dmljpmarcredita.htm" TargetMode="External"/><Relationship Id="rId110" Type="http://schemas.openxmlformats.org/officeDocument/2006/relationships/hyperlink" Target="https://www.sec.gov/Archives/edgar/data/1866581/000186658122000020/final2022dmljpmarcredita.htm" TargetMode="External"/><Relationship Id="rId111" Type="http://schemas.openxmlformats.org/officeDocument/2006/relationships/image" Target="media/image101.jpeg"/><Relationship Id="rId112" Type="http://schemas.openxmlformats.org/officeDocument/2006/relationships/image" Target="media/image102.jpeg"/><Relationship Id="rId113" Type="http://schemas.openxmlformats.org/officeDocument/2006/relationships/image" Target="media/image103.jpeg"/><Relationship Id="rId114" Type="http://schemas.openxmlformats.org/officeDocument/2006/relationships/image" Target="media/image104.jpeg"/><Relationship Id="rId115" Type="http://schemas.openxmlformats.org/officeDocument/2006/relationships/image" Target="media/image105.jpeg"/><Relationship Id="rId116" Type="http://schemas.openxmlformats.org/officeDocument/2006/relationships/fontTable" Target="fontTable.xml"/><Relationship Id="rId1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50145</Words>
  <CharactersWithSpaces>321743</CharactersWithSpaces>
  <Paragraphs>3617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