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910590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883920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10-Q</w:t>
      </w:r>
    </w:p>
    <w:p>
      <w:pPr>
        <w:spacing w:after="0" w:line="25"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131E29"/>
        </w:rPr>
        <w:t>(Mark One)</w:t>
      </w:r>
    </w:p>
    <w:p>
      <w:pPr>
        <w:spacing w:after="0" w:line="37"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131E29"/>
        </w:rPr>
      </w:pPr>
      <w:r>
        <w:rPr>
          <w:rFonts w:ascii="Arial" w:cs="Arial" w:eastAsia="Arial" w:hAnsi="Arial"/>
          <w:sz w:val="14"/>
          <w:szCs w:val="14"/>
          <w:b w:val="1"/>
          <w:bCs w:val="1"/>
          <w:color w:val="131E29"/>
        </w:rPr>
        <w:t>QUARTERLY REPORT PURSUANT TO SECTION 13 OR 15(d) OF THE SECURITIES EXCHANGE ACT OF 1934</w:t>
      </w:r>
    </w:p>
    <w:p>
      <w:pPr>
        <w:spacing w:after="0" w:line="35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For the Quarterly Period ended September 30, 2024</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OR</w:t>
      </w:r>
    </w:p>
    <w:p>
      <w:pPr>
        <w:spacing w:after="0" w:line="179" w:lineRule="exact"/>
        <w:rPr>
          <w:sz w:val="24"/>
          <w:szCs w:val="24"/>
          <w:color w:val="auto"/>
        </w:rPr>
      </w:pPr>
    </w:p>
    <w:p>
      <w:pPr>
        <w:ind w:left="640" w:hanging="621"/>
        <w:spacing w:after="0"/>
        <w:tabs>
          <w:tab w:leader="none" w:pos="640" w:val="left"/>
        </w:tabs>
        <w:numPr>
          <w:ilvl w:val="0"/>
          <w:numId w:val="2"/>
        </w:numPr>
        <w:rPr>
          <w:rFonts w:ascii="MS PGothic" w:cs="MS PGothic" w:eastAsia="MS PGothic" w:hAnsi="MS PGothic"/>
          <w:sz w:val="14"/>
          <w:szCs w:val="14"/>
          <w:color w:val="131E29"/>
        </w:rPr>
      </w:pPr>
      <w:r>
        <w:rPr>
          <w:rFonts w:ascii="Arial" w:cs="Arial" w:eastAsia="Arial" w:hAnsi="Arial"/>
          <w:sz w:val="14"/>
          <w:szCs w:val="14"/>
          <w:b w:val="1"/>
          <w:bCs w:val="1"/>
          <w:color w:val="131E29"/>
        </w:rPr>
        <w:t>TRANSITION REPORT PURSUANT TO SECTION 13 OR 15(d) OF THE SECURITIES EXCHANGE ACT OF 1934</w:t>
      </w:r>
    </w:p>
    <w:p>
      <w:pPr>
        <w:spacing w:after="0" w:line="359"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131E29"/>
        </w:rPr>
        <w:t>For the transition period from ________ to ________</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Commission file number 001-40798</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5715</wp:posOffset>
            </wp:positionV>
            <wp:extent cx="1071245" cy="539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245" cy="539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31E29"/>
        </w:rPr>
        <w:t>DUTCH BROS INC.</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(Exact name of Registrant as specified in its charter)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4"/>
                <w:szCs w:val="14"/>
                <w:b w:val="1"/>
                <w:bCs w:val="1"/>
                <w:color w:val="131E29"/>
              </w:rPr>
              <w:t>Delaware</w:t>
            </w:r>
          </w:p>
        </w:tc>
        <w:tc>
          <w:tcPr>
            <w:tcW w:w="4180" w:type="dxa"/>
            <w:vAlign w:val="bottom"/>
            <w:gridSpan w:val="2"/>
            <w:vMerge w:val="restart"/>
          </w:tcPr>
          <w:p>
            <w:pPr>
              <w:jc w:val="right"/>
              <w:ind w:right="2734"/>
              <w:spacing w:after="0"/>
              <w:rPr>
                <w:sz w:val="20"/>
                <w:szCs w:val="20"/>
                <w:color w:val="auto"/>
              </w:rPr>
            </w:pPr>
            <w:r>
              <w:rPr>
                <w:rFonts w:ascii="Arial" w:cs="Arial" w:eastAsia="Arial" w:hAnsi="Arial"/>
                <w:sz w:val="14"/>
                <w:szCs w:val="14"/>
                <w:b w:val="1"/>
                <w:bCs w:val="1"/>
                <w:color w:val="131E29"/>
              </w:rPr>
              <w:t>87-1041305</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1"/>
                <w:szCs w:val="11"/>
                <w:color w:val="131E29"/>
              </w:rPr>
              <w:t>(State or other jurisdiction of</w:t>
            </w:r>
          </w:p>
        </w:tc>
        <w:tc>
          <w:tcPr>
            <w:tcW w:w="4180" w:type="dxa"/>
            <w:vAlign w:val="bottom"/>
            <w:gridSpan w:val="2"/>
          </w:tcPr>
          <w:p>
            <w:pPr>
              <w:jc w:val="center"/>
              <w:ind w:right="2094"/>
              <w:spacing w:after="0"/>
              <w:rPr>
                <w:sz w:val="20"/>
                <w:szCs w:val="20"/>
                <w:color w:val="auto"/>
              </w:rPr>
            </w:pPr>
            <w:r>
              <w:rPr>
                <w:rFonts w:ascii="Arial" w:cs="Arial" w:eastAsia="Arial" w:hAnsi="Arial"/>
                <w:sz w:val="11"/>
                <w:szCs w:val="11"/>
                <w:color w:val="131E29"/>
              </w:rPr>
              <w:t>(I.R.S. Employer Identification No.)</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1"/>
                <w:szCs w:val="11"/>
                <w:color w:val="131E29"/>
              </w:rPr>
              <w:t>incorporation or organization)</w:t>
            </w:r>
          </w:p>
        </w:tc>
        <w:tc>
          <w:tcPr>
            <w:tcW w:w="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2"/>
                <w:szCs w:val="22"/>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4"/>
                <w:szCs w:val="14"/>
                <w:b w:val="1"/>
                <w:bCs w:val="1"/>
                <w:color w:val="131E29"/>
              </w:rPr>
              <w:t>300 N Valley Dr</w:t>
            </w:r>
          </w:p>
        </w:tc>
        <w:tc>
          <w:tcPr>
            <w:tcW w:w="4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880" w:type="dxa"/>
            <w:vAlign w:val="bottom"/>
          </w:tcPr>
          <w:p>
            <w:pPr>
              <w:spacing w:after="0"/>
              <w:rPr>
                <w:sz w:val="24"/>
                <w:szCs w:val="24"/>
                <w:color w:val="auto"/>
              </w:rPr>
            </w:pPr>
          </w:p>
        </w:tc>
        <w:tc>
          <w:tcPr>
            <w:tcW w:w="4240" w:type="dxa"/>
            <w:vAlign w:val="bottom"/>
            <w:gridSpan w:val="2"/>
          </w:tcPr>
          <w:p>
            <w:pPr>
              <w:ind w:left="80"/>
              <w:spacing w:after="0"/>
              <w:rPr>
                <w:sz w:val="20"/>
                <w:szCs w:val="20"/>
                <w:color w:val="auto"/>
              </w:rPr>
            </w:pPr>
            <w:r>
              <w:rPr>
                <w:rFonts w:ascii="Arial" w:cs="Arial" w:eastAsia="Arial" w:hAnsi="Arial"/>
                <w:sz w:val="14"/>
                <w:szCs w:val="14"/>
                <w:b w:val="1"/>
                <w:bCs w:val="1"/>
                <w:color w:val="131E29"/>
              </w:rPr>
              <w:t>Grants Pass, Oregon</w:t>
            </w:r>
          </w:p>
        </w:tc>
        <w:tc>
          <w:tcPr>
            <w:tcW w:w="4180" w:type="dxa"/>
            <w:vAlign w:val="bottom"/>
            <w:gridSpan w:val="2"/>
          </w:tcPr>
          <w:p>
            <w:pPr>
              <w:jc w:val="right"/>
              <w:ind w:right="2914"/>
              <w:spacing w:after="0"/>
              <w:rPr>
                <w:sz w:val="20"/>
                <w:szCs w:val="20"/>
                <w:color w:val="auto"/>
              </w:rPr>
            </w:pPr>
            <w:r>
              <w:rPr>
                <w:rFonts w:ascii="Arial" w:cs="Arial" w:eastAsia="Arial" w:hAnsi="Arial"/>
                <w:sz w:val="14"/>
                <w:szCs w:val="14"/>
                <w:b w:val="1"/>
                <w:bCs w:val="1"/>
                <w:color w:val="131E29"/>
              </w:rPr>
              <w:t>97526</w:t>
            </w:r>
          </w:p>
        </w:tc>
        <w:tc>
          <w:tcPr>
            <w:tcW w:w="0" w:type="dxa"/>
            <w:vAlign w:val="bottom"/>
          </w:tcPr>
          <w:p>
            <w:pPr>
              <w:spacing w:after="0"/>
              <w:rPr>
                <w:sz w:val="1"/>
                <w:szCs w:val="1"/>
                <w:color w:val="auto"/>
              </w:rPr>
            </w:pPr>
          </w:p>
        </w:tc>
      </w:tr>
      <w:tr>
        <w:trPr>
          <w:trHeight w:val="175"/>
        </w:trPr>
        <w:tc>
          <w:tcPr>
            <w:tcW w:w="7120" w:type="dxa"/>
            <w:vAlign w:val="bottom"/>
            <w:gridSpan w:val="3"/>
          </w:tcPr>
          <w:p>
            <w:pPr>
              <w:jc w:val="center"/>
              <w:ind w:left="272"/>
              <w:spacing w:after="0"/>
              <w:rPr>
                <w:sz w:val="20"/>
                <w:szCs w:val="20"/>
                <w:color w:val="auto"/>
              </w:rPr>
            </w:pPr>
            <w:r>
              <w:rPr>
                <w:rFonts w:ascii="Arial" w:cs="Arial" w:eastAsia="Arial" w:hAnsi="Arial"/>
                <w:sz w:val="11"/>
                <w:szCs w:val="11"/>
                <w:color w:val="131E29"/>
              </w:rPr>
              <w:t>(Address of Principal Executive Offices)</w:t>
            </w:r>
          </w:p>
        </w:tc>
        <w:tc>
          <w:tcPr>
            <w:tcW w:w="420" w:type="dxa"/>
            <w:vAlign w:val="bottom"/>
          </w:tcPr>
          <w:p>
            <w:pPr>
              <w:spacing w:after="0"/>
              <w:rPr>
                <w:sz w:val="15"/>
                <w:szCs w:val="15"/>
                <w:color w:val="auto"/>
              </w:rPr>
            </w:pPr>
          </w:p>
        </w:tc>
        <w:tc>
          <w:tcPr>
            <w:tcW w:w="3760" w:type="dxa"/>
            <w:vAlign w:val="bottom"/>
          </w:tcPr>
          <w:p>
            <w:pPr>
              <w:jc w:val="center"/>
              <w:ind w:right="2514"/>
              <w:spacing w:after="0"/>
              <w:rPr>
                <w:sz w:val="20"/>
                <w:szCs w:val="20"/>
                <w:color w:val="auto"/>
              </w:rPr>
            </w:pPr>
            <w:r>
              <w:rPr>
                <w:rFonts w:ascii="Arial" w:cs="Arial" w:eastAsia="Arial" w:hAnsi="Arial"/>
                <w:sz w:val="11"/>
                <w:szCs w:val="11"/>
                <w:color w:val="131E29"/>
              </w:rPr>
              <w:t>(Zip Code)</w:t>
            </w:r>
          </w:p>
        </w:tc>
        <w:tc>
          <w:tcPr>
            <w:tcW w:w="0" w:type="dxa"/>
            <w:vAlign w:val="bottom"/>
          </w:tcPr>
          <w:p>
            <w:pPr>
              <w:spacing w:after="0"/>
              <w:rPr>
                <w:sz w:val="1"/>
                <w:szCs w:val="1"/>
                <w:color w:val="auto"/>
              </w:rPr>
            </w:pPr>
          </w:p>
        </w:tc>
      </w:tr>
      <w:tr>
        <w:trPr>
          <w:trHeight w:val="382"/>
        </w:trPr>
        <w:tc>
          <w:tcPr>
            <w:tcW w:w="2880" w:type="dxa"/>
            <w:vAlign w:val="bottom"/>
          </w:tcPr>
          <w:p>
            <w:pPr>
              <w:spacing w:after="0"/>
              <w:rPr>
                <w:sz w:val="24"/>
                <w:szCs w:val="24"/>
                <w:color w:val="auto"/>
              </w:rPr>
            </w:pPr>
          </w:p>
        </w:tc>
        <w:tc>
          <w:tcPr>
            <w:tcW w:w="4240" w:type="dxa"/>
            <w:vAlign w:val="bottom"/>
            <w:gridSpan w:val="2"/>
          </w:tcPr>
          <w:p>
            <w:pPr>
              <w:jc w:val="right"/>
              <w:ind w:right="934"/>
              <w:spacing w:after="0"/>
              <w:rPr>
                <w:sz w:val="20"/>
                <w:szCs w:val="20"/>
                <w:color w:val="auto"/>
              </w:rPr>
            </w:pPr>
            <w:r>
              <w:rPr>
                <w:rFonts w:ascii="Arial" w:cs="Arial" w:eastAsia="Arial" w:hAnsi="Arial"/>
                <w:sz w:val="14"/>
                <w:szCs w:val="14"/>
                <w:b w:val="1"/>
                <w:bCs w:val="1"/>
                <w:color w:val="131E29"/>
              </w:rPr>
              <w:t>(541) 955-4700</w:t>
            </w:r>
          </w:p>
        </w:tc>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20" w:type="dxa"/>
            <w:vAlign w:val="bottom"/>
          </w:tcPr>
          <w:p>
            <w:pPr>
              <w:jc w:val="center"/>
              <w:ind w:left="294"/>
              <w:spacing w:after="0"/>
              <w:rPr>
                <w:sz w:val="20"/>
                <w:szCs w:val="20"/>
                <w:color w:val="auto"/>
              </w:rPr>
            </w:pPr>
            <w:r>
              <w:rPr>
                <w:rFonts w:ascii="Arial" w:cs="Arial" w:eastAsia="Arial" w:hAnsi="Arial"/>
                <w:sz w:val="11"/>
                <w:szCs w:val="11"/>
                <w:color w:val="131E29"/>
              </w:rPr>
              <w:t>(Registrant's telephone number, including area code)</w:t>
            </w:r>
          </w:p>
        </w:tc>
        <w:tc>
          <w:tcPr>
            <w:tcW w:w="4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42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______________________________</w:t>
            </w:r>
          </w:p>
        </w:tc>
        <w:tc>
          <w:tcPr>
            <w:tcW w:w="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131E29"/>
              </w:rPr>
              <w:t>Securities registered pursuant to Section 12(b) of the Act:</w:t>
            </w:r>
          </w:p>
        </w:tc>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880" w:type="dxa"/>
            <w:vAlign w:val="bottom"/>
            <w:tcBorders>
              <w:left w:val="single" w:sz="8" w:color="auto"/>
              <w:bottom w:val="single" w:sz="8" w:color="auto"/>
            </w:tcBorders>
          </w:tcPr>
          <w:p>
            <w:pPr>
              <w:jc w:val="center"/>
              <w:ind w:left="832"/>
              <w:spacing w:after="0"/>
              <w:rPr>
                <w:sz w:val="20"/>
                <w:szCs w:val="20"/>
                <w:color w:val="auto"/>
              </w:rPr>
            </w:pPr>
            <w:r>
              <w:rPr>
                <w:rFonts w:ascii="Arial" w:cs="Arial" w:eastAsia="Arial" w:hAnsi="Arial"/>
                <w:sz w:val="14"/>
                <w:szCs w:val="14"/>
                <w:b w:val="1"/>
                <w:bCs w:val="1"/>
                <w:color w:val="131E29"/>
              </w:rPr>
              <w:t>Title of Each Class</w:t>
            </w:r>
          </w:p>
        </w:tc>
        <w:tc>
          <w:tcPr>
            <w:tcW w:w="920" w:type="dxa"/>
            <w:vAlign w:val="bottom"/>
            <w:tcBorders>
              <w:bottom w:val="single" w:sz="8" w:color="auto"/>
              <w:right w:val="single" w:sz="8" w:color="auto"/>
            </w:tcBorders>
          </w:tcPr>
          <w:p>
            <w:pPr>
              <w:spacing w:after="0"/>
              <w:rPr>
                <w:sz w:val="17"/>
                <w:szCs w:val="17"/>
                <w:color w:val="auto"/>
              </w:rPr>
            </w:pPr>
          </w:p>
        </w:tc>
        <w:tc>
          <w:tcPr>
            <w:tcW w:w="332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131E29"/>
              </w:rPr>
              <w:t>Trading Symbol</w:t>
            </w:r>
          </w:p>
        </w:tc>
        <w:tc>
          <w:tcPr>
            <w:tcW w:w="42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131E29"/>
              </w:rPr>
              <w:t>Name of Exchange on which Registered</w:t>
            </w:r>
          </w:p>
        </w:tc>
        <w:tc>
          <w:tcPr>
            <w:tcW w:w="0" w:type="dxa"/>
            <w:vAlign w:val="bottom"/>
          </w:tcPr>
          <w:p>
            <w:pPr>
              <w:spacing w:after="0"/>
              <w:rPr>
                <w:sz w:val="1"/>
                <w:szCs w:val="1"/>
                <w:color w:val="auto"/>
              </w:rPr>
            </w:pPr>
          </w:p>
        </w:tc>
      </w:tr>
      <w:tr>
        <w:trPr>
          <w:trHeight w:val="173"/>
        </w:trPr>
        <w:tc>
          <w:tcPr>
            <w:tcW w:w="2880" w:type="dxa"/>
            <w:vAlign w:val="bottom"/>
            <w:tcBorders>
              <w:left w:val="single" w:sz="8" w:color="auto"/>
            </w:tcBorders>
          </w:tcPr>
          <w:p>
            <w:pPr>
              <w:jc w:val="center"/>
              <w:ind w:left="792"/>
              <w:spacing w:after="0"/>
              <w:rPr>
                <w:sz w:val="20"/>
                <w:szCs w:val="20"/>
                <w:color w:val="auto"/>
              </w:rPr>
            </w:pPr>
            <w:r>
              <w:rPr>
                <w:rFonts w:ascii="Arial" w:cs="Arial" w:eastAsia="Arial" w:hAnsi="Arial"/>
                <w:sz w:val="14"/>
                <w:szCs w:val="14"/>
                <w:color w:val="auto"/>
              </w:rPr>
              <w:t>Class A Common Stock,</w:t>
            </w:r>
          </w:p>
        </w:tc>
        <w:tc>
          <w:tcPr>
            <w:tcW w:w="920" w:type="dxa"/>
            <w:vAlign w:val="bottom"/>
            <w:tcBorders>
              <w:righ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tcBorders>
          </w:tcPr>
          <w:p>
            <w:pPr>
              <w:jc w:val="center"/>
              <w:ind w:left="832"/>
              <w:spacing w:after="0"/>
              <w:rPr>
                <w:sz w:val="20"/>
                <w:szCs w:val="20"/>
                <w:color w:val="auto"/>
              </w:rPr>
            </w:pPr>
            <w:r>
              <w:rPr>
                <w:rFonts w:ascii="Arial" w:cs="Arial" w:eastAsia="Arial" w:hAnsi="Arial"/>
                <w:sz w:val="14"/>
                <w:szCs w:val="14"/>
                <w:color w:val="auto"/>
              </w:rPr>
              <w:t>par value $0.00001 per share</w:t>
            </w:r>
          </w:p>
        </w:tc>
        <w:tc>
          <w:tcPr>
            <w:tcW w:w="920" w:type="dxa"/>
            <w:vAlign w:val="bottom"/>
            <w:tcBorders>
              <w:bottom w:val="single" w:sz="8" w:color="auto"/>
              <w:right w:val="single" w:sz="8" w:color="auto"/>
            </w:tcBorders>
          </w:tcPr>
          <w:p>
            <w:pPr>
              <w:spacing w:after="0"/>
              <w:rPr>
                <w:sz w:val="17"/>
                <w:szCs w:val="17"/>
                <w:color w:val="auto"/>
              </w:rPr>
            </w:pPr>
          </w:p>
        </w:tc>
        <w:tc>
          <w:tcPr>
            <w:tcW w:w="3320" w:type="dxa"/>
            <w:vAlign w:val="bottom"/>
            <w:tcBorders>
              <w:bottom w:val="single" w:sz="8" w:color="auto"/>
            </w:tcBorders>
          </w:tcPr>
          <w:p>
            <w:pPr>
              <w:jc w:val="center"/>
              <w:ind w:left="334"/>
              <w:spacing w:after="0"/>
              <w:rPr>
                <w:sz w:val="20"/>
                <w:szCs w:val="20"/>
                <w:color w:val="auto"/>
              </w:rPr>
            </w:pPr>
            <w:r>
              <w:rPr>
                <w:rFonts w:ascii="Arial" w:cs="Arial" w:eastAsia="Arial" w:hAnsi="Arial"/>
                <w:sz w:val="14"/>
                <w:szCs w:val="14"/>
                <w:color w:val="auto"/>
              </w:rPr>
              <w:t>BROS</w:t>
            </w:r>
          </w:p>
        </w:tc>
        <w:tc>
          <w:tcPr>
            <w:tcW w:w="42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131E29"/>
              </w:rPr>
              <w:t>The New York Stock Exchange</w:t>
            </w:r>
          </w:p>
        </w:tc>
        <w:tc>
          <w:tcPr>
            <w:tcW w:w="0" w:type="dxa"/>
            <w:vAlign w:val="bottom"/>
          </w:tcPr>
          <w:p>
            <w:pPr>
              <w:spacing w:after="0"/>
              <w:rPr>
                <w:sz w:val="1"/>
                <w:szCs w:val="1"/>
                <w:color w:val="auto"/>
              </w:rPr>
            </w:pPr>
          </w:p>
        </w:tc>
      </w:tr>
    </w:tbl>
    <w:p>
      <w:pPr>
        <w:spacing w:after="0" w:line="240" w:lineRule="exact"/>
        <w:rPr>
          <w:sz w:val="24"/>
          <w:szCs w:val="24"/>
          <w:color w:val="auto"/>
        </w:rPr>
      </w:pPr>
    </w:p>
    <w:p>
      <w:pPr>
        <w:jc w:val="both"/>
        <w:ind w:right="20"/>
        <w:spacing w:after="0" w:line="290" w:lineRule="auto"/>
        <w:rPr>
          <w:sz w:val="20"/>
          <w:szCs w:val="20"/>
          <w:color w:val="auto"/>
        </w:rPr>
      </w:pPr>
      <w:r>
        <w:rPr>
          <w:rFonts w:ascii="Arial" w:cs="Arial" w:eastAsia="Arial" w:hAnsi="Arial"/>
          <w:sz w:val="14"/>
          <w:szCs w:val="14"/>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131E29"/>
        </w:rPr>
        <w:t>x</w:t>
      </w:r>
      <w:r>
        <w:rPr>
          <w:rFonts w:ascii="Arial" w:cs="Arial" w:eastAsia="Arial" w:hAnsi="Arial"/>
          <w:sz w:val="14"/>
          <w:szCs w:val="14"/>
          <w:color w:val="131E29"/>
        </w:rPr>
        <w:t xml:space="preserve"> No </w:t>
      </w:r>
      <w:r>
        <w:rPr>
          <w:rFonts w:ascii="Wingdings" w:cs="Wingdings" w:eastAsia="Wingdings" w:hAnsi="Wingdings"/>
          <w:sz w:val="14"/>
          <w:szCs w:val="14"/>
          <w:b w:val="1"/>
          <w:bCs w:val="1"/>
          <w:color w:val="131E29"/>
        </w:rPr>
        <w:t>o</w:t>
      </w:r>
    </w:p>
    <w:p>
      <w:pPr>
        <w:spacing w:after="0" w:line="78" w:lineRule="exact"/>
        <w:rPr>
          <w:sz w:val="24"/>
          <w:szCs w:val="24"/>
          <w:color w:val="auto"/>
        </w:rPr>
      </w:pPr>
    </w:p>
    <w:p>
      <w:pPr>
        <w:jc w:val="both"/>
        <w:ind w:right="20"/>
        <w:spacing w:after="0" w:line="290" w:lineRule="auto"/>
        <w:rPr>
          <w:sz w:val="20"/>
          <w:szCs w:val="20"/>
          <w:color w:val="auto"/>
        </w:rPr>
      </w:pPr>
      <w:r>
        <w:rPr>
          <w:rFonts w:ascii="Arial" w:cs="Arial" w:eastAsia="Arial" w:hAnsi="Arial"/>
          <w:sz w:val="14"/>
          <w:szCs w:val="14"/>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131E29"/>
        </w:rPr>
        <w:t>x</w:t>
      </w:r>
      <w:r>
        <w:rPr>
          <w:rFonts w:ascii="Arial" w:cs="Arial" w:eastAsia="Arial" w:hAnsi="Arial"/>
          <w:sz w:val="14"/>
          <w:szCs w:val="14"/>
          <w:color w:val="131E29"/>
        </w:rPr>
        <w:t xml:space="preserve"> No </w:t>
      </w:r>
      <w:r>
        <w:rPr>
          <w:rFonts w:ascii="Wingdings" w:cs="Wingdings" w:eastAsia="Wingdings" w:hAnsi="Wingdings"/>
          <w:sz w:val="14"/>
          <w:szCs w:val="14"/>
          <w:b w:val="1"/>
          <w:bCs w:val="1"/>
          <w:color w:val="131E29"/>
        </w:rPr>
        <w:t>o</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131E29"/>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131E29"/>
        </w:rPr>
        <w:t>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2800" w:type="dxa"/>
            <w:vAlign w:val="bottom"/>
            <w:vMerge w:val="restart"/>
          </w:tcPr>
          <w:p>
            <w:pPr>
              <w:spacing w:after="0"/>
              <w:rPr>
                <w:sz w:val="20"/>
                <w:szCs w:val="20"/>
                <w:color w:val="auto"/>
              </w:rPr>
            </w:pPr>
            <w:r>
              <w:rPr>
                <w:rFonts w:ascii="Arial" w:cs="Arial" w:eastAsia="Arial" w:hAnsi="Arial"/>
                <w:sz w:val="14"/>
                <w:szCs w:val="14"/>
                <w:color w:val="131E29"/>
              </w:rPr>
              <w:t>Large accelerated filer</w:t>
            </w:r>
          </w:p>
        </w:tc>
        <w:tc>
          <w:tcPr>
            <w:tcW w:w="2660" w:type="dxa"/>
            <w:vAlign w:val="bottom"/>
          </w:tcPr>
          <w:p>
            <w:pPr>
              <w:ind w:left="1400"/>
              <w:spacing w:after="0"/>
              <w:rPr>
                <w:sz w:val="20"/>
                <w:szCs w:val="20"/>
                <w:color w:val="auto"/>
              </w:rPr>
            </w:pPr>
            <w:r>
              <w:rPr>
                <w:rFonts w:ascii="Wingdings" w:cs="Wingdings" w:eastAsia="Wingdings" w:hAnsi="Wingdings"/>
                <w:sz w:val="14"/>
                <w:szCs w:val="14"/>
                <w:b w:val="1"/>
                <w:bCs w:val="1"/>
                <w:color w:val="131E29"/>
              </w:rPr>
              <w:t>x</w:t>
            </w:r>
          </w:p>
        </w:tc>
        <w:tc>
          <w:tcPr>
            <w:tcW w:w="4040" w:type="dxa"/>
            <w:vAlign w:val="bottom"/>
          </w:tcPr>
          <w:p>
            <w:pPr>
              <w:ind w:left="1100"/>
              <w:spacing w:after="0"/>
              <w:rPr>
                <w:sz w:val="20"/>
                <w:szCs w:val="20"/>
                <w:color w:val="auto"/>
              </w:rPr>
            </w:pPr>
            <w:r>
              <w:rPr>
                <w:rFonts w:ascii="Arial" w:cs="Arial" w:eastAsia="Arial" w:hAnsi="Arial"/>
                <w:sz w:val="14"/>
                <w:szCs w:val="14"/>
                <w:color w:val="131E29"/>
              </w:rPr>
              <w:t>Accelerated filer</w:t>
            </w:r>
          </w:p>
        </w:tc>
        <w:tc>
          <w:tcPr>
            <w:tcW w:w="1400" w:type="dxa"/>
            <w:vAlign w:val="bottom"/>
          </w:tcPr>
          <w:p>
            <w:pPr>
              <w:ind w:left="1260"/>
              <w:spacing w:after="0"/>
              <w:rPr>
                <w:sz w:val="20"/>
                <w:szCs w:val="20"/>
                <w:color w:val="auto"/>
              </w:rPr>
            </w:pPr>
            <w:r>
              <w:rPr>
                <w:rFonts w:ascii="Wingdings" w:cs="Wingdings" w:eastAsia="Wingdings" w:hAnsi="Wingdings"/>
                <w:sz w:val="14"/>
                <w:szCs w:val="14"/>
                <w:b w:val="1"/>
                <w:bCs w:val="1"/>
                <w:color w:val="131E29"/>
                <w:w w:val="95"/>
              </w:rPr>
              <w:t>o</w:t>
            </w:r>
          </w:p>
        </w:tc>
        <w:tc>
          <w:tcPr>
            <w:tcW w:w="0" w:type="dxa"/>
            <w:vAlign w:val="bottom"/>
          </w:tcPr>
          <w:p>
            <w:pPr>
              <w:spacing w:after="0"/>
              <w:rPr>
                <w:sz w:val="1"/>
                <w:szCs w:val="1"/>
                <w:color w:val="auto"/>
              </w:rPr>
            </w:pPr>
          </w:p>
        </w:tc>
      </w:tr>
      <w:tr>
        <w:trPr>
          <w:trHeight w:val="127"/>
        </w:trPr>
        <w:tc>
          <w:tcPr>
            <w:tcW w:w="2800" w:type="dxa"/>
            <w:vAlign w:val="bottom"/>
            <w:vMerge w:val="continue"/>
          </w:tcPr>
          <w:p>
            <w:pPr>
              <w:spacing w:after="0"/>
              <w:rPr>
                <w:sz w:val="11"/>
                <w:szCs w:val="11"/>
                <w:color w:val="auto"/>
              </w:rPr>
            </w:pPr>
          </w:p>
        </w:tc>
        <w:tc>
          <w:tcPr>
            <w:tcW w:w="26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800" w:type="dxa"/>
            <w:vAlign w:val="bottom"/>
          </w:tcPr>
          <w:p>
            <w:pPr>
              <w:spacing w:after="0"/>
              <w:rPr>
                <w:sz w:val="20"/>
                <w:szCs w:val="20"/>
                <w:color w:val="auto"/>
              </w:rPr>
            </w:pPr>
            <w:r>
              <w:rPr>
                <w:rFonts w:ascii="Arial" w:cs="Arial" w:eastAsia="Arial" w:hAnsi="Arial"/>
                <w:sz w:val="14"/>
                <w:szCs w:val="14"/>
                <w:color w:val="131E29"/>
              </w:rPr>
              <w:t>Non-accelerated filer</w:t>
            </w:r>
          </w:p>
        </w:tc>
        <w:tc>
          <w:tcPr>
            <w:tcW w:w="2660" w:type="dxa"/>
            <w:vAlign w:val="bottom"/>
          </w:tcPr>
          <w:p>
            <w:pPr>
              <w:ind w:left="1400"/>
              <w:spacing w:after="0"/>
              <w:rPr>
                <w:sz w:val="20"/>
                <w:szCs w:val="20"/>
                <w:color w:val="auto"/>
              </w:rPr>
            </w:pPr>
            <w:r>
              <w:rPr>
                <w:rFonts w:ascii="Wingdings" w:cs="Wingdings" w:eastAsia="Wingdings" w:hAnsi="Wingdings"/>
                <w:sz w:val="14"/>
                <w:szCs w:val="14"/>
                <w:b w:val="1"/>
                <w:bCs w:val="1"/>
                <w:color w:val="131E29"/>
              </w:rPr>
              <w:t>o</w:t>
            </w:r>
          </w:p>
        </w:tc>
        <w:tc>
          <w:tcPr>
            <w:tcW w:w="4040" w:type="dxa"/>
            <w:vAlign w:val="bottom"/>
          </w:tcPr>
          <w:p>
            <w:pPr>
              <w:ind w:left="1100"/>
              <w:spacing w:after="0"/>
              <w:rPr>
                <w:sz w:val="20"/>
                <w:szCs w:val="20"/>
                <w:color w:val="auto"/>
              </w:rPr>
            </w:pPr>
            <w:r>
              <w:rPr>
                <w:rFonts w:ascii="Arial" w:cs="Arial" w:eastAsia="Arial" w:hAnsi="Arial"/>
                <w:sz w:val="14"/>
                <w:szCs w:val="14"/>
                <w:color w:val="131E29"/>
              </w:rPr>
              <w:t>Smaller reporting company</w:t>
            </w:r>
          </w:p>
        </w:tc>
        <w:tc>
          <w:tcPr>
            <w:tcW w:w="1400" w:type="dxa"/>
            <w:vAlign w:val="bottom"/>
          </w:tcPr>
          <w:p>
            <w:pPr>
              <w:ind w:left="1260"/>
              <w:spacing w:after="0"/>
              <w:rPr>
                <w:sz w:val="20"/>
                <w:szCs w:val="20"/>
                <w:color w:val="auto"/>
              </w:rPr>
            </w:pPr>
            <w:r>
              <w:rPr>
                <w:rFonts w:ascii="Wingdings" w:cs="Wingdings" w:eastAsia="Wingdings" w:hAnsi="Wingdings"/>
                <w:sz w:val="14"/>
                <w:szCs w:val="14"/>
                <w:b w:val="1"/>
                <w:bCs w:val="1"/>
                <w:color w:val="131E29"/>
                <w:w w:val="95"/>
              </w:rPr>
              <w:t>o</w:t>
            </w:r>
          </w:p>
        </w:tc>
        <w:tc>
          <w:tcPr>
            <w:tcW w:w="0" w:type="dxa"/>
            <w:vAlign w:val="bottom"/>
          </w:tcPr>
          <w:p>
            <w:pPr>
              <w:spacing w:after="0"/>
              <w:rPr>
                <w:sz w:val="1"/>
                <w:szCs w:val="1"/>
                <w:color w:val="auto"/>
              </w:rPr>
            </w:pPr>
          </w:p>
        </w:tc>
      </w:tr>
      <w:tr>
        <w:trPr>
          <w:trHeight w:val="340"/>
        </w:trPr>
        <w:tc>
          <w:tcPr>
            <w:tcW w:w="2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40" w:type="dxa"/>
            <w:vAlign w:val="bottom"/>
          </w:tcPr>
          <w:p>
            <w:pPr>
              <w:ind w:left="1100"/>
              <w:spacing w:after="0"/>
              <w:rPr>
                <w:sz w:val="20"/>
                <w:szCs w:val="20"/>
                <w:color w:val="auto"/>
              </w:rPr>
            </w:pPr>
            <w:r>
              <w:rPr>
                <w:rFonts w:ascii="Arial" w:cs="Arial" w:eastAsia="Arial" w:hAnsi="Arial"/>
                <w:sz w:val="14"/>
                <w:szCs w:val="14"/>
                <w:color w:val="131E29"/>
              </w:rPr>
              <w:t>Emerging growth company</w:t>
            </w:r>
          </w:p>
        </w:tc>
        <w:tc>
          <w:tcPr>
            <w:tcW w:w="1400" w:type="dxa"/>
            <w:vAlign w:val="bottom"/>
          </w:tcPr>
          <w:p>
            <w:pPr>
              <w:ind w:left="1260"/>
              <w:spacing w:after="0"/>
              <w:rPr>
                <w:sz w:val="20"/>
                <w:szCs w:val="20"/>
                <w:color w:val="auto"/>
              </w:rPr>
            </w:pPr>
            <w:r>
              <w:rPr>
                <w:rFonts w:ascii="Wingdings" w:cs="Wingdings" w:eastAsia="Wingdings" w:hAnsi="Wingdings"/>
                <w:sz w:val="14"/>
                <w:szCs w:val="14"/>
                <w:b w:val="1"/>
                <w:bCs w:val="1"/>
                <w:color w:val="131E29"/>
                <w:w w:val="95"/>
              </w:rPr>
              <w:t>o</w:t>
            </w:r>
          </w:p>
        </w:tc>
        <w:tc>
          <w:tcPr>
            <w:tcW w:w="0" w:type="dxa"/>
            <w:vAlign w:val="bottom"/>
          </w:tcPr>
          <w:p>
            <w:pPr>
              <w:spacing w:after="0"/>
              <w:rPr>
                <w:sz w:val="1"/>
                <w:szCs w:val="1"/>
                <w:color w:val="auto"/>
              </w:rPr>
            </w:pPr>
          </w:p>
        </w:tc>
      </w:tr>
    </w:tbl>
    <w:p>
      <w:pPr>
        <w:spacing w:after="0" w:line="334" w:lineRule="exact"/>
        <w:rPr>
          <w:sz w:val="24"/>
          <w:szCs w:val="24"/>
          <w:color w:val="auto"/>
        </w:rPr>
      </w:pPr>
    </w:p>
    <w:p>
      <w:pPr>
        <w:ind w:right="20"/>
        <w:spacing w:after="0" w:line="290" w:lineRule="auto"/>
        <w:rPr>
          <w:sz w:val="20"/>
          <w:szCs w:val="20"/>
          <w:color w:val="auto"/>
        </w:rPr>
      </w:pPr>
      <w:r>
        <w:rPr>
          <w:rFonts w:ascii="Arial" w:cs="Arial" w:eastAsia="Arial" w:hAnsi="Arial"/>
          <w:sz w:val="14"/>
          <w:szCs w:val="14"/>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131E29"/>
        </w:rPr>
        <w:t>o</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6720" w:type="dxa"/>
            <w:vAlign w:val="bottom"/>
            <w:gridSpan w:val="2"/>
          </w:tcPr>
          <w:p>
            <w:pPr>
              <w:spacing w:after="0"/>
              <w:rPr>
                <w:sz w:val="20"/>
                <w:szCs w:val="20"/>
                <w:color w:val="auto"/>
              </w:rPr>
            </w:pPr>
            <w:r>
              <w:rPr>
                <w:rFonts w:ascii="Arial" w:cs="Arial" w:eastAsia="Arial" w:hAnsi="Arial"/>
                <w:sz w:val="14"/>
                <w:szCs w:val="14"/>
                <w:color w:val="131E29"/>
              </w:rPr>
              <w:t>Indicate by check mark whether the registrant is a shell company (as defined in Rule 12b-2 of the Act). Yes</w:t>
            </w:r>
          </w:p>
        </w:tc>
        <w:tc>
          <w:tcPr>
            <w:tcW w:w="1940" w:type="dxa"/>
            <w:vAlign w:val="bottom"/>
          </w:tcPr>
          <w:p>
            <w:pPr>
              <w:jc w:val="right"/>
              <w:ind w:right="1229"/>
              <w:spacing w:after="0"/>
              <w:rPr>
                <w:sz w:val="20"/>
                <w:szCs w:val="20"/>
                <w:color w:val="auto"/>
              </w:rPr>
            </w:pPr>
            <w:r>
              <w:rPr>
                <w:rFonts w:ascii="Wingdings" w:cs="Wingdings" w:eastAsia="Wingdings" w:hAnsi="Wingdings"/>
                <w:sz w:val="14"/>
                <w:szCs w:val="14"/>
                <w:b w:val="1"/>
                <w:bCs w:val="1"/>
                <w:color w:val="131E29"/>
                <w:w w:val="84"/>
              </w:rPr>
              <w:t xml:space="preserve">o </w:t>
            </w:r>
            <w:r>
              <w:rPr>
                <w:rFonts w:ascii="Arial" w:cs="Arial" w:eastAsia="Arial" w:hAnsi="Arial"/>
                <w:sz w:val="14"/>
                <w:szCs w:val="14"/>
                <w:color w:val="131E29"/>
                <w:w w:val="84"/>
              </w:rPr>
              <w:t>No</w:t>
            </w:r>
            <w:r>
              <w:rPr>
                <w:rFonts w:ascii="Wingdings" w:cs="Wingdings" w:eastAsia="Wingdings" w:hAnsi="Wingdings"/>
                <w:sz w:val="14"/>
                <w:szCs w:val="14"/>
                <w:b w:val="1"/>
                <w:bCs w:val="1"/>
                <w:color w:val="131E29"/>
                <w:w w:val="84"/>
              </w:rPr>
              <w:t xml:space="preserve"> x</w:t>
            </w:r>
          </w:p>
        </w:tc>
        <w:tc>
          <w:tcPr>
            <w:tcW w:w="2620" w:type="dxa"/>
            <w:vAlign w:val="bottom"/>
          </w:tcPr>
          <w:p>
            <w:pPr>
              <w:spacing w:after="0"/>
              <w:rPr>
                <w:sz w:val="16"/>
                <w:szCs w:val="16"/>
                <w:color w:val="auto"/>
              </w:rPr>
            </w:pPr>
          </w:p>
        </w:tc>
      </w:tr>
      <w:tr>
        <w:trPr>
          <w:trHeight w:val="297"/>
        </w:trPr>
        <w:tc>
          <w:tcPr>
            <w:tcW w:w="6720" w:type="dxa"/>
            <w:vAlign w:val="bottom"/>
            <w:gridSpan w:val="2"/>
          </w:tcPr>
          <w:p>
            <w:pPr>
              <w:spacing w:after="0"/>
              <w:rPr>
                <w:sz w:val="20"/>
                <w:szCs w:val="20"/>
                <w:color w:val="auto"/>
              </w:rPr>
            </w:pPr>
            <w:r>
              <w:rPr>
                <w:rFonts w:ascii="Arial" w:cs="Arial" w:eastAsia="Arial" w:hAnsi="Arial"/>
                <w:sz w:val="14"/>
                <w:szCs w:val="14"/>
                <w:color w:val="131E29"/>
              </w:rPr>
              <w:t>As of October 31, 2024, the registrant’s outstanding shares of common stock were as follows:</w:t>
            </w:r>
          </w:p>
        </w:tc>
        <w:tc>
          <w:tcPr>
            <w:tcW w:w="19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1"/>
        </w:trPr>
        <w:tc>
          <w:tcPr>
            <w:tcW w:w="26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4080" w:type="dxa"/>
            <w:vAlign w:val="bottom"/>
            <w:shd w:val="clear" w:color="auto" w:fill="D2DCE5"/>
          </w:tcPr>
          <w:p>
            <w:pPr>
              <w:ind w:left="780"/>
              <w:spacing w:after="0"/>
              <w:rPr>
                <w:sz w:val="20"/>
                <w:szCs w:val="20"/>
                <w:color w:val="auto"/>
              </w:rPr>
            </w:pPr>
            <w:r>
              <w:rPr>
                <w:rFonts w:ascii="Arial" w:cs="Arial" w:eastAsia="Arial" w:hAnsi="Arial"/>
                <w:sz w:val="14"/>
                <w:szCs w:val="14"/>
                <w:color w:val="auto"/>
              </w:rPr>
              <w:t>Class A common stock</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auto"/>
              </w:rPr>
              <w:t>113,823,181</w:t>
            </w:r>
          </w:p>
        </w:tc>
        <w:tc>
          <w:tcPr>
            <w:tcW w:w="2620" w:type="dxa"/>
            <w:vAlign w:val="bottom"/>
          </w:tcPr>
          <w:p>
            <w:pPr>
              <w:spacing w:after="0"/>
              <w:rPr>
                <w:sz w:val="18"/>
                <w:szCs w:val="18"/>
                <w:color w:val="auto"/>
              </w:rPr>
            </w:pPr>
          </w:p>
        </w:tc>
      </w:tr>
      <w:tr>
        <w:trPr>
          <w:trHeight w:val="202"/>
        </w:trPr>
        <w:tc>
          <w:tcPr>
            <w:tcW w:w="2640" w:type="dxa"/>
            <w:vAlign w:val="bottom"/>
          </w:tcPr>
          <w:p>
            <w:pPr>
              <w:spacing w:after="0"/>
              <w:rPr>
                <w:sz w:val="17"/>
                <w:szCs w:val="17"/>
                <w:color w:val="auto"/>
              </w:rPr>
            </w:pPr>
          </w:p>
        </w:tc>
        <w:tc>
          <w:tcPr>
            <w:tcW w:w="4080" w:type="dxa"/>
            <w:vAlign w:val="bottom"/>
          </w:tcPr>
          <w:p>
            <w:pPr>
              <w:ind w:left="780"/>
              <w:spacing w:after="0"/>
              <w:rPr>
                <w:sz w:val="20"/>
                <w:szCs w:val="20"/>
                <w:color w:val="auto"/>
              </w:rPr>
            </w:pPr>
            <w:r>
              <w:rPr>
                <w:rFonts w:ascii="Arial" w:cs="Arial" w:eastAsia="Arial" w:hAnsi="Arial"/>
                <w:sz w:val="14"/>
                <w:szCs w:val="14"/>
                <w:color w:val="auto"/>
              </w:rPr>
              <w:t>Class B common stock</w:t>
            </w:r>
          </w:p>
        </w:tc>
        <w:tc>
          <w:tcPr>
            <w:tcW w:w="1940" w:type="dxa"/>
            <w:vAlign w:val="bottom"/>
          </w:tcPr>
          <w:p>
            <w:pPr>
              <w:jc w:val="right"/>
              <w:spacing w:after="0"/>
              <w:rPr>
                <w:sz w:val="20"/>
                <w:szCs w:val="20"/>
                <w:color w:val="auto"/>
              </w:rPr>
            </w:pPr>
            <w:r>
              <w:rPr>
                <w:rFonts w:ascii="Arial" w:cs="Arial" w:eastAsia="Arial" w:hAnsi="Arial"/>
                <w:sz w:val="14"/>
                <w:szCs w:val="14"/>
                <w:color w:val="auto"/>
              </w:rPr>
              <w:t>35,226,680</w:t>
            </w:r>
          </w:p>
        </w:tc>
        <w:tc>
          <w:tcPr>
            <w:tcW w:w="2620" w:type="dxa"/>
            <w:vAlign w:val="bottom"/>
          </w:tcPr>
          <w:p>
            <w:pPr>
              <w:spacing w:after="0"/>
              <w:rPr>
                <w:sz w:val="17"/>
                <w:szCs w:val="17"/>
                <w:color w:val="auto"/>
              </w:rPr>
            </w:pPr>
          </w:p>
        </w:tc>
      </w:tr>
      <w:tr>
        <w:trPr>
          <w:trHeight w:val="222"/>
        </w:trPr>
        <w:tc>
          <w:tcPr>
            <w:tcW w:w="2640" w:type="dxa"/>
            <w:vAlign w:val="bottom"/>
          </w:tcPr>
          <w:p>
            <w:pPr>
              <w:spacing w:after="0"/>
              <w:rPr>
                <w:sz w:val="19"/>
                <w:szCs w:val="19"/>
                <w:color w:val="auto"/>
              </w:rPr>
            </w:pPr>
          </w:p>
        </w:tc>
        <w:tc>
          <w:tcPr>
            <w:tcW w:w="4080" w:type="dxa"/>
            <w:vAlign w:val="bottom"/>
            <w:shd w:val="clear" w:color="auto" w:fill="D2DCE5"/>
          </w:tcPr>
          <w:p>
            <w:pPr>
              <w:ind w:left="780"/>
              <w:spacing w:after="0"/>
              <w:rPr>
                <w:sz w:val="20"/>
                <w:szCs w:val="20"/>
                <w:color w:val="auto"/>
              </w:rPr>
            </w:pPr>
            <w:r>
              <w:rPr>
                <w:rFonts w:ascii="Arial" w:cs="Arial" w:eastAsia="Arial" w:hAnsi="Arial"/>
                <w:sz w:val="14"/>
                <w:szCs w:val="14"/>
                <w:color w:val="auto"/>
              </w:rPr>
              <w:t>Class C common stock</w:t>
            </w:r>
          </w:p>
        </w:tc>
        <w:tc>
          <w:tcPr>
            <w:tcW w:w="1940" w:type="dxa"/>
            <w:vAlign w:val="bottom"/>
            <w:shd w:val="clear" w:color="auto" w:fill="D2DCE5"/>
          </w:tcPr>
          <w:p>
            <w:pPr>
              <w:jc w:val="right"/>
              <w:spacing w:after="0"/>
              <w:rPr>
                <w:sz w:val="20"/>
                <w:szCs w:val="20"/>
                <w:color w:val="auto"/>
              </w:rPr>
            </w:pPr>
            <w:r>
              <w:rPr>
                <w:rFonts w:ascii="Arial" w:cs="Arial" w:eastAsia="Arial" w:hAnsi="Arial"/>
                <w:sz w:val="14"/>
                <w:szCs w:val="14"/>
                <w:color w:val="auto"/>
              </w:rPr>
              <w:t>5,142,050</w:t>
            </w:r>
          </w:p>
        </w:tc>
        <w:tc>
          <w:tcPr>
            <w:tcW w:w="2620" w:type="dxa"/>
            <w:vAlign w:val="bottom"/>
          </w:tcPr>
          <w:p>
            <w:pPr>
              <w:spacing w:after="0"/>
              <w:rPr>
                <w:sz w:val="19"/>
                <w:szCs w:val="19"/>
                <w:color w:val="auto"/>
              </w:rPr>
            </w:pPr>
          </w:p>
        </w:tc>
      </w:tr>
      <w:tr>
        <w:trPr>
          <w:trHeight w:val="223"/>
        </w:trPr>
        <w:tc>
          <w:tcPr>
            <w:tcW w:w="264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440" w:right="299" w:bottom="81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18693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3"/>
        </w:trPr>
        <w:tc>
          <w:tcPr>
            <w:tcW w:w="1320" w:type="dxa"/>
            <w:vAlign w:val="bottom"/>
          </w:tcPr>
          <w:p>
            <w:pPr>
              <w:spacing w:after="0"/>
              <w:rPr>
                <w:sz w:val="23"/>
                <w:szCs w:val="23"/>
                <w:color w:val="auto"/>
              </w:rPr>
            </w:pPr>
          </w:p>
        </w:tc>
        <w:tc>
          <w:tcPr>
            <w:tcW w:w="9240" w:type="dxa"/>
            <w:vAlign w:val="bottom"/>
          </w:tcPr>
          <w:p>
            <w:pPr>
              <w:jc w:val="center"/>
              <w:ind w:right="528"/>
              <w:spacing w:after="0"/>
              <w:rPr>
                <w:sz w:val="20"/>
                <w:szCs w:val="20"/>
                <w:color w:val="auto"/>
              </w:rPr>
            </w:pPr>
            <w:r>
              <w:rPr>
                <w:rFonts w:ascii="Arial" w:cs="Arial" w:eastAsia="Arial" w:hAnsi="Arial"/>
                <w:sz w:val="20"/>
                <w:szCs w:val="20"/>
                <w:b w:val="1"/>
                <w:bCs w:val="1"/>
                <w:color w:val="00416B"/>
                <w:w w:val="98"/>
              </w:rPr>
              <w:t>DUTCH BROS INC.</w:t>
            </w:r>
          </w:p>
        </w:tc>
        <w:tc>
          <w:tcPr>
            <w:tcW w:w="720" w:type="dxa"/>
            <w:vAlign w:val="bottom"/>
          </w:tcPr>
          <w:p>
            <w:pPr>
              <w:spacing w:after="0"/>
              <w:rPr>
                <w:sz w:val="23"/>
                <w:szCs w:val="23"/>
                <w:color w:val="auto"/>
              </w:rPr>
            </w:pPr>
          </w:p>
        </w:tc>
      </w:tr>
      <w:tr>
        <w:trPr>
          <w:trHeight w:val="193"/>
        </w:trPr>
        <w:tc>
          <w:tcPr>
            <w:tcW w:w="1320" w:type="dxa"/>
            <w:vAlign w:val="bottom"/>
          </w:tcPr>
          <w:p>
            <w:pPr>
              <w:spacing w:after="0"/>
              <w:rPr>
                <w:sz w:val="16"/>
                <w:szCs w:val="16"/>
                <w:color w:val="auto"/>
              </w:rPr>
            </w:pPr>
          </w:p>
        </w:tc>
        <w:tc>
          <w:tcPr>
            <w:tcW w:w="9240" w:type="dxa"/>
            <w:vAlign w:val="bottom"/>
          </w:tcPr>
          <w:p>
            <w:pPr>
              <w:jc w:val="center"/>
              <w:ind w:right="508"/>
              <w:spacing w:after="0"/>
              <w:rPr>
                <w:sz w:val="20"/>
                <w:szCs w:val="20"/>
                <w:color w:val="auto"/>
              </w:rPr>
            </w:pPr>
            <w:r>
              <w:rPr>
                <w:rFonts w:ascii="Arial" w:cs="Arial" w:eastAsia="Arial" w:hAnsi="Arial"/>
                <w:sz w:val="14"/>
                <w:szCs w:val="14"/>
                <w:color w:val="131E29"/>
              </w:rPr>
              <w:t>QUARTERLY REPORT ON FORM 10-Q</w:t>
            </w:r>
          </w:p>
        </w:tc>
        <w:tc>
          <w:tcPr>
            <w:tcW w:w="720" w:type="dxa"/>
            <w:vAlign w:val="bottom"/>
          </w:tcPr>
          <w:p>
            <w:pPr>
              <w:spacing w:after="0"/>
              <w:rPr>
                <w:sz w:val="16"/>
                <w:szCs w:val="16"/>
                <w:color w:val="auto"/>
              </w:rPr>
            </w:pPr>
          </w:p>
        </w:tc>
      </w:tr>
      <w:tr>
        <w:trPr>
          <w:trHeight w:val="255"/>
        </w:trPr>
        <w:tc>
          <w:tcPr>
            <w:tcW w:w="1320" w:type="dxa"/>
            <w:vAlign w:val="bottom"/>
          </w:tcPr>
          <w:p>
            <w:pPr>
              <w:spacing w:after="0"/>
              <w:rPr>
                <w:sz w:val="22"/>
                <w:szCs w:val="22"/>
                <w:color w:val="auto"/>
              </w:rPr>
            </w:pPr>
          </w:p>
        </w:tc>
        <w:tc>
          <w:tcPr>
            <w:tcW w:w="9240" w:type="dxa"/>
            <w:vAlign w:val="bottom"/>
          </w:tcPr>
          <w:p>
            <w:pPr>
              <w:jc w:val="center"/>
              <w:ind w:right="528"/>
              <w:spacing w:after="0"/>
              <w:rPr>
                <w:sz w:val="20"/>
                <w:szCs w:val="20"/>
                <w:color w:val="auto"/>
              </w:rPr>
            </w:pPr>
            <w:r>
              <w:rPr>
                <w:rFonts w:ascii="Arial" w:cs="Arial" w:eastAsia="Arial" w:hAnsi="Arial"/>
                <w:sz w:val="14"/>
                <w:szCs w:val="14"/>
                <w:color w:val="131E29"/>
                <w:w w:val="99"/>
              </w:rPr>
              <w:t>TABLE OF CONTENTS</w:t>
            </w:r>
          </w:p>
        </w:tc>
        <w:tc>
          <w:tcPr>
            <w:tcW w:w="720" w:type="dxa"/>
            <w:vAlign w:val="bottom"/>
          </w:tcPr>
          <w:p>
            <w:pPr>
              <w:spacing w:after="0"/>
              <w:rPr>
                <w:sz w:val="22"/>
                <w:szCs w:val="22"/>
                <w:color w:val="auto"/>
              </w:rPr>
            </w:pPr>
          </w:p>
        </w:tc>
      </w:tr>
      <w:tr>
        <w:trPr>
          <w:trHeight w:val="348"/>
        </w:trPr>
        <w:tc>
          <w:tcPr>
            <w:tcW w:w="13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131E29"/>
              </w:rPr>
              <w:t>Page</w:t>
            </w:r>
          </w:p>
        </w:tc>
      </w:tr>
      <w:tr>
        <w:trPr>
          <w:trHeight w:val="278"/>
        </w:trPr>
        <w:tc>
          <w:tcPr>
            <w:tcW w:w="1320" w:type="dxa"/>
            <w:vAlign w:val="bottom"/>
          </w:tcPr>
          <w:p>
            <w:pPr>
              <w:ind w:left="20"/>
              <w:spacing w:after="0"/>
              <w:rPr>
                <w:sz w:val="20"/>
                <w:szCs w:val="20"/>
                <w:color w:val="auto"/>
              </w:rPr>
            </w:pPr>
            <w:r>
              <w:rPr>
                <w:rFonts w:ascii="Arial" w:cs="Arial" w:eastAsia="Arial" w:hAnsi="Arial"/>
                <w:sz w:val="14"/>
                <w:szCs w:val="14"/>
                <w:color w:val="131E29"/>
              </w:rPr>
              <w:t>Glossary</w:t>
            </w:r>
          </w:p>
        </w:tc>
        <w:tc>
          <w:tcPr>
            <w:tcW w:w="9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131E29"/>
              </w:rPr>
              <w:t>1</w:t>
            </w:r>
          </w:p>
        </w:tc>
      </w:tr>
      <w:tr>
        <w:trPr>
          <w:trHeight w:val="147"/>
        </w:trPr>
        <w:tc>
          <w:tcPr>
            <w:tcW w:w="10560" w:type="dxa"/>
            <w:vAlign w:val="bottom"/>
            <w:tcBorders>
              <w:bottom w:val="single" w:sz="8" w:color="D2DCE5"/>
            </w:tcBorders>
            <w:gridSpan w:val="2"/>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Forward-Looking Statements</w:t>
            </w:r>
          </w:p>
        </w:tc>
        <w:tc>
          <w:tcPr>
            <w:tcW w:w="720" w:type="dxa"/>
            <w:vAlign w:val="bottom"/>
          </w:tcPr>
          <w:p>
            <w:pPr>
              <w:jc w:val="center"/>
              <w:spacing w:after="0"/>
              <w:rPr>
                <w:sz w:val="20"/>
                <w:szCs w:val="20"/>
                <w:color w:val="auto"/>
              </w:rPr>
            </w:pPr>
            <w:r>
              <w:rPr>
                <w:rFonts w:ascii="Arial" w:cs="Arial" w:eastAsia="Arial" w:hAnsi="Arial"/>
                <w:sz w:val="14"/>
                <w:szCs w:val="14"/>
                <w:color w:val="131E29"/>
              </w:rPr>
              <w:t>2</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255"/>
        </w:trPr>
        <w:tc>
          <w:tcPr>
            <w:tcW w:w="1320" w:type="dxa"/>
            <w:vAlign w:val="bottom"/>
          </w:tcPr>
          <w:p>
            <w:pPr>
              <w:ind w:left="20"/>
              <w:spacing w:after="0"/>
              <w:rPr>
                <w:sz w:val="20"/>
                <w:szCs w:val="20"/>
                <w:color w:val="auto"/>
              </w:rPr>
            </w:pPr>
            <w:r>
              <w:rPr>
                <w:rFonts w:ascii="Arial" w:cs="Arial" w:eastAsia="Arial" w:hAnsi="Arial"/>
                <w:sz w:val="14"/>
                <w:szCs w:val="14"/>
                <w:b w:val="1"/>
                <w:bCs w:val="1"/>
                <w:color w:val="006098"/>
              </w:rPr>
              <w:t>PART I</w:t>
            </w:r>
          </w:p>
        </w:tc>
        <w:tc>
          <w:tcPr>
            <w:tcW w:w="9240" w:type="dxa"/>
            <w:vAlign w:val="bottom"/>
          </w:tcPr>
          <w:p>
            <w:pPr>
              <w:ind w:left="20"/>
              <w:spacing w:after="0"/>
              <w:rPr>
                <w:sz w:val="20"/>
                <w:szCs w:val="20"/>
                <w:color w:val="auto"/>
              </w:rPr>
            </w:pPr>
            <w:r>
              <w:rPr>
                <w:rFonts w:ascii="Arial" w:cs="Arial" w:eastAsia="Arial" w:hAnsi="Arial"/>
                <w:sz w:val="14"/>
                <w:szCs w:val="14"/>
                <w:b w:val="1"/>
                <w:bCs w:val="1"/>
                <w:color w:val="006098"/>
              </w:rPr>
              <w:t>FINANCIAL INFORMATION</w:t>
            </w:r>
          </w:p>
        </w:tc>
        <w:tc>
          <w:tcPr>
            <w:tcW w:w="720" w:type="dxa"/>
            <w:vAlign w:val="bottom"/>
          </w:tcPr>
          <w:p>
            <w:pPr>
              <w:jc w:val="center"/>
              <w:spacing w:after="0"/>
              <w:rPr>
                <w:sz w:val="20"/>
                <w:szCs w:val="20"/>
                <w:color w:val="auto"/>
              </w:rPr>
            </w:pPr>
            <w:r>
              <w:rPr>
                <w:rFonts w:ascii="Arial" w:cs="Arial" w:eastAsia="Arial" w:hAnsi="Arial"/>
                <w:sz w:val="14"/>
                <w:szCs w:val="14"/>
                <w:color w:val="131E29"/>
              </w:rPr>
              <w:t>3</w:t>
            </w:r>
          </w:p>
        </w:tc>
      </w:tr>
      <w:tr>
        <w:trPr>
          <w:trHeight w:val="251"/>
        </w:trPr>
        <w:tc>
          <w:tcPr>
            <w:tcW w:w="1320" w:type="dxa"/>
            <w:vAlign w:val="bottom"/>
            <w:tcBorders>
              <w:bottom w:val="single" w:sz="8" w:color="FDE021"/>
            </w:tcBorders>
          </w:tcPr>
          <w:p>
            <w:pPr>
              <w:spacing w:after="0"/>
              <w:rPr>
                <w:sz w:val="21"/>
                <w:szCs w:val="21"/>
                <w:color w:val="auto"/>
              </w:rPr>
            </w:pPr>
          </w:p>
        </w:tc>
        <w:tc>
          <w:tcPr>
            <w:tcW w:w="9240" w:type="dxa"/>
            <w:vAlign w:val="bottom"/>
            <w:tcBorders>
              <w:bottom w:val="single" w:sz="8" w:color="FDE021"/>
            </w:tcBorders>
          </w:tcPr>
          <w:p>
            <w:pPr>
              <w:spacing w:after="0"/>
              <w:rPr>
                <w:sz w:val="21"/>
                <w:szCs w:val="21"/>
                <w:color w:val="auto"/>
              </w:rPr>
            </w:pPr>
          </w:p>
        </w:tc>
        <w:tc>
          <w:tcPr>
            <w:tcW w:w="720" w:type="dxa"/>
            <w:vAlign w:val="bottom"/>
            <w:tcBorders>
              <w:bottom w:val="single" w:sz="8" w:color="FDE021"/>
            </w:tcBorders>
          </w:tcPr>
          <w:p>
            <w:pPr>
              <w:spacing w:after="0"/>
              <w:rPr>
                <w:sz w:val="21"/>
                <w:szCs w:val="21"/>
                <w:color w:val="auto"/>
              </w:rPr>
            </w:pPr>
          </w:p>
        </w:tc>
      </w:tr>
      <w:tr>
        <w:trPr>
          <w:trHeight w:val="193"/>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4"/>
                <w:szCs w:val="14"/>
                <w:color w:val="131E29"/>
              </w:rPr>
              <w:t>ITEM 1.</w:t>
            </w:r>
          </w:p>
        </w:tc>
        <w:tc>
          <w:tcPr>
            <w:tcW w:w="9240" w:type="dxa"/>
            <w:vAlign w:val="bottom"/>
            <w:tcBorders>
              <w:top w:val="single" w:sz="8" w:color="00416B"/>
            </w:tcBorders>
          </w:tcPr>
          <w:p>
            <w:pPr>
              <w:ind w:left="20"/>
              <w:spacing w:after="0"/>
              <w:rPr>
                <w:sz w:val="20"/>
                <w:szCs w:val="20"/>
                <w:color w:val="auto"/>
              </w:rPr>
            </w:pPr>
            <w:r>
              <w:rPr>
                <w:rFonts w:ascii="Arial" w:cs="Arial" w:eastAsia="Arial" w:hAnsi="Arial"/>
                <w:sz w:val="14"/>
                <w:szCs w:val="14"/>
                <w:color w:val="131E29"/>
              </w:rPr>
              <w:t>Financial Statements (Unaudited)</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4"/>
                <w:szCs w:val="14"/>
                <w:color w:val="131E29"/>
              </w:rPr>
              <w:t>3</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spacing w:after="0"/>
              <w:rPr>
                <w:sz w:val="15"/>
                <w:szCs w:val="15"/>
                <w:color w:val="auto"/>
              </w:rPr>
            </w:pPr>
          </w:p>
        </w:tc>
        <w:tc>
          <w:tcPr>
            <w:tcW w:w="9240" w:type="dxa"/>
            <w:vAlign w:val="bottom"/>
          </w:tcPr>
          <w:p>
            <w:pPr>
              <w:ind w:left="20"/>
              <w:spacing w:after="0"/>
              <w:rPr>
                <w:sz w:val="20"/>
                <w:szCs w:val="20"/>
                <w:color w:val="auto"/>
              </w:rPr>
            </w:pPr>
            <w:r>
              <w:rPr>
                <w:rFonts w:ascii="Arial" w:cs="Arial" w:eastAsia="Arial" w:hAnsi="Arial"/>
                <w:sz w:val="14"/>
                <w:szCs w:val="14"/>
                <w:color w:val="131E29"/>
              </w:rPr>
              <w:t>Condensed Consolidated Balance Sheets</w:t>
            </w:r>
          </w:p>
        </w:tc>
        <w:tc>
          <w:tcPr>
            <w:tcW w:w="720" w:type="dxa"/>
            <w:vAlign w:val="bottom"/>
          </w:tcPr>
          <w:p>
            <w:pPr>
              <w:jc w:val="center"/>
              <w:spacing w:after="0"/>
              <w:rPr>
                <w:sz w:val="20"/>
                <w:szCs w:val="20"/>
                <w:color w:val="auto"/>
              </w:rPr>
            </w:pPr>
            <w:r>
              <w:rPr>
                <w:rFonts w:ascii="Arial" w:cs="Arial" w:eastAsia="Arial" w:hAnsi="Arial"/>
                <w:sz w:val="14"/>
                <w:szCs w:val="14"/>
                <w:color w:val="131E29"/>
              </w:rPr>
              <w:t>3</w:t>
            </w:r>
          </w:p>
        </w:tc>
      </w:tr>
      <w:tr>
        <w:trPr>
          <w:trHeight w:val="147"/>
        </w:trPr>
        <w:tc>
          <w:tcPr>
            <w:tcW w:w="1320" w:type="dxa"/>
            <w:vAlign w:val="bottom"/>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spacing w:after="0"/>
              <w:rPr>
                <w:sz w:val="15"/>
                <w:szCs w:val="15"/>
                <w:color w:val="auto"/>
              </w:rPr>
            </w:pPr>
          </w:p>
        </w:tc>
        <w:tc>
          <w:tcPr>
            <w:tcW w:w="9240" w:type="dxa"/>
            <w:vAlign w:val="bottom"/>
          </w:tcPr>
          <w:p>
            <w:pPr>
              <w:ind w:left="20"/>
              <w:spacing w:after="0"/>
              <w:rPr>
                <w:sz w:val="20"/>
                <w:szCs w:val="20"/>
                <w:color w:val="auto"/>
              </w:rPr>
            </w:pPr>
            <w:r>
              <w:rPr>
                <w:rFonts w:ascii="Arial" w:cs="Arial" w:eastAsia="Arial" w:hAnsi="Arial"/>
                <w:sz w:val="14"/>
                <w:szCs w:val="14"/>
                <w:color w:val="131E29"/>
              </w:rPr>
              <w:t>Condensed Consolidated Statements of Operations</w:t>
            </w:r>
          </w:p>
        </w:tc>
        <w:tc>
          <w:tcPr>
            <w:tcW w:w="720" w:type="dxa"/>
            <w:vAlign w:val="bottom"/>
          </w:tcPr>
          <w:p>
            <w:pPr>
              <w:jc w:val="center"/>
              <w:spacing w:after="0"/>
              <w:rPr>
                <w:sz w:val="20"/>
                <w:szCs w:val="20"/>
                <w:color w:val="auto"/>
              </w:rPr>
            </w:pPr>
            <w:r>
              <w:rPr>
                <w:rFonts w:ascii="Arial" w:cs="Arial" w:eastAsia="Arial" w:hAnsi="Arial"/>
                <w:sz w:val="14"/>
                <w:szCs w:val="14"/>
                <w:color w:val="131E29"/>
              </w:rPr>
              <w:t>5</w:t>
            </w:r>
          </w:p>
        </w:tc>
      </w:tr>
      <w:tr>
        <w:trPr>
          <w:trHeight w:val="147"/>
        </w:trPr>
        <w:tc>
          <w:tcPr>
            <w:tcW w:w="1320" w:type="dxa"/>
            <w:vAlign w:val="bottom"/>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spacing w:after="0"/>
              <w:rPr>
                <w:sz w:val="15"/>
                <w:szCs w:val="15"/>
                <w:color w:val="auto"/>
              </w:rPr>
            </w:pPr>
          </w:p>
        </w:tc>
        <w:tc>
          <w:tcPr>
            <w:tcW w:w="9240" w:type="dxa"/>
            <w:vAlign w:val="bottom"/>
          </w:tcPr>
          <w:p>
            <w:pPr>
              <w:ind w:left="20"/>
              <w:spacing w:after="0"/>
              <w:rPr>
                <w:sz w:val="20"/>
                <w:szCs w:val="20"/>
                <w:color w:val="auto"/>
              </w:rPr>
            </w:pPr>
            <w:r>
              <w:rPr>
                <w:rFonts w:ascii="Arial" w:cs="Arial" w:eastAsia="Arial" w:hAnsi="Arial"/>
                <w:sz w:val="14"/>
                <w:szCs w:val="14"/>
                <w:color w:val="131E29"/>
              </w:rPr>
              <w:t>Condensed Consolidated Statements of Comprehensive Income</w:t>
            </w:r>
          </w:p>
        </w:tc>
        <w:tc>
          <w:tcPr>
            <w:tcW w:w="720" w:type="dxa"/>
            <w:vAlign w:val="bottom"/>
          </w:tcPr>
          <w:p>
            <w:pPr>
              <w:jc w:val="center"/>
              <w:spacing w:after="0"/>
              <w:rPr>
                <w:sz w:val="20"/>
                <w:szCs w:val="20"/>
                <w:color w:val="auto"/>
              </w:rPr>
            </w:pPr>
            <w:r>
              <w:rPr>
                <w:rFonts w:ascii="Arial" w:cs="Arial" w:eastAsia="Arial" w:hAnsi="Arial"/>
                <w:sz w:val="14"/>
                <w:szCs w:val="14"/>
                <w:color w:val="131E29"/>
              </w:rPr>
              <w:t>6</w:t>
            </w:r>
          </w:p>
        </w:tc>
      </w:tr>
      <w:tr>
        <w:trPr>
          <w:trHeight w:val="147"/>
        </w:trPr>
        <w:tc>
          <w:tcPr>
            <w:tcW w:w="1320" w:type="dxa"/>
            <w:vAlign w:val="bottom"/>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spacing w:after="0"/>
              <w:rPr>
                <w:sz w:val="15"/>
                <w:szCs w:val="15"/>
                <w:color w:val="auto"/>
              </w:rPr>
            </w:pPr>
          </w:p>
        </w:tc>
        <w:tc>
          <w:tcPr>
            <w:tcW w:w="9240" w:type="dxa"/>
            <w:vAlign w:val="bottom"/>
          </w:tcPr>
          <w:p>
            <w:pPr>
              <w:ind w:left="20"/>
              <w:spacing w:after="0"/>
              <w:rPr>
                <w:sz w:val="20"/>
                <w:szCs w:val="20"/>
                <w:color w:val="auto"/>
              </w:rPr>
            </w:pPr>
            <w:r>
              <w:rPr>
                <w:rFonts w:ascii="Arial" w:cs="Arial" w:eastAsia="Arial" w:hAnsi="Arial"/>
                <w:sz w:val="14"/>
                <w:szCs w:val="14"/>
                <w:color w:val="131E29"/>
              </w:rPr>
              <w:t>Condensed Consolidated Statements of Stockholders’ Equity</w:t>
            </w:r>
          </w:p>
        </w:tc>
        <w:tc>
          <w:tcPr>
            <w:tcW w:w="720" w:type="dxa"/>
            <w:vAlign w:val="bottom"/>
          </w:tcPr>
          <w:p>
            <w:pPr>
              <w:jc w:val="center"/>
              <w:spacing w:after="0"/>
              <w:rPr>
                <w:sz w:val="20"/>
                <w:szCs w:val="20"/>
                <w:color w:val="auto"/>
              </w:rPr>
            </w:pPr>
            <w:r>
              <w:rPr>
                <w:rFonts w:ascii="Arial" w:cs="Arial" w:eastAsia="Arial" w:hAnsi="Arial"/>
                <w:sz w:val="14"/>
                <w:szCs w:val="14"/>
                <w:color w:val="131E29"/>
              </w:rPr>
              <w:t>7</w:t>
            </w:r>
          </w:p>
        </w:tc>
      </w:tr>
      <w:tr>
        <w:trPr>
          <w:trHeight w:val="147"/>
        </w:trPr>
        <w:tc>
          <w:tcPr>
            <w:tcW w:w="1320" w:type="dxa"/>
            <w:vAlign w:val="bottom"/>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spacing w:after="0"/>
              <w:rPr>
                <w:sz w:val="15"/>
                <w:szCs w:val="15"/>
                <w:color w:val="auto"/>
              </w:rPr>
            </w:pPr>
          </w:p>
        </w:tc>
        <w:tc>
          <w:tcPr>
            <w:tcW w:w="9240" w:type="dxa"/>
            <w:vAlign w:val="bottom"/>
          </w:tcPr>
          <w:p>
            <w:pPr>
              <w:ind w:left="20"/>
              <w:spacing w:after="0"/>
              <w:rPr>
                <w:sz w:val="20"/>
                <w:szCs w:val="20"/>
                <w:color w:val="auto"/>
              </w:rPr>
            </w:pPr>
            <w:r>
              <w:rPr>
                <w:rFonts w:ascii="Arial" w:cs="Arial" w:eastAsia="Arial" w:hAnsi="Arial"/>
                <w:sz w:val="14"/>
                <w:szCs w:val="14"/>
                <w:color w:val="131E29"/>
              </w:rPr>
              <w:t>Condensed Consolidated Statements of Cash Flows</w:t>
            </w:r>
          </w:p>
        </w:tc>
        <w:tc>
          <w:tcPr>
            <w:tcW w:w="720" w:type="dxa"/>
            <w:vAlign w:val="bottom"/>
          </w:tcPr>
          <w:p>
            <w:pPr>
              <w:jc w:val="center"/>
              <w:spacing w:after="0"/>
              <w:rPr>
                <w:sz w:val="20"/>
                <w:szCs w:val="20"/>
                <w:color w:val="auto"/>
              </w:rPr>
            </w:pPr>
            <w:r>
              <w:rPr>
                <w:rFonts w:ascii="Arial" w:cs="Arial" w:eastAsia="Arial" w:hAnsi="Arial"/>
                <w:sz w:val="14"/>
                <w:szCs w:val="14"/>
                <w:color w:val="131E29"/>
              </w:rPr>
              <w:t>11</w:t>
            </w:r>
          </w:p>
        </w:tc>
      </w:tr>
      <w:tr>
        <w:trPr>
          <w:trHeight w:val="147"/>
        </w:trPr>
        <w:tc>
          <w:tcPr>
            <w:tcW w:w="1320" w:type="dxa"/>
            <w:vAlign w:val="bottom"/>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spacing w:after="0"/>
              <w:rPr>
                <w:sz w:val="15"/>
                <w:szCs w:val="15"/>
                <w:color w:val="auto"/>
              </w:rPr>
            </w:pPr>
          </w:p>
        </w:tc>
        <w:tc>
          <w:tcPr>
            <w:tcW w:w="9240" w:type="dxa"/>
            <w:vAlign w:val="bottom"/>
          </w:tcPr>
          <w:p>
            <w:pPr>
              <w:ind w:left="20"/>
              <w:spacing w:after="0"/>
              <w:rPr>
                <w:sz w:val="20"/>
                <w:szCs w:val="20"/>
                <w:color w:val="auto"/>
              </w:rPr>
            </w:pPr>
            <w:r>
              <w:rPr>
                <w:rFonts w:ascii="Arial" w:cs="Arial" w:eastAsia="Arial" w:hAnsi="Arial"/>
                <w:sz w:val="14"/>
                <w:szCs w:val="14"/>
                <w:color w:val="131E29"/>
              </w:rPr>
              <w:t>Notes to Condensed Consolidated Financial Statements</w:t>
            </w:r>
          </w:p>
        </w:tc>
        <w:tc>
          <w:tcPr>
            <w:tcW w:w="720" w:type="dxa"/>
            <w:vAlign w:val="bottom"/>
          </w:tcPr>
          <w:p>
            <w:pPr>
              <w:jc w:val="center"/>
              <w:spacing w:after="0"/>
              <w:rPr>
                <w:sz w:val="20"/>
                <w:szCs w:val="20"/>
                <w:color w:val="auto"/>
              </w:rPr>
            </w:pPr>
            <w:r>
              <w:rPr>
                <w:rFonts w:ascii="Arial" w:cs="Arial" w:eastAsia="Arial" w:hAnsi="Arial"/>
                <w:sz w:val="14"/>
                <w:szCs w:val="14"/>
                <w:color w:val="131E29"/>
              </w:rPr>
              <w:t>13</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1"/>
        </w:trPr>
        <w:tc>
          <w:tcPr>
            <w:tcW w:w="1320" w:type="dxa"/>
            <w:vAlign w:val="bottom"/>
          </w:tcPr>
          <w:p>
            <w:pPr>
              <w:jc w:val="center"/>
              <w:spacing w:after="0"/>
              <w:rPr>
                <w:sz w:val="20"/>
                <w:szCs w:val="20"/>
                <w:color w:val="auto"/>
              </w:rPr>
            </w:pPr>
            <w:r>
              <w:rPr>
                <w:rFonts w:ascii="Arial" w:cs="Arial" w:eastAsia="Arial" w:hAnsi="Arial"/>
                <w:sz w:val="14"/>
                <w:szCs w:val="14"/>
                <w:color w:val="131E29"/>
              </w:rPr>
              <w:t>ITEM 2.</w:t>
            </w:r>
          </w:p>
        </w:tc>
        <w:tc>
          <w:tcPr>
            <w:tcW w:w="9240" w:type="dxa"/>
            <w:vAlign w:val="bottom"/>
          </w:tcPr>
          <w:p>
            <w:pPr>
              <w:ind w:left="20"/>
              <w:spacing w:after="0"/>
              <w:rPr>
                <w:sz w:val="20"/>
                <w:szCs w:val="20"/>
                <w:color w:val="auto"/>
              </w:rPr>
            </w:pPr>
            <w:r>
              <w:rPr>
                <w:rFonts w:ascii="Arial" w:cs="Arial" w:eastAsia="Arial" w:hAnsi="Arial"/>
                <w:sz w:val="14"/>
                <w:szCs w:val="14"/>
                <w:color w:val="131E29"/>
              </w:rPr>
              <w:t>Management’s Discussion and Analysis of Financial Condition and</w:t>
            </w:r>
          </w:p>
        </w:tc>
        <w:tc>
          <w:tcPr>
            <w:tcW w:w="720" w:type="dxa"/>
            <w:vAlign w:val="bottom"/>
          </w:tcPr>
          <w:p>
            <w:pPr>
              <w:jc w:val="center"/>
              <w:spacing w:after="0"/>
              <w:rPr>
                <w:sz w:val="20"/>
                <w:szCs w:val="20"/>
                <w:color w:val="auto"/>
              </w:rPr>
            </w:pPr>
            <w:r>
              <w:rPr>
                <w:rFonts w:ascii="Arial" w:cs="Arial" w:eastAsia="Arial" w:hAnsi="Arial"/>
                <w:sz w:val="14"/>
                <w:szCs w:val="14"/>
                <w:color w:val="131E29"/>
              </w:rPr>
              <w:t>32</w:t>
            </w:r>
          </w:p>
        </w:tc>
      </w:tr>
      <w:tr>
        <w:trPr>
          <w:trHeight w:val="189"/>
        </w:trPr>
        <w:tc>
          <w:tcPr>
            <w:tcW w:w="1320" w:type="dxa"/>
            <w:vAlign w:val="bottom"/>
            <w:tcBorders>
              <w:bottom w:val="single" w:sz="8" w:color="D2DCE5"/>
            </w:tcBorders>
          </w:tcPr>
          <w:p>
            <w:pPr>
              <w:spacing w:after="0"/>
              <w:rPr>
                <w:sz w:val="16"/>
                <w:szCs w:val="16"/>
                <w:color w:val="auto"/>
              </w:rPr>
            </w:pPr>
          </w:p>
        </w:tc>
        <w:tc>
          <w:tcPr>
            <w:tcW w:w="9240" w:type="dxa"/>
            <w:vAlign w:val="bottom"/>
            <w:tcBorders>
              <w:bottom w:val="single" w:sz="8" w:color="D2DCE5"/>
            </w:tcBorders>
          </w:tcPr>
          <w:p>
            <w:pPr>
              <w:ind w:left="20"/>
              <w:spacing w:after="0"/>
              <w:rPr>
                <w:sz w:val="20"/>
                <w:szCs w:val="20"/>
                <w:color w:val="auto"/>
              </w:rPr>
            </w:pPr>
            <w:r>
              <w:rPr>
                <w:rFonts w:ascii="Arial" w:cs="Arial" w:eastAsia="Arial" w:hAnsi="Arial"/>
                <w:sz w:val="14"/>
                <w:szCs w:val="14"/>
                <w:color w:val="131E29"/>
              </w:rPr>
              <w:t>Results of Operations</w:t>
            </w:r>
          </w:p>
        </w:tc>
        <w:tc>
          <w:tcPr>
            <w:tcW w:w="720" w:type="dxa"/>
            <w:vAlign w:val="bottom"/>
            <w:tcBorders>
              <w:bottom w:val="single" w:sz="8" w:color="D2DCE5"/>
            </w:tcBorders>
          </w:tcPr>
          <w:p>
            <w:pPr>
              <w:spacing w:after="0"/>
              <w:rPr>
                <w:sz w:val="16"/>
                <w:szCs w:val="16"/>
                <w:color w:val="auto"/>
              </w:rPr>
            </w:pPr>
          </w:p>
        </w:tc>
      </w:tr>
      <w:tr>
        <w:trPr>
          <w:trHeight w:val="186"/>
        </w:trPr>
        <w:tc>
          <w:tcPr>
            <w:tcW w:w="1320" w:type="dxa"/>
            <w:vAlign w:val="bottom"/>
          </w:tcPr>
          <w:p>
            <w:pPr>
              <w:jc w:val="center"/>
              <w:spacing w:after="0"/>
              <w:rPr>
                <w:sz w:val="20"/>
                <w:szCs w:val="20"/>
                <w:color w:val="auto"/>
              </w:rPr>
            </w:pPr>
            <w:r>
              <w:rPr>
                <w:rFonts w:ascii="Arial" w:cs="Arial" w:eastAsia="Arial" w:hAnsi="Arial"/>
                <w:sz w:val="14"/>
                <w:szCs w:val="14"/>
                <w:color w:val="131E29"/>
              </w:rPr>
              <w:t>ITEM 3.</w:t>
            </w:r>
          </w:p>
        </w:tc>
        <w:tc>
          <w:tcPr>
            <w:tcW w:w="9240" w:type="dxa"/>
            <w:vAlign w:val="bottom"/>
          </w:tcPr>
          <w:p>
            <w:pPr>
              <w:ind w:left="20"/>
              <w:spacing w:after="0"/>
              <w:rPr>
                <w:sz w:val="20"/>
                <w:szCs w:val="20"/>
                <w:color w:val="auto"/>
              </w:rPr>
            </w:pPr>
            <w:r>
              <w:rPr>
                <w:rFonts w:ascii="Arial" w:cs="Arial" w:eastAsia="Arial" w:hAnsi="Arial"/>
                <w:sz w:val="14"/>
                <w:szCs w:val="14"/>
                <w:color w:val="131E29"/>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4"/>
                <w:szCs w:val="14"/>
                <w:color w:val="131E29"/>
              </w:rPr>
              <w:t>51</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4.</w:t>
            </w:r>
          </w:p>
        </w:tc>
        <w:tc>
          <w:tcPr>
            <w:tcW w:w="9240" w:type="dxa"/>
            <w:vAlign w:val="bottom"/>
          </w:tcPr>
          <w:p>
            <w:pPr>
              <w:ind w:left="20"/>
              <w:spacing w:after="0"/>
              <w:rPr>
                <w:sz w:val="20"/>
                <w:szCs w:val="20"/>
                <w:color w:val="auto"/>
              </w:rPr>
            </w:pPr>
            <w:r>
              <w:rPr>
                <w:rFonts w:ascii="Arial" w:cs="Arial" w:eastAsia="Arial" w:hAnsi="Arial"/>
                <w:sz w:val="14"/>
                <w:szCs w:val="14"/>
                <w:color w:val="131E29"/>
              </w:rPr>
              <w:t>Controls and Procedures</w:t>
            </w:r>
          </w:p>
        </w:tc>
        <w:tc>
          <w:tcPr>
            <w:tcW w:w="720" w:type="dxa"/>
            <w:vAlign w:val="bottom"/>
          </w:tcPr>
          <w:p>
            <w:pPr>
              <w:jc w:val="center"/>
              <w:spacing w:after="0"/>
              <w:rPr>
                <w:sz w:val="20"/>
                <w:szCs w:val="20"/>
                <w:color w:val="auto"/>
              </w:rPr>
            </w:pPr>
            <w:r>
              <w:rPr>
                <w:rFonts w:ascii="Arial" w:cs="Arial" w:eastAsia="Arial" w:hAnsi="Arial"/>
                <w:sz w:val="14"/>
                <w:szCs w:val="14"/>
                <w:color w:val="131E29"/>
              </w:rPr>
              <w:t>52</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255"/>
        </w:trPr>
        <w:tc>
          <w:tcPr>
            <w:tcW w:w="1320" w:type="dxa"/>
            <w:vAlign w:val="bottom"/>
          </w:tcPr>
          <w:p>
            <w:pPr>
              <w:ind w:left="20"/>
              <w:spacing w:after="0"/>
              <w:rPr>
                <w:sz w:val="20"/>
                <w:szCs w:val="20"/>
                <w:color w:val="auto"/>
              </w:rPr>
            </w:pPr>
            <w:r>
              <w:rPr>
                <w:rFonts w:ascii="Arial" w:cs="Arial" w:eastAsia="Arial" w:hAnsi="Arial"/>
                <w:sz w:val="14"/>
                <w:szCs w:val="14"/>
                <w:b w:val="1"/>
                <w:bCs w:val="1"/>
                <w:color w:val="006098"/>
              </w:rPr>
              <w:t>PART II</w:t>
            </w:r>
          </w:p>
        </w:tc>
        <w:tc>
          <w:tcPr>
            <w:tcW w:w="9240" w:type="dxa"/>
            <w:vAlign w:val="bottom"/>
          </w:tcPr>
          <w:p>
            <w:pPr>
              <w:ind w:left="20"/>
              <w:spacing w:after="0"/>
              <w:rPr>
                <w:sz w:val="20"/>
                <w:szCs w:val="20"/>
                <w:color w:val="auto"/>
              </w:rPr>
            </w:pPr>
            <w:r>
              <w:rPr>
                <w:rFonts w:ascii="Arial" w:cs="Arial" w:eastAsia="Arial" w:hAnsi="Arial"/>
                <w:sz w:val="14"/>
                <w:szCs w:val="14"/>
                <w:b w:val="1"/>
                <w:bCs w:val="1"/>
                <w:color w:val="006098"/>
              </w:rPr>
              <w:t>OTHER INFORMATION</w:t>
            </w:r>
          </w:p>
        </w:tc>
        <w:tc>
          <w:tcPr>
            <w:tcW w:w="720" w:type="dxa"/>
            <w:vAlign w:val="bottom"/>
          </w:tcPr>
          <w:p>
            <w:pPr>
              <w:jc w:val="center"/>
              <w:spacing w:after="0"/>
              <w:rPr>
                <w:sz w:val="20"/>
                <w:szCs w:val="20"/>
                <w:color w:val="auto"/>
              </w:rPr>
            </w:pPr>
            <w:r>
              <w:rPr>
                <w:rFonts w:ascii="Arial" w:cs="Arial" w:eastAsia="Arial" w:hAnsi="Arial"/>
                <w:sz w:val="14"/>
                <w:szCs w:val="14"/>
                <w:color w:val="131E29"/>
              </w:rPr>
              <w:t>53</w:t>
            </w:r>
          </w:p>
        </w:tc>
      </w:tr>
      <w:tr>
        <w:trPr>
          <w:trHeight w:val="271"/>
        </w:trPr>
        <w:tc>
          <w:tcPr>
            <w:tcW w:w="1320" w:type="dxa"/>
            <w:vAlign w:val="bottom"/>
            <w:tcBorders>
              <w:bottom w:val="single" w:sz="8" w:color="FDE021"/>
            </w:tcBorders>
          </w:tcPr>
          <w:p>
            <w:pPr>
              <w:spacing w:after="0"/>
              <w:rPr>
                <w:sz w:val="23"/>
                <w:szCs w:val="23"/>
                <w:color w:val="auto"/>
              </w:rPr>
            </w:pPr>
          </w:p>
        </w:tc>
        <w:tc>
          <w:tcPr>
            <w:tcW w:w="9240" w:type="dxa"/>
            <w:vAlign w:val="bottom"/>
            <w:tcBorders>
              <w:bottom w:val="single" w:sz="8" w:color="FDE021"/>
            </w:tcBorders>
          </w:tcPr>
          <w:p>
            <w:pPr>
              <w:spacing w:after="0"/>
              <w:rPr>
                <w:sz w:val="23"/>
                <w:szCs w:val="23"/>
                <w:color w:val="auto"/>
              </w:rPr>
            </w:pPr>
          </w:p>
        </w:tc>
        <w:tc>
          <w:tcPr>
            <w:tcW w:w="720" w:type="dxa"/>
            <w:vAlign w:val="bottom"/>
            <w:tcBorders>
              <w:bottom w:val="single" w:sz="8" w:color="FDE021"/>
            </w:tcBorders>
          </w:tcPr>
          <w:p>
            <w:pPr>
              <w:spacing w:after="0"/>
              <w:rPr>
                <w:sz w:val="23"/>
                <w:szCs w:val="23"/>
                <w:color w:val="auto"/>
              </w:rPr>
            </w:pPr>
          </w:p>
        </w:tc>
      </w:tr>
      <w:tr>
        <w:trPr>
          <w:trHeight w:val="183"/>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4"/>
                <w:szCs w:val="14"/>
                <w:color w:val="131E29"/>
              </w:rPr>
              <w:t>ITEM 1.</w:t>
            </w:r>
          </w:p>
        </w:tc>
        <w:tc>
          <w:tcPr>
            <w:tcW w:w="9240" w:type="dxa"/>
            <w:vAlign w:val="bottom"/>
            <w:tcBorders>
              <w:top w:val="single" w:sz="8" w:color="00416B"/>
            </w:tcBorders>
          </w:tcPr>
          <w:p>
            <w:pPr>
              <w:ind w:left="20"/>
              <w:spacing w:after="0"/>
              <w:rPr>
                <w:sz w:val="20"/>
                <w:szCs w:val="20"/>
                <w:color w:val="auto"/>
              </w:rPr>
            </w:pPr>
            <w:r>
              <w:rPr>
                <w:rFonts w:ascii="Arial" w:cs="Arial" w:eastAsia="Arial" w:hAnsi="Arial"/>
                <w:sz w:val="14"/>
                <w:szCs w:val="14"/>
                <w:color w:val="131E29"/>
              </w:rPr>
              <w:t>Legal Proceedings</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4"/>
                <w:szCs w:val="14"/>
                <w:color w:val="131E29"/>
              </w:rPr>
              <w:t>53</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1A.</w:t>
            </w:r>
          </w:p>
        </w:tc>
        <w:tc>
          <w:tcPr>
            <w:tcW w:w="9240" w:type="dxa"/>
            <w:vAlign w:val="bottom"/>
          </w:tcPr>
          <w:p>
            <w:pPr>
              <w:ind w:left="20"/>
              <w:spacing w:after="0"/>
              <w:rPr>
                <w:sz w:val="20"/>
                <w:szCs w:val="20"/>
                <w:color w:val="auto"/>
              </w:rPr>
            </w:pPr>
            <w:r>
              <w:rPr>
                <w:rFonts w:ascii="Arial" w:cs="Arial" w:eastAsia="Arial" w:hAnsi="Arial"/>
                <w:sz w:val="14"/>
                <w:szCs w:val="14"/>
                <w:color w:val="131E29"/>
              </w:rPr>
              <w:t>Risk Factors</w:t>
            </w:r>
          </w:p>
        </w:tc>
        <w:tc>
          <w:tcPr>
            <w:tcW w:w="720" w:type="dxa"/>
            <w:vAlign w:val="bottom"/>
          </w:tcPr>
          <w:p>
            <w:pPr>
              <w:jc w:val="center"/>
              <w:spacing w:after="0"/>
              <w:rPr>
                <w:sz w:val="20"/>
                <w:szCs w:val="20"/>
                <w:color w:val="auto"/>
              </w:rPr>
            </w:pPr>
            <w:r>
              <w:rPr>
                <w:rFonts w:ascii="Arial" w:cs="Arial" w:eastAsia="Arial" w:hAnsi="Arial"/>
                <w:sz w:val="14"/>
                <w:szCs w:val="14"/>
                <w:color w:val="131E29"/>
              </w:rPr>
              <w:t>53</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2.</w:t>
            </w:r>
          </w:p>
        </w:tc>
        <w:tc>
          <w:tcPr>
            <w:tcW w:w="9240" w:type="dxa"/>
            <w:vAlign w:val="bottom"/>
          </w:tcPr>
          <w:p>
            <w:pPr>
              <w:ind w:left="20"/>
              <w:spacing w:after="0"/>
              <w:rPr>
                <w:sz w:val="20"/>
                <w:szCs w:val="20"/>
                <w:color w:val="auto"/>
              </w:rPr>
            </w:pPr>
            <w:r>
              <w:rPr>
                <w:rFonts w:ascii="Arial" w:cs="Arial" w:eastAsia="Arial" w:hAnsi="Arial"/>
                <w:sz w:val="14"/>
                <w:szCs w:val="14"/>
                <w:color w:val="131E29"/>
              </w:rPr>
              <w:t>Unregistered Sales of Equity Securities and Use of Proceeds</w:t>
            </w:r>
          </w:p>
        </w:tc>
        <w:tc>
          <w:tcPr>
            <w:tcW w:w="720" w:type="dxa"/>
            <w:vAlign w:val="bottom"/>
          </w:tcPr>
          <w:p>
            <w:pPr>
              <w:jc w:val="center"/>
              <w:spacing w:after="0"/>
              <w:rPr>
                <w:sz w:val="20"/>
                <w:szCs w:val="20"/>
                <w:color w:val="auto"/>
              </w:rPr>
            </w:pPr>
            <w:r>
              <w:rPr>
                <w:rFonts w:ascii="Arial" w:cs="Arial" w:eastAsia="Arial" w:hAnsi="Arial"/>
                <w:sz w:val="14"/>
                <w:szCs w:val="14"/>
                <w:color w:val="131E29"/>
              </w:rPr>
              <w:t>102</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3.</w:t>
            </w:r>
          </w:p>
        </w:tc>
        <w:tc>
          <w:tcPr>
            <w:tcW w:w="9240" w:type="dxa"/>
            <w:vAlign w:val="bottom"/>
          </w:tcPr>
          <w:p>
            <w:pPr>
              <w:ind w:left="20"/>
              <w:spacing w:after="0"/>
              <w:rPr>
                <w:sz w:val="20"/>
                <w:szCs w:val="20"/>
                <w:color w:val="auto"/>
              </w:rPr>
            </w:pPr>
            <w:r>
              <w:rPr>
                <w:rFonts w:ascii="Arial" w:cs="Arial" w:eastAsia="Arial" w:hAnsi="Arial"/>
                <w:sz w:val="14"/>
                <w:szCs w:val="14"/>
                <w:color w:val="131E29"/>
              </w:rPr>
              <w:t>Defaults Upon Senior Securities</w:t>
            </w:r>
          </w:p>
        </w:tc>
        <w:tc>
          <w:tcPr>
            <w:tcW w:w="720" w:type="dxa"/>
            <w:vAlign w:val="bottom"/>
          </w:tcPr>
          <w:p>
            <w:pPr>
              <w:jc w:val="center"/>
              <w:spacing w:after="0"/>
              <w:rPr>
                <w:sz w:val="20"/>
                <w:szCs w:val="20"/>
                <w:color w:val="auto"/>
              </w:rPr>
            </w:pPr>
            <w:r>
              <w:rPr>
                <w:rFonts w:ascii="Arial" w:cs="Arial" w:eastAsia="Arial" w:hAnsi="Arial"/>
                <w:sz w:val="14"/>
                <w:szCs w:val="14"/>
                <w:color w:val="131E29"/>
              </w:rPr>
              <w:t>102</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4.</w:t>
            </w:r>
          </w:p>
        </w:tc>
        <w:tc>
          <w:tcPr>
            <w:tcW w:w="9240" w:type="dxa"/>
            <w:vAlign w:val="bottom"/>
          </w:tcPr>
          <w:p>
            <w:pPr>
              <w:ind w:left="20"/>
              <w:spacing w:after="0"/>
              <w:rPr>
                <w:sz w:val="20"/>
                <w:szCs w:val="20"/>
                <w:color w:val="auto"/>
              </w:rPr>
            </w:pPr>
            <w:r>
              <w:rPr>
                <w:rFonts w:ascii="Arial" w:cs="Arial" w:eastAsia="Arial" w:hAnsi="Arial"/>
                <w:sz w:val="14"/>
                <w:szCs w:val="14"/>
                <w:color w:val="131E29"/>
              </w:rPr>
              <w:t>Mine Safety Disclosure</w:t>
            </w:r>
          </w:p>
        </w:tc>
        <w:tc>
          <w:tcPr>
            <w:tcW w:w="720" w:type="dxa"/>
            <w:vAlign w:val="bottom"/>
          </w:tcPr>
          <w:p>
            <w:pPr>
              <w:jc w:val="center"/>
              <w:spacing w:after="0"/>
              <w:rPr>
                <w:sz w:val="20"/>
                <w:szCs w:val="20"/>
                <w:color w:val="auto"/>
              </w:rPr>
            </w:pPr>
            <w:r>
              <w:rPr>
                <w:rFonts w:ascii="Arial" w:cs="Arial" w:eastAsia="Arial" w:hAnsi="Arial"/>
                <w:sz w:val="14"/>
                <w:szCs w:val="14"/>
                <w:color w:val="131E29"/>
              </w:rPr>
              <w:t>102</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5.</w:t>
            </w:r>
          </w:p>
        </w:tc>
        <w:tc>
          <w:tcPr>
            <w:tcW w:w="9240" w:type="dxa"/>
            <w:vAlign w:val="bottom"/>
          </w:tcPr>
          <w:p>
            <w:pPr>
              <w:ind w:left="20"/>
              <w:spacing w:after="0"/>
              <w:rPr>
                <w:sz w:val="20"/>
                <w:szCs w:val="20"/>
                <w:color w:val="auto"/>
              </w:rPr>
            </w:pPr>
            <w:r>
              <w:rPr>
                <w:rFonts w:ascii="Arial" w:cs="Arial" w:eastAsia="Arial" w:hAnsi="Arial"/>
                <w:sz w:val="14"/>
                <w:szCs w:val="14"/>
                <w:color w:val="131E29"/>
              </w:rPr>
              <w:t>Other Information</w:t>
            </w:r>
          </w:p>
        </w:tc>
        <w:tc>
          <w:tcPr>
            <w:tcW w:w="720" w:type="dxa"/>
            <w:vAlign w:val="bottom"/>
          </w:tcPr>
          <w:p>
            <w:pPr>
              <w:jc w:val="center"/>
              <w:spacing w:after="0"/>
              <w:rPr>
                <w:sz w:val="20"/>
                <w:szCs w:val="20"/>
                <w:color w:val="auto"/>
              </w:rPr>
            </w:pPr>
            <w:r>
              <w:rPr>
                <w:rFonts w:ascii="Arial" w:cs="Arial" w:eastAsia="Arial" w:hAnsi="Arial"/>
                <w:sz w:val="14"/>
                <w:szCs w:val="14"/>
                <w:color w:val="131E29"/>
              </w:rPr>
              <w:t>102</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183"/>
        </w:trPr>
        <w:tc>
          <w:tcPr>
            <w:tcW w:w="1320" w:type="dxa"/>
            <w:vAlign w:val="bottom"/>
          </w:tcPr>
          <w:p>
            <w:pPr>
              <w:jc w:val="center"/>
              <w:spacing w:after="0"/>
              <w:rPr>
                <w:sz w:val="20"/>
                <w:szCs w:val="20"/>
                <w:color w:val="auto"/>
              </w:rPr>
            </w:pPr>
            <w:r>
              <w:rPr>
                <w:rFonts w:ascii="Arial" w:cs="Arial" w:eastAsia="Arial" w:hAnsi="Arial"/>
                <w:sz w:val="14"/>
                <w:szCs w:val="14"/>
                <w:color w:val="131E29"/>
              </w:rPr>
              <w:t>ITEM 6.</w:t>
            </w:r>
          </w:p>
        </w:tc>
        <w:tc>
          <w:tcPr>
            <w:tcW w:w="9240" w:type="dxa"/>
            <w:vAlign w:val="bottom"/>
          </w:tcPr>
          <w:p>
            <w:pPr>
              <w:ind w:left="20"/>
              <w:spacing w:after="0"/>
              <w:rPr>
                <w:sz w:val="20"/>
                <w:szCs w:val="20"/>
                <w:color w:val="auto"/>
              </w:rPr>
            </w:pPr>
            <w:r>
              <w:rPr>
                <w:rFonts w:ascii="Arial" w:cs="Arial" w:eastAsia="Arial" w:hAnsi="Arial"/>
                <w:sz w:val="14"/>
                <w:szCs w:val="14"/>
                <w:color w:val="131E29"/>
              </w:rPr>
              <w:t>Exhibits</w:t>
            </w:r>
          </w:p>
        </w:tc>
        <w:tc>
          <w:tcPr>
            <w:tcW w:w="720" w:type="dxa"/>
            <w:vAlign w:val="bottom"/>
          </w:tcPr>
          <w:p>
            <w:pPr>
              <w:jc w:val="center"/>
              <w:spacing w:after="0"/>
              <w:rPr>
                <w:sz w:val="20"/>
                <w:szCs w:val="20"/>
                <w:color w:val="auto"/>
              </w:rPr>
            </w:pPr>
            <w:r>
              <w:rPr>
                <w:rFonts w:ascii="Arial" w:cs="Arial" w:eastAsia="Arial" w:hAnsi="Arial"/>
                <w:sz w:val="14"/>
                <w:szCs w:val="14"/>
                <w:color w:val="131E29"/>
              </w:rPr>
              <w:t>103</w:t>
            </w:r>
          </w:p>
        </w:tc>
      </w:tr>
      <w:tr>
        <w:trPr>
          <w:trHeight w:val="147"/>
        </w:trPr>
        <w:tc>
          <w:tcPr>
            <w:tcW w:w="1320" w:type="dxa"/>
            <w:vAlign w:val="bottom"/>
            <w:tcBorders>
              <w:bottom w:val="single" w:sz="8" w:color="D2DCE5"/>
            </w:tcBorders>
          </w:tcPr>
          <w:p>
            <w:pPr>
              <w:spacing w:after="0"/>
              <w:rPr>
                <w:sz w:val="12"/>
                <w:szCs w:val="12"/>
                <w:color w:val="auto"/>
              </w:rPr>
            </w:pPr>
          </w:p>
        </w:tc>
        <w:tc>
          <w:tcPr>
            <w:tcW w:w="9240" w:type="dxa"/>
            <w:vAlign w:val="bottom"/>
            <w:tcBorders>
              <w:bottom w:val="single" w:sz="8" w:color="D2DCE5"/>
            </w:tcBorders>
          </w:tcPr>
          <w:p>
            <w:pPr>
              <w:spacing w:after="0"/>
              <w:rPr>
                <w:sz w:val="12"/>
                <w:szCs w:val="12"/>
                <w:color w:val="auto"/>
              </w:rPr>
            </w:pPr>
          </w:p>
        </w:tc>
        <w:tc>
          <w:tcPr>
            <w:tcW w:w="720" w:type="dxa"/>
            <w:vAlign w:val="bottom"/>
            <w:tcBorders>
              <w:bottom w:val="single" w:sz="8" w:color="D2DCE5"/>
            </w:tcBorders>
          </w:tcPr>
          <w:p>
            <w:pPr>
              <w:spacing w:after="0"/>
              <w:rPr>
                <w:sz w:val="12"/>
                <w:szCs w:val="12"/>
                <w:color w:val="auto"/>
              </w:rPr>
            </w:pPr>
          </w:p>
        </w:tc>
      </w:tr>
      <w:tr>
        <w:trPr>
          <w:trHeight w:val="255"/>
        </w:trPr>
        <w:tc>
          <w:tcPr>
            <w:tcW w:w="1320" w:type="dxa"/>
            <w:vAlign w:val="bottom"/>
          </w:tcPr>
          <w:p>
            <w:pPr>
              <w:ind w:left="20"/>
              <w:spacing w:after="0"/>
              <w:rPr>
                <w:sz w:val="20"/>
                <w:szCs w:val="20"/>
                <w:color w:val="auto"/>
              </w:rPr>
            </w:pPr>
            <w:r>
              <w:rPr>
                <w:rFonts w:ascii="Arial" w:cs="Arial" w:eastAsia="Arial" w:hAnsi="Arial"/>
                <w:sz w:val="14"/>
                <w:szCs w:val="14"/>
                <w:b w:val="1"/>
                <w:bCs w:val="1"/>
                <w:color w:val="006098"/>
              </w:rPr>
              <w:t>SIGNATURES</w:t>
            </w:r>
          </w:p>
        </w:tc>
        <w:tc>
          <w:tcPr>
            <w:tcW w:w="924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131E29"/>
              </w:rPr>
              <w:t>104</w:t>
            </w:r>
          </w:p>
        </w:tc>
      </w:tr>
      <w:tr>
        <w:trPr>
          <w:trHeight w:val="251"/>
        </w:trPr>
        <w:tc>
          <w:tcPr>
            <w:tcW w:w="1320" w:type="dxa"/>
            <w:vAlign w:val="bottom"/>
            <w:tcBorders>
              <w:bottom w:val="single" w:sz="8" w:color="FDE021"/>
            </w:tcBorders>
          </w:tcPr>
          <w:p>
            <w:pPr>
              <w:spacing w:after="0"/>
              <w:rPr>
                <w:sz w:val="21"/>
                <w:szCs w:val="21"/>
                <w:color w:val="auto"/>
              </w:rPr>
            </w:pPr>
          </w:p>
        </w:tc>
        <w:tc>
          <w:tcPr>
            <w:tcW w:w="9240" w:type="dxa"/>
            <w:vAlign w:val="bottom"/>
            <w:tcBorders>
              <w:bottom w:val="single" w:sz="8" w:color="FDE021"/>
            </w:tcBorders>
          </w:tcPr>
          <w:p>
            <w:pPr>
              <w:spacing w:after="0"/>
              <w:rPr>
                <w:sz w:val="21"/>
                <w:szCs w:val="21"/>
                <w:color w:val="auto"/>
              </w:rPr>
            </w:pPr>
          </w:p>
        </w:tc>
        <w:tc>
          <w:tcPr>
            <w:tcW w:w="720" w:type="dxa"/>
            <w:vAlign w:val="bottom"/>
            <w:tcBorders>
              <w:bottom w:val="single" w:sz="8" w:color="FDE021"/>
            </w:tcBorders>
          </w:tcPr>
          <w:p>
            <w:pPr>
              <w:spacing w:after="0"/>
              <w:rPr>
                <w:sz w:val="21"/>
                <w:szCs w:val="21"/>
                <w:color w:val="auto"/>
              </w:rPr>
            </w:pPr>
          </w:p>
        </w:tc>
      </w:tr>
      <w:tr>
        <w:trPr>
          <w:trHeight w:val="1306"/>
        </w:trPr>
        <w:tc>
          <w:tcPr>
            <w:tcW w:w="1320" w:type="dxa"/>
            <w:vAlign w:val="bottom"/>
            <w:tcBorders>
              <w:top w:val="single" w:sz="8" w:color="00416B"/>
              <w:bottom w:val="single" w:sz="8" w:color="9A9A9A"/>
            </w:tcBorders>
          </w:tcPr>
          <w:p>
            <w:pPr>
              <w:spacing w:after="0"/>
              <w:rPr>
                <w:sz w:val="24"/>
                <w:szCs w:val="24"/>
                <w:color w:val="auto"/>
              </w:rPr>
            </w:pPr>
          </w:p>
        </w:tc>
        <w:tc>
          <w:tcPr>
            <w:tcW w:w="9240" w:type="dxa"/>
            <w:vAlign w:val="bottom"/>
            <w:tcBorders>
              <w:top w:val="single" w:sz="8" w:color="00416B"/>
              <w:bottom w:val="single" w:sz="8" w:color="9A9A9A"/>
            </w:tcBorders>
          </w:tcPr>
          <w:p>
            <w:pPr>
              <w:spacing w:after="0"/>
              <w:rPr>
                <w:sz w:val="24"/>
                <w:szCs w:val="24"/>
                <w:color w:val="auto"/>
              </w:rPr>
            </w:pPr>
          </w:p>
        </w:tc>
        <w:tc>
          <w:tcPr>
            <w:tcW w:w="72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80" w:type="dxa"/>
            <w:vAlign w:val="bottom"/>
            <w:tcBorders>
              <w:bottom w:val="single" w:sz="8" w:color="D7282F"/>
            </w:tcBorders>
          </w:tcPr>
          <w:p>
            <w:pPr>
              <w:ind w:left="1140"/>
              <w:spacing w:after="0"/>
              <w:rPr>
                <w:sz w:val="20"/>
                <w:szCs w:val="20"/>
                <w:color w:val="auto"/>
              </w:rPr>
            </w:pPr>
            <w:r>
              <w:rPr>
                <w:rFonts w:ascii="Arial" w:cs="Arial" w:eastAsia="Arial" w:hAnsi="Arial"/>
                <w:sz w:val="14"/>
                <w:szCs w:val="14"/>
                <w:b w:val="1"/>
                <w:bCs w:val="1"/>
                <w:color w:val="006098"/>
              </w:rPr>
              <w:t>TERM</w:t>
            </w:r>
          </w:p>
        </w:tc>
        <w:tc>
          <w:tcPr>
            <w:tcW w:w="100" w:type="dxa"/>
            <w:vAlign w:val="bottom"/>
            <w:tcBorders>
              <w:bottom w:val="single" w:sz="8" w:color="D2DCE5"/>
            </w:tcBorders>
          </w:tcPr>
          <w:p>
            <w:pPr>
              <w:spacing w:after="0"/>
              <w:rPr>
                <w:sz w:val="17"/>
                <w:szCs w:val="17"/>
                <w:color w:val="auto"/>
              </w:rPr>
            </w:pPr>
          </w:p>
        </w:tc>
        <w:tc>
          <w:tcPr>
            <w:tcW w:w="85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006098"/>
              </w:rPr>
              <w:t>DEFINITION</w:t>
            </w:r>
          </w:p>
        </w:tc>
      </w:tr>
      <w:tr>
        <w:trPr>
          <w:trHeight w:val="187"/>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2022 Credit Facility</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Has the meaning set forth in NOTE 9 — Debt to the condensed consolidated financial statements, included elsewhere in this Form 10-Q</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AOCI</w:t>
            </w:r>
          </w:p>
        </w:tc>
        <w:tc>
          <w:tcPr>
            <w:tcW w:w="8500" w:type="dxa"/>
            <w:vAlign w:val="bottom"/>
          </w:tcPr>
          <w:p>
            <w:pPr>
              <w:spacing w:after="0"/>
              <w:rPr>
                <w:sz w:val="20"/>
                <w:szCs w:val="20"/>
                <w:color w:val="auto"/>
              </w:rPr>
            </w:pPr>
            <w:r>
              <w:rPr>
                <w:rFonts w:ascii="Arial" w:cs="Arial" w:eastAsia="Arial" w:hAnsi="Arial"/>
                <w:sz w:val="13"/>
                <w:szCs w:val="13"/>
                <w:color w:val="131E29"/>
              </w:rPr>
              <w:t>Accumulated Other Comprehensive Income</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ASU</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Accounting Standards Update</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AUV</w:t>
            </w:r>
          </w:p>
        </w:tc>
        <w:tc>
          <w:tcPr>
            <w:tcW w:w="8500" w:type="dxa"/>
            <w:vAlign w:val="bottom"/>
          </w:tcPr>
          <w:p>
            <w:pPr>
              <w:spacing w:after="0"/>
              <w:rPr>
                <w:sz w:val="20"/>
                <w:szCs w:val="20"/>
                <w:color w:val="auto"/>
              </w:rPr>
            </w:pPr>
            <w:r>
              <w:rPr>
                <w:rFonts w:ascii="Arial" w:cs="Arial" w:eastAsia="Arial" w:hAnsi="Arial"/>
                <w:sz w:val="13"/>
                <w:szCs w:val="13"/>
                <w:color w:val="131E29"/>
              </w:rPr>
              <w:t>Average Unit Volume</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Blocker Companies</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TSG7 A AIV VI Holdings, LLC and DG Coinvestor Blocker, LLC</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BPS or bps</w:t>
            </w:r>
          </w:p>
        </w:tc>
        <w:tc>
          <w:tcPr>
            <w:tcW w:w="8500" w:type="dxa"/>
            <w:vAlign w:val="bottom"/>
          </w:tcPr>
          <w:p>
            <w:pPr>
              <w:spacing w:after="0"/>
              <w:rPr>
                <w:sz w:val="20"/>
                <w:szCs w:val="20"/>
                <w:color w:val="auto"/>
              </w:rPr>
            </w:pPr>
            <w:r>
              <w:rPr>
                <w:rFonts w:ascii="Arial" w:cs="Arial" w:eastAsia="Arial" w:hAnsi="Arial"/>
                <w:sz w:val="13"/>
                <w:szCs w:val="13"/>
                <w:color w:val="131E29"/>
              </w:rPr>
              <w:t>Basis points, which is used to express differences in rates. One basis point is the equivalent of 1/100 of one percent.</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CODM</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Chief Operating Decision Maker</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Co-Founder</w:t>
            </w:r>
          </w:p>
        </w:tc>
        <w:tc>
          <w:tcPr>
            <w:tcW w:w="8500" w:type="dxa"/>
            <w:vAlign w:val="bottom"/>
          </w:tcPr>
          <w:p>
            <w:pPr>
              <w:spacing w:after="0"/>
              <w:rPr>
                <w:sz w:val="20"/>
                <w:szCs w:val="20"/>
                <w:color w:val="auto"/>
              </w:rPr>
            </w:pPr>
            <w:r>
              <w:rPr>
                <w:rFonts w:ascii="Arial" w:cs="Arial" w:eastAsia="Arial" w:hAnsi="Arial"/>
                <w:sz w:val="13"/>
                <w:szCs w:val="13"/>
                <w:color w:val="131E29"/>
              </w:rPr>
              <w:t>Travis Boersma, our Executive Chairman and Co-Founder, and affiliated entities over which he maintains voting control.</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Continuing Members</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The Co-Founder and the Sponsor</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Dutch Bros OpCo</w:t>
            </w:r>
          </w:p>
        </w:tc>
        <w:tc>
          <w:tcPr>
            <w:tcW w:w="8500" w:type="dxa"/>
            <w:vAlign w:val="bottom"/>
          </w:tcPr>
          <w:p>
            <w:pPr>
              <w:spacing w:after="0"/>
              <w:rPr>
                <w:sz w:val="20"/>
                <w:szCs w:val="20"/>
                <w:color w:val="auto"/>
              </w:rPr>
            </w:pPr>
            <w:r>
              <w:rPr>
                <w:rFonts w:ascii="Arial" w:cs="Arial" w:eastAsia="Arial" w:hAnsi="Arial"/>
                <w:sz w:val="13"/>
                <w:szCs w:val="13"/>
                <w:color w:val="131E29"/>
              </w:rPr>
              <w:t>Dutch Mafia, LLC, a Delaware limited liability company and direct subsidiary of Dutch Bros Inc.</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Dutch Bros Inc.</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A Delaware corporation, the Class A common stock of which is publicly traded on the New York Stock Exchange under the symbol “BROS”.</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FASB</w:t>
            </w:r>
          </w:p>
        </w:tc>
        <w:tc>
          <w:tcPr>
            <w:tcW w:w="8500" w:type="dxa"/>
            <w:vAlign w:val="bottom"/>
          </w:tcPr>
          <w:p>
            <w:pPr>
              <w:spacing w:after="0"/>
              <w:rPr>
                <w:sz w:val="20"/>
                <w:szCs w:val="20"/>
                <w:color w:val="auto"/>
              </w:rPr>
            </w:pPr>
            <w:r>
              <w:rPr>
                <w:rFonts w:ascii="Arial" w:cs="Arial" w:eastAsia="Arial" w:hAnsi="Arial"/>
                <w:sz w:val="13"/>
                <w:szCs w:val="13"/>
                <w:color w:val="131E29"/>
              </w:rPr>
              <w:t>Financial Accounting Standards Board</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GAAP</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U.S. Generally Accepted Accounting Principles</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IPO</w:t>
            </w:r>
          </w:p>
        </w:tc>
        <w:tc>
          <w:tcPr>
            <w:tcW w:w="8500" w:type="dxa"/>
            <w:vAlign w:val="bottom"/>
          </w:tcPr>
          <w:p>
            <w:pPr>
              <w:spacing w:after="0"/>
              <w:rPr>
                <w:sz w:val="20"/>
                <w:szCs w:val="20"/>
                <w:color w:val="auto"/>
              </w:rPr>
            </w:pPr>
            <w:r>
              <w:rPr>
                <w:rFonts w:ascii="Arial" w:cs="Arial" w:eastAsia="Arial" w:hAnsi="Arial"/>
                <w:sz w:val="13"/>
                <w:szCs w:val="13"/>
                <w:color w:val="131E29"/>
              </w:rPr>
              <w:t>Initial Public Offering</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N/M</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A not meaningful percentage.</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OpCo LLC Agreement</w:t>
            </w:r>
          </w:p>
        </w:tc>
        <w:tc>
          <w:tcPr>
            <w:tcW w:w="8500" w:type="dxa"/>
            <w:vAlign w:val="bottom"/>
          </w:tcPr>
          <w:p>
            <w:pPr>
              <w:spacing w:after="0"/>
              <w:rPr>
                <w:sz w:val="20"/>
                <w:szCs w:val="20"/>
                <w:color w:val="auto"/>
              </w:rPr>
            </w:pPr>
            <w:r>
              <w:rPr>
                <w:rFonts w:ascii="Arial" w:cs="Arial" w:eastAsia="Arial" w:hAnsi="Arial"/>
                <w:sz w:val="13"/>
                <w:szCs w:val="13"/>
                <w:color w:val="131E29"/>
              </w:rPr>
              <w:t>The Fourth Amended and Restated Limited Liability Company Agreement of Dutch Mafia, LLC, dated as of May 16, 2024.</w:t>
            </w:r>
          </w:p>
        </w:tc>
      </w:tr>
      <w:tr>
        <w:trPr>
          <w:trHeight w:val="163"/>
        </w:trPr>
        <w:tc>
          <w:tcPr>
            <w:tcW w:w="26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Class A common units, Class B voting units and Class C voting units of Dutch Bros OpCo, each as further defined in the OpCo LLC Agreement,</w:t>
            </w:r>
          </w:p>
        </w:tc>
      </w:tr>
      <w:tr>
        <w:trPr>
          <w:trHeight w:val="191"/>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OpCo Units</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collectively.</w:t>
            </w:r>
          </w:p>
        </w:tc>
      </w:tr>
      <w:tr>
        <w:trPr>
          <w:trHeight w:val="159"/>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131E29"/>
              </w:rPr>
              <w:t>TSG7 A AIV VI Holdings-A, L.P. and DG Coinvestor Blocker Aggregator, L.P. or their assignees or successors pursuant to the terms of the certain</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Pre-IPO Blocker Holders</w:t>
            </w:r>
          </w:p>
        </w:tc>
        <w:tc>
          <w:tcPr>
            <w:tcW w:w="8500" w:type="dxa"/>
            <w:vAlign w:val="bottom"/>
          </w:tcPr>
          <w:p>
            <w:pPr>
              <w:spacing w:after="0"/>
              <w:rPr>
                <w:sz w:val="20"/>
                <w:szCs w:val="20"/>
                <w:color w:val="auto"/>
              </w:rPr>
            </w:pPr>
            <w:r>
              <w:rPr>
                <w:rFonts w:ascii="Arial" w:cs="Arial" w:eastAsia="Arial" w:hAnsi="Arial"/>
                <w:sz w:val="13"/>
                <w:szCs w:val="13"/>
                <w:color w:val="131E29"/>
              </w:rPr>
              <w:t>Reorganization Tax Receivable Agreement.</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QSR</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Quick Service Restaurant</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RSA</w:t>
            </w:r>
          </w:p>
        </w:tc>
        <w:tc>
          <w:tcPr>
            <w:tcW w:w="8500" w:type="dxa"/>
            <w:vAlign w:val="bottom"/>
          </w:tcPr>
          <w:p>
            <w:pPr>
              <w:spacing w:after="0"/>
              <w:rPr>
                <w:sz w:val="20"/>
                <w:szCs w:val="20"/>
                <w:color w:val="auto"/>
              </w:rPr>
            </w:pPr>
            <w:r>
              <w:rPr>
                <w:rFonts w:ascii="Arial" w:cs="Arial" w:eastAsia="Arial" w:hAnsi="Arial"/>
                <w:sz w:val="13"/>
                <w:szCs w:val="13"/>
                <w:color w:val="131E29"/>
              </w:rPr>
              <w:t>Restricted Stock Awards</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RSU</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Restricted Stock Units</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SEC</w:t>
            </w:r>
          </w:p>
        </w:tc>
        <w:tc>
          <w:tcPr>
            <w:tcW w:w="8500" w:type="dxa"/>
            <w:vAlign w:val="bottom"/>
          </w:tcPr>
          <w:p>
            <w:pPr>
              <w:spacing w:after="0"/>
              <w:rPr>
                <w:sz w:val="20"/>
                <w:szCs w:val="20"/>
                <w:color w:val="auto"/>
              </w:rPr>
            </w:pPr>
            <w:r>
              <w:rPr>
                <w:rFonts w:ascii="Arial" w:cs="Arial" w:eastAsia="Arial" w:hAnsi="Arial"/>
                <w:sz w:val="13"/>
                <w:szCs w:val="13"/>
                <w:color w:val="131E29"/>
              </w:rPr>
              <w:t>Securities and Exchange Commission</w:t>
            </w:r>
          </w:p>
        </w:tc>
      </w:tr>
      <w:tr>
        <w:trPr>
          <w:trHeight w:val="195"/>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SOFR</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Secured Overnight Financing Rate</w:t>
            </w:r>
          </w:p>
        </w:tc>
      </w:tr>
      <w:tr>
        <w:trPr>
          <w:trHeight w:val="187"/>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Sponsor</w:t>
            </w:r>
          </w:p>
        </w:tc>
        <w:tc>
          <w:tcPr>
            <w:tcW w:w="8500" w:type="dxa"/>
            <w:vAlign w:val="bottom"/>
          </w:tcPr>
          <w:p>
            <w:pPr>
              <w:spacing w:after="0"/>
              <w:rPr>
                <w:sz w:val="20"/>
                <w:szCs w:val="20"/>
                <w:color w:val="auto"/>
              </w:rPr>
            </w:pPr>
            <w:r>
              <w:rPr>
                <w:rFonts w:ascii="Arial" w:cs="Arial" w:eastAsia="Arial" w:hAnsi="Arial"/>
                <w:sz w:val="13"/>
                <w:szCs w:val="13"/>
                <w:color w:val="131E29"/>
              </w:rPr>
              <w:t>TSG Consumer Partners, L.P. and certain of its affiliates.</w:t>
            </w:r>
          </w:p>
        </w:tc>
      </w:tr>
      <w:tr>
        <w:trPr>
          <w:trHeight w:val="163"/>
        </w:trPr>
        <w:tc>
          <w:tcPr>
            <w:tcW w:w="26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The Tax Receivable Agreement (Exchanges) and the Tax Receivable Agreement (Reorganization) that Dutch Bros Inc. entered into with the</w:t>
            </w:r>
          </w:p>
        </w:tc>
      </w:tr>
      <w:tr>
        <w:trPr>
          <w:trHeight w:val="191"/>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Tax Receivable Agreements and TRAs</w:t>
            </w:r>
          </w:p>
        </w:tc>
        <w:tc>
          <w:tcPr>
            <w:tcW w:w="8500" w:type="dxa"/>
            <w:vAlign w:val="bottom"/>
            <w:shd w:val="clear" w:color="auto" w:fill="D2DCE5"/>
          </w:tcPr>
          <w:p>
            <w:pPr>
              <w:spacing w:after="0"/>
              <w:rPr>
                <w:sz w:val="20"/>
                <w:szCs w:val="20"/>
                <w:color w:val="auto"/>
              </w:rPr>
            </w:pPr>
            <w:r>
              <w:rPr>
                <w:rFonts w:ascii="Arial" w:cs="Arial" w:eastAsia="Arial" w:hAnsi="Arial"/>
                <w:sz w:val="13"/>
                <w:szCs w:val="13"/>
                <w:color w:val="131E29"/>
              </w:rPr>
              <w:t>Continuing Members and the Pre-IPO Blocker Holders, respectively, in connection with the IPO.</w:t>
            </w:r>
          </w:p>
        </w:tc>
      </w:tr>
      <w:tr>
        <w:trPr>
          <w:trHeight w:val="184"/>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131E29"/>
              </w:rPr>
              <w:t>Western United States</w:t>
            </w:r>
          </w:p>
        </w:tc>
        <w:tc>
          <w:tcPr>
            <w:tcW w:w="8500" w:type="dxa"/>
            <w:vAlign w:val="bottom"/>
          </w:tcPr>
          <w:p>
            <w:pPr>
              <w:spacing w:after="0"/>
              <w:rPr>
                <w:sz w:val="20"/>
                <w:szCs w:val="20"/>
                <w:color w:val="auto"/>
              </w:rPr>
            </w:pPr>
            <w:r>
              <w:rPr>
                <w:rFonts w:ascii="Arial" w:cs="Arial" w:eastAsia="Arial" w:hAnsi="Arial"/>
                <w:sz w:val="13"/>
                <w:szCs w:val="13"/>
                <w:color w:val="131E29"/>
              </w:rPr>
              <w:t>The collection of states including Arizona, California, Colorado, Idaho, Nevada, New Mexico, Oregon, Utah and Washington.</w:t>
            </w:r>
          </w:p>
        </w:tc>
      </w:tr>
    </w:tbl>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1"/>
          <w:szCs w:val="11"/>
          <w:i w:val="1"/>
          <w:iCs w:val="1"/>
          <w:color w:val="131E29"/>
        </w:rPr>
        <w:t>Dutch Bros</w:t>
      </w:r>
      <w:r>
        <w:rPr>
          <w:rFonts w:ascii="Arial" w:cs="Arial" w:eastAsia="Arial" w:hAnsi="Arial"/>
          <w:sz w:val="11"/>
          <w:szCs w:val="11"/>
          <w:color w:val="131E29"/>
        </w:rPr>
        <w:t>, our Windmill logo (</w:t>
      </w:r>
      <w:r>
        <w:rPr>
          <w:sz w:val="1"/>
          <w:szCs w:val="1"/>
          <w:color w:val="auto"/>
        </w:rPr>
        <w:drawing>
          <wp:inline distT="0" distB="0" distL="0" distR="0">
            <wp:extent cx="134620" cy="1885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 xml:space="preserve">), </w:t>
      </w:r>
      <w:r>
        <w:rPr>
          <w:rFonts w:ascii="Arial" w:cs="Arial" w:eastAsia="Arial" w:hAnsi="Arial"/>
          <w:sz w:val="11"/>
          <w:szCs w:val="11"/>
          <w:i w:val="1"/>
          <w:iCs w:val="1"/>
          <w:color w:val="131E29"/>
        </w:rPr>
        <w:t>Dutch Bros Blue Rebel</w:t>
      </w:r>
      <w:r>
        <w:rPr>
          <w:rFonts w:ascii="Arial" w:cs="Arial" w:eastAsia="Arial" w:hAnsi="Arial"/>
          <w:sz w:val="11"/>
          <w:szCs w:val="11"/>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 w:name="page5"/>
    <w:bookmarkEnd w:id="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FORWARD-LOOKING STATEMENTS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Certain statements in this Form 10-Q that are not historical facts, including those regarding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2023, filed with the Securities and Exchange Commission on February 23, 2024 (2023 Form 10-K).</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Website Disclosure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u w:val="single" w:color="auto"/>
          <w:color w:val="006098"/>
        </w:rPr>
        <w:t>Table of Contents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Balance Sheets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131E29"/>
              </w:rPr>
              <w:t>September 30,</w:t>
            </w:r>
          </w:p>
        </w:tc>
        <w:tc>
          <w:tcPr>
            <w:tcW w:w="300" w:type="dxa"/>
            <w:vAlign w:val="bottom"/>
          </w:tcPr>
          <w:p>
            <w:pPr>
              <w:spacing w:after="0"/>
              <w:rPr>
                <w:sz w:val="14"/>
                <w:szCs w:val="14"/>
                <w:color w:val="auto"/>
              </w:rPr>
            </w:pPr>
          </w:p>
        </w:tc>
        <w:tc>
          <w:tcPr>
            <w:tcW w:w="1640" w:type="dxa"/>
            <w:vAlign w:val="bottom"/>
          </w:tcPr>
          <w:p>
            <w:pPr>
              <w:jc w:val="right"/>
              <w:ind w:right="449"/>
              <w:spacing w:after="0"/>
              <w:rPr>
                <w:sz w:val="20"/>
                <w:szCs w:val="20"/>
                <w:color w:val="auto"/>
              </w:rPr>
            </w:pPr>
            <w:r>
              <w:rPr>
                <w:rFonts w:ascii="Arial" w:cs="Arial" w:eastAsia="Arial" w:hAnsi="Arial"/>
                <w:sz w:val="14"/>
                <w:szCs w:val="14"/>
                <w:b w:val="1"/>
                <w:bCs w:val="1"/>
                <w:color w:val="131E29"/>
              </w:rPr>
              <w:t>December 31,</w:t>
            </w:r>
          </w:p>
        </w:tc>
        <w:tc>
          <w:tcPr>
            <w:tcW w:w="0" w:type="dxa"/>
            <w:vAlign w:val="bottom"/>
          </w:tcPr>
          <w:p>
            <w:pPr>
              <w:spacing w:after="0"/>
              <w:rPr>
                <w:sz w:val="1"/>
                <w:szCs w:val="1"/>
                <w:color w:val="auto"/>
              </w:rPr>
            </w:pPr>
          </w:p>
        </w:tc>
      </w:tr>
      <w:tr>
        <w:trPr>
          <w:trHeight w:val="200"/>
        </w:trPr>
        <w:tc>
          <w:tcPr>
            <w:tcW w:w="722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 except per share amounts; unaudited)</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b w:val="1"/>
                <w:bCs w:val="1"/>
                <w:color w:val="131E29"/>
              </w:rPr>
              <w:t>ASSETS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Current assets:</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Cash and cash equivalents</w:t>
            </w: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281,134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133,545</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Accounts receivable,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10,362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9,124</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Inventories,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38,381</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46,953</w:t>
            </w:r>
          </w:p>
        </w:tc>
        <w:tc>
          <w:tcPr>
            <w:tcW w:w="0" w:type="dxa"/>
            <w:vAlign w:val="bottom"/>
          </w:tcPr>
          <w:p>
            <w:pPr>
              <w:spacing w:after="0"/>
              <w:rPr>
                <w:sz w:val="1"/>
                <w:szCs w:val="1"/>
                <w:color w:val="auto"/>
              </w:rPr>
            </w:pPr>
          </w:p>
        </w:tc>
      </w:tr>
      <w:tr>
        <w:trPr>
          <w:trHeight w:val="203"/>
        </w:trPr>
        <w:tc>
          <w:tcPr>
            <w:tcW w:w="73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Prepaid expenses and other current assets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12,168</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15,637</w:t>
            </w:r>
          </w:p>
        </w:tc>
        <w:tc>
          <w:tcPr>
            <w:tcW w:w="0" w:type="dxa"/>
            <w:vAlign w:val="bottom"/>
          </w:tcPr>
          <w:p>
            <w:pPr>
              <w:spacing w:after="0"/>
              <w:rPr>
                <w:sz w:val="1"/>
                <w:szCs w:val="1"/>
                <w:color w:val="auto"/>
              </w:rPr>
            </w:pPr>
          </w:p>
        </w:tc>
      </w:tr>
      <w:tr>
        <w:trPr>
          <w:trHeight w:val="212"/>
        </w:trPr>
        <w:tc>
          <w:tcPr>
            <w:tcW w:w="730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current assets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342,045</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205,259</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Property and equipment,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662,759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542,440</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Finance lease right-of-use assets,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377,561</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382,734</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Operating lease right-of-use assets,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301,896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199,673</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Intangibles,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3,455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5,415</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Goodwill</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21,629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21,629</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Deferred income tax assets,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718,543</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402,995</w:t>
            </w:r>
          </w:p>
        </w:tc>
        <w:tc>
          <w:tcPr>
            <w:tcW w:w="0" w:type="dxa"/>
            <w:vAlign w:val="bottom"/>
          </w:tcPr>
          <w:p>
            <w:pPr>
              <w:spacing w:after="0"/>
              <w:rPr>
                <w:sz w:val="1"/>
                <w:szCs w:val="1"/>
                <w:color w:val="auto"/>
              </w:rPr>
            </w:pPr>
          </w:p>
        </w:tc>
      </w:tr>
      <w:tr>
        <w:trPr>
          <w:trHeight w:val="203"/>
        </w:trPr>
        <w:tc>
          <w:tcPr>
            <w:tcW w:w="7300" w:type="dxa"/>
            <w:vAlign w:val="bottom"/>
            <w:tcBorders>
              <w:bottom w:val="single" w:sz="8" w:color="D2DCE5"/>
            </w:tcBorders>
            <w:gridSpan w:val="2"/>
          </w:tcPr>
          <w:p>
            <w:pPr>
              <w:spacing w:after="0"/>
              <w:rPr>
                <w:sz w:val="20"/>
                <w:szCs w:val="20"/>
                <w:color w:val="auto"/>
              </w:rPr>
            </w:pPr>
            <w:r>
              <w:rPr>
                <w:rFonts w:ascii="Arial" w:cs="Arial" w:eastAsia="Arial" w:hAnsi="Arial"/>
                <w:sz w:val="14"/>
                <w:szCs w:val="14"/>
                <w:color w:val="131E29"/>
              </w:rPr>
              <w:t>Other long-term assets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3,628</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3,865</w:t>
            </w:r>
          </w:p>
        </w:tc>
        <w:tc>
          <w:tcPr>
            <w:tcW w:w="0" w:type="dxa"/>
            <w:vAlign w:val="bottom"/>
          </w:tcPr>
          <w:p>
            <w:pPr>
              <w:spacing w:after="0"/>
              <w:rPr>
                <w:sz w:val="1"/>
                <w:szCs w:val="1"/>
                <w:color w:val="auto"/>
              </w:rPr>
            </w:pPr>
          </w:p>
        </w:tc>
      </w:tr>
      <w:tr>
        <w:trPr>
          <w:trHeight w:val="237"/>
        </w:trPr>
        <w:tc>
          <w:tcPr>
            <w:tcW w:w="7300" w:type="dxa"/>
            <w:vAlign w:val="bottom"/>
            <w:tcBorders>
              <w:bottom w:val="single" w:sz="8" w:color="D2DCE5"/>
            </w:tcBorders>
            <w:gridSpan w:val="2"/>
            <w:shd w:val="clear" w:color="auto" w:fill="D2DCE5"/>
          </w:tcPr>
          <w:p>
            <w:pPr>
              <w:ind w:left="400"/>
              <w:spacing w:after="0"/>
              <w:rPr>
                <w:sz w:val="20"/>
                <w:szCs w:val="20"/>
                <w:color w:val="auto"/>
              </w:rPr>
            </w:pPr>
            <w:r>
              <w:rPr>
                <w:rFonts w:ascii="Arial" w:cs="Arial" w:eastAsia="Arial" w:hAnsi="Arial"/>
                <w:sz w:val="14"/>
                <w:szCs w:val="14"/>
                <w:color w:val="131E29"/>
              </w:rPr>
              <w:t>Total assets</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2,431,516</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1,764,010</w:t>
            </w:r>
          </w:p>
        </w:tc>
        <w:tc>
          <w:tcPr>
            <w:tcW w:w="0" w:type="dxa"/>
            <w:vAlign w:val="bottom"/>
          </w:tcPr>
          <w:p>
            <w:pPr>
              <w:spacing w:after="0"/>
              <w:rPr>
                <w:sz w:val="1"/>
                <w:szCs w:val="1"/>
                <w:color w:val="auto"/>
              </w:rPr>
            </w:pPr>
          </w:p>
        </w:tc>
      </w:tr>
      <w:tr>
        <w:trPr>
          <w:trHeight w:val="20"/>
        </w:trPr>
        <w:tc>
          <w:tcPr>
            <w:tcW w:w="730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b w:val="1"/>
                <w:bCs w:val="1"/>
                <w:color w:val="131E29"/>
              </w:rPr>
              <w:t>LIABILITIES AND EQUITY</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Current liabilities: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Accounts payable</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31,880</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29,957</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Accrued compensation and benefits</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39,106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31,405</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Other accrued liabilities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26,162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15,770</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current liabilities</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5,962</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6,423</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Deferred revenue</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35,738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30,349</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Current portion of finance lease liabilities</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12,845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9,482</w:t>
            </w:r>
          </w:p>
        </w:tc>
        <w:tc>
          <w:tcPr>
            <w:tcW w:w="0" w:type="dxa"/>
            <w:vAlign w:val="bottom"/>
          </w:tcPr>
          <w:p>
            <w:pPr>
              <w:spacing w:after="0"/>
              <w:rPr>
                <w:sz w:val="1"/>
                <w:szCs w:val="1"/>
                <w:color w:val="auto"/>
              </w:rPr>
            </w:pP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Current portion of operating lease liabilities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12,987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10,239</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Current portion of long-term debt</w:t>
            </w:r>
          </w:p>
        </w:tc>
        <w:tc>
          <w:tcPr>
            <w:tcW w:w="300" w:type="dxa"/>
            <w:vAlign w:val="bottom"/>
            <w:tcBorders>
              <w:bottom w:val="single" w:sz="8" w:color="auto"/>
            </w:tcBorders>
            <w:shd w:val="clear" w:color="auto" w:fill="D2DCE5"/>
          </w:tcPr>
          <w:p>
            <w:pPr>
              <w:spacing w:after="0"/>
              <w:rPr>
                <w:sz w:val="19"/>
                <w:szCs w:val="19"/>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15,746</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4,491</w:t>
            </w:r>
          </w:p>
        </w:tc>
        <w:tc>
          <w:tcPr>
            <w:tcW w:w="0" w:type="dxa"/>
            <w:vAlign w:val="bottom"/>
          </w:tcPr>
          <w:p>
            <w:pPr>
              <w:spacing w:after="0"/>
              <w:rPr>
                <w:sz w:val="1"/>
                <w:szCs w:val="1"/>
                <w:color w:val="auto"/>
              </w:rPr>
            </w:pPr>
          </w:p>
        </w:tc>
      </w:tr>
      <w:tr>
        <w:trPr>
          <w:trHeight w:val="193"/>
        </w:trPr>
        <w:tc>
          <w:tcPr>
            <w:tcW w:w="7300" w:type="dxa"/>
            <w:vAlign w:val="bottom"/>
            <w:gridSpan w:val="2"/>
          </w:tcPr>
          <w:p>
            <w:pPr>
              <w:ind w:left="260"/>
              <w:spacing w:after="0"/>
              <w:rPr>
                <w:sz w:val="20"/>
                <w:szCs w:val="20"/>
                <w:color w:val="auto"/>
              </w:rPr>
            </w:pPr>
            <w:r>
              <w:rPr>
                <w:rFonts w:ascii="Arial" w:cs="Arial" w:eastAsia="Arial" w:hAnsi="Arial"/>
                <w:sz w:val="14"/>
                <w:szCs w:val="14"/>
                <w:color w:val="131E29"/>
              </w:rPr>
              <w:t>Total current liabilities</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180,426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138,116</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Deferred revenue, net of current portion</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6,367</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6,676</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Finance lease liabilities, net of current portion</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369,206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367,775</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Operating lease liabilities, net of current portion</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293,474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191,419</w:t>
            </w: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Long-term debt, net of current portion</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224,361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93,175</w:t>
            </w:r>
          </w:p>
        </w:tc>
        <w:tc>
          <w:tcPr>
            <w:tcW w:w="0" w:type="dxa"/>
            <w:vAlign w:val="bottom"/>
          </w:tcPr>
          <w:p>
            <w:pPr>
              <w:spacing w:after="0"/>
              <w:rPr>
                <w:sz w:val="1"/>
                <w:szCs w:val="1"/>
                <w:color w:val="auto"/>
              </w:rPr>
            </w:pP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Tax receivable agreements liability</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605,003</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290,920</w:t>
            </w:r>
          </w:p>
        </w:tc>
        <w:tc>
          <w:tcPr>
            <w:tcW w:w="0" w:type="dxa"/>
            <w:vAlign w:val="bottom"/>
          </w:tcPr>
          <w:p>
            <w:pPr>
              <w:spacing w:after="0"/>
              <w:rPr>
                <w:sz w:val="1"/>
                <w:szCs w:val="1"/>
                <w:color w:val="auto"/>
              </w:rPr>
            </w:pPr>
          </w:p>
        </w:tc>
      </w:tr>
      <w:tr>
        <w:trPr>
          <w:trHeight w:val="203"/>
        </w:trPr>
        <w:tc>
          <w:tcPr>
            <w:tcW w:w="7300" w:type="dxa"/>
            <w:vAlign w:val="bottom"/>
            <w:tcBorders>
              <w:bottom w:val="single" w:sz="8" w:color="D2DCE5"/>
            </w:tcBorders>
            <w:gridSpan w:val="2"/>
          </w:tcPr>
          <w:p>
            <w:pPr>
              <w:spacing w:after="0"/>
              <w:rPr>
                <w:sz w:val="20"/>
                <w:szCs w:val="20"/>
                <w:color w:val="auto"/>
              </w:rPr>
            </w:pPr>
            <w:r>
              <w:rPr>
                <w:rFonts w:ascii="Arial" w:cs="Arial" w:eastAsia="Arial" w:hAnsi="Arial"/>
                <w:sz w:val="14"/>
                <w:szCs w:val="14"/>
                <w:color w:val="131E29"/>
              </w:rPr>
              <w:t>Other long-term liabilities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w:t>
            </w:r>
          </w:p>
        </w:tc>
        <w:tc>
          <w:tcPr>
            <w:tcW w:w="0" w:type="dxa"/>
            <w:vAlign w:val="bottom"/>
          </w:tcPr>
          <w:p>
            <w:pPr>
              <w:spacing w:after="0"/>
              <w:rPr>
                <w:sz w:val="1"/>
                <w:szCs w:val="1"/>
                <w:color w:val="auto"/>
              </w:rPr>
            </w:pPr>
          </w:p>
        </w:tc>
      </w:tr>
      <w:tr>
        <w:trPr>
          <w:trHeight w:val="212"/>
        </w:trPr>
        <w:tc>
          <w:tcPr>
            <w:tcW w:w="730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liabilities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1,678,845</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1,088,089</w:t>
            </w:r>
          </w:p>
        </w:tc>
        <w:tc>
          <w:tcPr>
            <w:tcW w:w="0" w:type="dxa"/>
            <w:vAlign w:val="bottom"/>
          </w:tcPr>
          <w:p>
            <w:pPr>
              <w:spacing w:after="0"/>
              <w:rPr>
                <w:sz w:val="1"/>
                <w:szCs w:val="1"/>
                <w:color w:val="auto"/>
              </w:rPr>
            </w:pPr>
          </w:p>
        </w:tc>
      </w:tr>
      <w:tr>
        <w:trPr>
          <w:trHeight w:val="193"/>
        </w:trPr>
        <w:tc>
          <w:tcPr>
            <w:tcW w:w="7300" w:type="dxa"/>
            <w:vAlign w:val="bottom"/>
            <w:gridSpan w:val="2"/>
          </w:tcPr>
          <w:p>
            <w:pPr>
              <w:spacing w:after="0"/>
              <w:rPr>
                <w:sz w:val="20"/>
                <w:szCs w:val="20"/>
                <w:color w:val="auto"/>
              </w:rPr>
            </w:pPr>
            <w:r>
              <w:rPr>
                <w:rFonts w:ascii="Arial" w:cs="Arial" w:eastAsia="Arial" w:hAnsi="Arial"/>
                <w:sz w:val="14"/>
                <w:szCs w:val="14"/>
                <w:color w:val="131E29"/>
              </w:rPr>
              <w:t>Commitments and contingencies (Note 15)</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6" w:name="page7"/>
    <w:bookmarkEnd w:id="6"/>
    <w:p>
      <w:pPr>
        <w:ind w:left="260"/>
        <w:spacing w:after="0"/>
        <w:rPr>
          <w:sz w:val="20"/>
          <w:szCs w:val="20"/>
          <w:color w:val="auto"/>
        </w:rPr>
      </w:pPr>
      <w:r>
        <w:rPr>
          <w:rFonts w:ascii="Arial" w:cs="Arial" w:eastAsia="Arial" w:hAnsi="Arial"/>
          <w:sz w:val="11"/>
          <w:szCs w:val="11"/>
          <w:u w:val="single" w:color="auto"/>
          <w:color w:val="006098"/>
        </w:rPr>
        <w:t>Table of Contents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Balance Sheets (continued)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131E29"/>
              </w:rPr>
              <w:t>September 30,</w:t>
            </w:r>
          </w:p>
        </w:tc>
        <w:tc>
          <w:tcPr>
            <w:tcW w:w="300" w:type="dxa"/>
            <w:vAlign w:val="bottom"/>
          </w:tcPr>
          <w:p>
            <w:pPr>
              <w:spacing w:after="0"/>
              <w:rPr>
                <w:sz w:val="14"/>
                <w:szCs w:val="14"/>
                <w:color w:val="auto"/>
              </w:rPr>
            </w:pPr>
          </w:p>
        </w:tc>
        <w:tc>
          <w:tcPr>
            <w:tcW w:w="1620" w:type="dxa"/>
            <w:vAlign w:val="bottom"/>
          </w:tcPr>
          <w:p>
            <w:pPr>
              <w:jc w:val="right"/>
              <w:ind w:right="429"/>
              <w:spacing w:after="0"/>
              <w:rPr>
                <w:sz w:val="20"/>
                <w:szCs w:val="20"/>
                <w:color w:val="auto"/>
              </w:rPr>
            </w:pPr>
            <w:r>
              <w:rPr>
                <w:rFonts w:ascii="Arial" w:cs="Arial" w:eastAsia="Arial" w:hAnsi="Arial"/>
                <w:sz w:val="14"/>
                <w:szCs w:val="14"/>
                <w:b w:val="1"/>
                <w:bCs w:val="1"/>
                <w:color w:val="131E29"/>
              </w:rPr>
              <w:t>December 31,</w:t>
            </w:r>
          </w:p>
        </w:tc>
      </w:tr>
      <w:tr>
        <w:trPr>
          <w:trHeight w:val="200"/>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 unaudited)</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131E29"/>
            </w:tcBorders>
          </w:tcPr>
          <w:p>
            <w:pPr>
              <w:spacing w:after="0"/>
              <w:rPr>
                <w:sz w:val="17"/>
                <w:szCs w:val="17"/>
                <w:color w:val="auto"/>
              </w:rPr>
            </w:pPr>
          </w:p>
        </w:tc>
        <w:tc>
          <w:tcPr>
            <w:tcW w:w="1640" w:type="dxa"/>
            <w:vAlign w:val="bottom"/>
            <w:tcBorders>
              <w:bottom w:val="single" w:sz="8" w:color="131E29"/>
            </w:tcBorders>
          </w:tcPr>
          <w:p>
            <w:pPr>
              <w:jc w:val="right"/>
              <w:ind w:right="72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620" w:type="dxa"/>
            <w:vAlign w:val="bottom"/>
            <w:tcBorders>
              <w:bottom w:val="single" w:sz="8" w:color="131E29"/>
            </w:tcBorders>
          </w:tcPr>
          <w:p>
            <w:pPr>
              <w:jc w:val="right"/>
              <w:ind w:right="729"/>
              <w:spacing w:after="0"/>
              <w:rPr>
                <w:sz w:val="20"/>
                <w:szCs w:val="20"/>
                <w:color w:val="auto"/>
              </w:rPr>
            </w:pPr>
            <w:r>
              <w:rPr>
                <w:rFonts w:ascii="Arial" w:cs="Arial" w:eastAsia="Arial" w:hAnsi="Arial"/>
                <w:sz w:val="14"/>
                <w:szCs w:val="14"/>
                <w:b w:val="1"/>
                <w:bCs w:val="1"/>
                <w:color w:val="131E29"/>
              </w:rPr>
              <w:t>2023</w:t>
            </w:r>
          </w:p>
        </w:tc>
      </w:tr>
      <w:tr>
        <w:trPr>
          <w:trHeight w:val="173"/>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Preferred stock, $0.00001 par value per share - 20,000 shares authorized; zero shares issued and outstanding</w:t>
            </w:r>
          </w:p>
        </w:tc>
        <w:tc>
          <w:tcPr>
            <w:tcW w:w="280" w:type="dxa"/>
            <w:vAlign w:val="bottom"/>
            <w:shd w:val="clear" w:color="auto" w:fill="D2DCE5"/>
          </w:tcPr>
          <w:p>
            <w:pPr>
              <w:spacing w:after="0"/>
              <w:rPr>
                <w:sz w:val="15"/>
                <w:szCs w:val="15"/>
                <w:color w:val="auto"/>
              </w:rPr>
            </w:pPr>
          </w:p>
        </w:tc>
        <w:tc>
          <w:tcPr>
            <w:tcW w:w="16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620" w:type="dxa"/>
            <w:vAlign w:val="bottom"/>
            <w:shd w:val="clear" w:color="auto" w:fill="D2DCE5"/>
          </w:tcPr>
          <w:p>
            <w:pPr>
              <w:spacing w:after="0"/>
              <w:rPr>
                <w:sz w:val="15"/>
                <w:szCs w:val="15"/>
                <w:color w:val="auto"/>
              </w:rPr>
            </w:pPr>
          </w:p>
        </w:tc>
      </w:tr>
      <w:tr>
        <w:trPr>
          <w:trHeight w:val="20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as of September 30, 2024 and December 31, 2023, respectively</w:t>
            </w:r>
          </w:p>
        </w:tc>
        <w:tc>
          <w:tcPr>
            <w:tcW w:w="280" w:type="dxa"/>
            <w:vAlign w:val="bottom"/>
            <w:shd w:val="clear" w:color="auto" w:fill="D2DCE5"/>
          </w:tcPr>
          <w:p>
            <w:pPr>
              <w:spacing w:after="0"/>
              <w:rPr>
                <w:sz w:val="17"/>
                <w:szCs w:val="17"/>
                <w:color w:val="auto"/>
              </w:rPr>
            </w:pPr>
          </w:p>
        </w:tc>
        <w:tc>
          <w:tcPr>
            <w:tcW w:w="17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7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Class A common stock, $0.00001 par value per share - 400,000 shares authorized; 113,823 and 69,958 shares</w:t>
            </w: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issued and outstanding as of September 30, 2024 and December 31, 2023, respectively</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w:t>
            </w:r>
          </w:p>
        </w:tc>
      </w:tr>
      <w:tr>
        <w:trPr>
          <w:trHeight w:val="18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B common stock, $0.00001 par value per share - 144,000 shares authorized; 35,227 and 60,629 shares</w:t>
            </w:r>
          </w:p>
        </w:tc>
        <w:tc>
          <w:tcPr>
            <w:tcW w:w="280" w:type="dxa"/>
            <w:vAlign w:val="bottom"/>
            <w:shd w:val="clear" w:color="auto" w:fill="D2DCE5"/>
          </w:tcPr>
          <w:p>
            <w:pPr>
              <w:spacing w:after="0"/>
              <w:rPr>
                <w:sz w:val="16"/>
                <w:szCs w:val="16"/>
                <w:color w:val="auto"/>
              </w:rPr>
            </w:pPr>
          </w:p>
        </w:tc>
        <w:tc>
          <w:tcPr>
            <w:tcW w:w="16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r>
      <w:tr>
        <w:trPr>
          <w:trHeight w:val="20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September 30, 2024 and December 31, 2023</w:t>
            </w:r>
            <w:r>
              <w:rPr>
                <w:rFonts w:ascii="Arial" w:cs="Arial" w:eastAsia="Arial" w:hAnsi="Arial"/>
                <w:sz w:val="11"/>
                <w:szCs w:val="11"/>
                <w:color w:val="000000"/>
              </w:rPr>
              <w:t>,</w:t>
            </w:r>
            <w:r>
              <w:rPr>
                <w:rFonts w:ascii="Arial" w:cs="Arial" w:eastAsia="Arial" w:hAnsi="Arial"/>
                <w:sz w:val="14"/>
                <w:szCs w:val="14"/>
                <w:color w:val="131E29"/>
              </w:rPr>
              <w:t xml:space="preserve"> </w:t>
            </w:r>
            <w:r>
              <w:rPr>
                <w:rFonts w:ascii="Arial" w:cs="Arial" w:eastAsia="Arial" w:hAnsi="Arial"/>
                <w:sz w:val="14"/>
                <w:szCs w:val="14"/>
                <w:color w:val="000000"/>
              </w:rPr>
              <w:t>respectively</w:t>
            </w:r>
          </w:p>
        </w:tc>
        <w:tc>
          <w:tcPr>
            <w:tcW w:w="280" w:type="dxa"/>
            <w:vAlign w:val="bottom"/>
            <w:shd w:val="clear" w:color="auto" w:fill="D2DCE5"/>
          </w:tcPr>
          <w:p>
            <w:pPr>
              <w:spacing w:after="0"/>
              <w:rPr>
                <w:sz w:val="17"/>
                <w:szCs w:val="17"/>
                <w:color w:val="auto"/>
              </w:rPr>
            </w:pPr>
          </w:p>
        </w:tc>
        <w:tc>
          <w:tcPr>
            <w:tcW w:w="17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r>
      <w:tr>
        <w:trPr>
          <w:trHeight w:val="17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Class C common stock, $0.00001 par value per share - 105,000 shares authorized; 5,142 and 35,864 shares</w:t>
            </w: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issued and outstanding as of September 30, 2024 and December 31, 2023</w:t>
            </w:r>
            <w:r>
              <w:rPr>
                <w:rFonts w:ascii="Arial" w:cs="Arial" w:eastAsia="Arial" w:hAnsi="Arial"/>
                <w:sz w:val="14"/>
                <w:szCs w:val="14"/>
                <w:color w:val="000000"/>
              </w:rPr>
              <w:t>, respectively</w:t>
            </w:r>
          </w:p>
        </w:tc>
        <w:tc>
          <w:tcPr>
            <w:tcW w:w="28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18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D common stock, $0.00001 par value per share - 42,000 shares authorized; zero and 10,669 shares</w:t>
            </w:r>
          </w:p>
        </w:tc>
        <w:tc>
          <w:tcPr>
            <w:tcW w:w="280" w:type="dxa"/>
            <w:vAlign w:val="bottom"/>
            <w:shd w:val="clear" w:color="auto" w:fill="D2DCE5"/>
          </w:tcPr>
          <w:p>
            <w:pPr>
              <w:spacing w:after="0"/>
              <w:rPr>
                <w:sz w:val="16"/>
                <w:szCs w:val="16"/>
                <w:color w:val="auto"/>
              </w:rPr>
            </w:pPr>
          </w:p>
        </w:tc>
        <w:tc>
          <w:tcPr>
            <w:tcW w:w="16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r>
      <w:tr>
        <w:trPr>
          <w:trHeight w:val="20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September 30, 2024 and December 31, 2023</w:t>
            </w:r>
            <w:r>
              <w:rPr>
                <w:rFonts w:ascii="Arial" w:cs="Arial" w:eastAsia="Arial" w:hAnsi="Arial"/>
                <w:sz w:val="14"/>
                <w:szCs w:val="14"/>
                <w:color w:val="000000"/>
              </w:rPr>
              <w:t>, respectivel</w:t>
            </w:r>
            <w:r>
              <w:rPr>
                <w:rFonts w:ascii="Arial" w:cs="Arial" w:eastAsia="Arial" w:hAnsi="Arial"/>
                <w:sz w:val="11"/>
                <w:szCs w:val="11"/>
                <w:color w:val="000000"/>
              </w:rPr>
              <w:t>y</w:t>
            </w:r>
          </w:p>
        </w:tc>
        <w:tc>
          <w:tcPr>
            <w:tcW w:w="280" w:type="dxa"/>
            <w:vAlign w:val="bottom"/>
            <w:shd w:val="clear" w:color="auto" w:fill="D2DCE5"/>
          </w:tcPr>
          <w:p>
            <w:pPr>
              <w:spacing w:after="0"/>
              <w:rPr>
                <w:sz w:val="17"/>
                <w:szCs w:val="17"/>
                <w:color w:val="auto"/>
              </w:rPr>
            </w:pPr>
          </w:p>
        </w:tc>
        <w:tc>
          <w:tcPr>
            <w:tcW w:w="174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Additional paid-in capital</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506,785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379,391</w:t>
            </w:r>
          </w:p>
        </w:tc>
      </w:tr>
      <w:tr>
        <w:trPr>
          <w:trHeight w:val="222"/>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Accumulated other comprehensive income</w:t>
            </w:r>
          </w:p>
        </w:tc>
        <w:tc>
          <w:tcPr>
            <w:tcW w:w="28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310</w:t>
            </w: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544</w:t>
            </w:r>
          </w:p>
        </w:tc>
      </w:tr>
      <w:tr>
        <w:trPr>
          <w:trHeight w:val="203"/>
        </w:trPr>
        <w:tc>
          <w:tcPr>
            <w:tcW w:w="73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Retained earnings (accumulated deficit)</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16,054</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(15,592)</w:t>
            </w:r>
          </w:p>
        </w:tc>
      </w:tr>
      <w:tr>
        <w:trPr>
          <w:trHeight w:val="212"/>
        </w:trPr>
        <w:tc>
          <w:tcPr>
            <w:tcW w:w="734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Total stockholders' equity attributable to Dutch Bros Inc.</w:t>
            </w:r>
          </w:p>
        </w:tc>
        <w:tc>
          <w:tcPr>
            <w:tcW w:w="28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523,150</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364,345</w:t>
            </w:r>
          </w:p>
        </w:tc>
      </w:tr>
      <w:tr>
        <w:trPr>
          <w:trHeight w:val="203"/>
        </w:trPr>
        <w:tc>
          <w:tcPr>
            <w:tcW w:w="7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Non-controlling interests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229,521</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311,576</w:t>
            </w:r>
          </w:p>
        </w:tc>
      </w:tr>
      <w:tr>
        <w:trPr>
          <w:trHeight w:val="203"/>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 equity</w:t>
            </w:r>
          </w:p>
        </w:tc>
        <w:tc>
          <w:tcPr>
            <w:tcW w:w="280" w:type="dxa"/>
            <w:vAlign w:val="bottom"/>
            <w:tcBorders>
              <w:bottom w:val="single" w:sz="8" w:color="auto"/>
            </w:tcBorders>
            <w:shd w:val="clear" w:color="auto" w:fill="D2DCE5"/>
          </w:tcPr>
          <w:p>
            <w:pPr>
              <w:spacing w:after="0"/>
              <w:rPr>
                <w:sz w:val="17"/>
                <w:szCs w:val="17"/>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752,671</w:t>
            </w:r>
          </w:p>
        </w:tc>
        <w:tc>
          <w:tcPr>
            <w:tcW w:w="10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675,921</w:t>
            </w:r>
          </w:p>
        </w:tc>
      </w:tr>
      <w:tr>
        <w:trPr>
          <w:trHeight w:val="212"/>
        </w:trPr>
        <w:tc>
          <w:tcPr>
            <w:tcW w:w="7340" w:type="dxa"/>
            <w:vAlign w:val="bottom"/>
            <w:gridSpan w:val="2"/>
          </w:tcPr>
          <w:p>
            <w:pPr>
              <w:ind w:left="400"/>
              <w:spacing w:after="0"/>
              <w:rPr>
                <w:sz w:val="20"/>
                <w:szCs w:val="20"/>
                <w:color w:val="auto"/>
              </w:rPr>
            </w:pPr>
            <w:r>
              <w:rPr>
                <w:rFonts w:ascii="Arial" w:cs="Arial" w:eastAsia="Arial" w:hAnsi="Arial"/>
                <w:sz w:val="14"/>
                <w:szCs w:val="14"/>
                <w:color w:val="131E29"/>
              </w:rPr>
              <w:t>Total liabilities and equity</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2,431,516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1,764,010</w:t>
            </w: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7" w:name="page8"/>
    <w:bookmarkEnd w:id="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Statements of Operations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6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6"/>
          </w:tcPr>
          <w:p>
            <w:pPr>
              <w:ind w:left="60"/>
              <w:spacing w:after="0"/>
              <w:rPr>
                <w:sz w:val="20"/>
                <w:szCs w:val="20"/>
                <w:color w:val="auto"/>
              </w:rPr>
            </w:pPr>
            <w:r>
              <w:rPr>
                <w:rFonts w:ascii="Arial" w:cs="Arial" w:eastAsia="Arial" w:hAnsi="Arial"/>
                <w:sz w:val="14"/>
                <w:szCs w:val="14"/>
                <w:b w:val="1"/>
                <w:bCs w:val="1"/>
                <w:color w:val="131E29"/>
              </w:rPr>
              <w:t>Three Months Ended September 30,</w:t>
            </w:r>
          </w:p>
        </w:tc>
        <w:tc>
          <w:tcPr>
            <w:tcW w:w="2520" w:type="dxa"/>
            <w:vAlign w:val="bottom"/>
            <w:gridSpan w:val="5"/>
          </w:tcPr>
          <w:p>
            <w:pPr>
              <w:jc w:val="right"/>
              <w:ind w:right="29"/>
              <w:spacing w:after="0"/>
              <w:rPr>
                <w:sz w:val="20"/>
                <w:szCs w:val="20"/>
                <w:color w:val="auto"/>
              </w:rPr>
            </w:pPr>
            <w:r>
              <w:rPr>
                <w:rFonts w:ascii="Arial" w:cs="Arial" w:eastAsia="Arial" w:hAnsi="Arial"/>
                <w:sz w:val="14"/>
                <w:szCs w:val="14"/>
                <w:b w:val="1"/>
                <w:bCs w:val="1"/>
                <w:color w:val="131E29"/>
              </w:rPr>
              <w:t>Nine Months Ended September 30,</w:t>
            </w:r>
          </w:p>
        </w:tc>
        <w:tc>
          <w:tcPr>
            <w:tcW w:w="0" w:type="dxa"/>
            <w:vAlign w:val="bottom"/>
          </w:tcPr>
          <w:p>
            <w:pPr>
              <w:spacing w:after="0"/>
              <w:rPr>
                <w:sz w:val="1"/>
                <w:szCs w:val="1"/>
                <w:color w:val="auto"/>
              </w:rPr>
            </w:pPr>
          </w:p>
        </w:tc>
      </w:tr>
      <w:tr>
        <w:trPr>
          <w:trHeight w:val="20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 unaudited)</w:t>
            </w:r>
          </w:p>
        </w:tc>
        <w:tc>
          <w:tcPr>
            <w:tcW w:w="80" w:type="dxa"/>
            <w:vAlign w:val="bottom"/>
            <w:tcBorders>
              <w:bottom w:val="single" w:sz="8" w:color="D2DC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top w:val="single" w:sz="8" w:color="auto"/>
              <w:bottom w:val="single" w:sz="8" w:color="D2DCE5"/>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6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308,295</w:t>
            </w:r>
          </w:p>
        </w:tc>
        <w:tc>
          <w:tcPr>
            <w:tcW w:w="1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236,472</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851,648</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630,588</w:t>
            </w:r>
          </w:p>
        </w:tc>
        <w:tc>
          <w:tcPr>
            <w:tcW w:w="0" w:type="dxa"/>
            <w:vAlign w:val="bottom"/>
          </w:tcPr>
          <w:p>
            <w:pPr>
              <w:spacing w:after="0"/>
              <w:rPr>
                <w:sz w:val="1"/>
                <w:szCs w:val="1"/>
                <w:color w:val="auto"/>
              </w:rPr>
            </w:pPr>
          </w:p>
        </w:tc>
      </w:tr>
      <w:tr>
        <w:trPr>
          <w:trHeight w:val="222"/>
        </w:trPr>
        <w:tc>
          <w:tcPr>
            <w:tcW w:w="6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29,917</w:t>
            </w:r>
          </w:p>
        </w:tc>
        <w:tc>
          <w:tcPr>
            <w:tcW w:w="10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28,035</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86,581</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81,065</w:t>
            </w:r>
          </w:p>
        </w:tc>
        <w:tc>
          <w:tcPr>
            <w:tcW w:w="0" w:type="dxa"/>
            <w:vAlign w:val="bottom"/>
          </w:tcPr>
          <w:p>
            <w:pPr>
              <w:spacing w:after="0"/>
              <w:rPr>
                <w:sz w:val="1"/>
                <w:szCs w:val="1"/>
                <w:color w:val="auto"/>
              </w:rPr>
            </w:pPr>
          </w:p>
        </w:tc>
      </w:tr>
      <w:tr>
        <w:trPr>
          <w:trHeight w:val="193"/>
        </w:trPr>
        <w:tc>
          <w:tcPr>
            <w:tcW w:w="6100" w:type="dxa"/>
            <w:vAlign w:val="bottom"/>
            <w:tcBorders>
              <w:bottom w:val="single" w:sz="8" w:color="D2DCE5"/>
            </w:tcBorders>
            <w:gridSpan w:val="2"/>
          </w:tcPr>
          <w:p>
            <w:pPr>
              <w:ind w:left="260"/>
              <w:spacing w:after="0"/>
              <w:rPr>
                <w:sz w:val="20"/>
                <w:szCs w:val="20"/>
                <w:color w:val="auto"/>
              </w:rPr>
            </w:pPr>
            <w:r>
              <w:rPr>
                <w:rFonts w:ascii="Arial" w:cs="Arial" w:eastAsia="Arial" w:hAnsi="Arial"/>
                <w:sz w:val="14"/>
                <w:szCs w:val="14"/>
                <w:color w:val="131E29"/>
              </w:rPr>
              <w:t>Total revenues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338,212</w:t>
            </w:r>
          </w:p>
        </w:tc>
        <w:tc>
          <w:tcPr>
            <w:tcW w:w="10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264,507</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938,229</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711,653</w:t>
            </w:r>
          </w:p>
        </w:tc>
        <w:tc>
          <w:tcPr>
            <w:tcW w:w="0" w:type="dxa"/>
            <w:vAlign w:val="bottom"/>
          </w:tcPr>
          <w:p>
            <w:pPr>
              <w:spacing w:after="0"/>
              <w:rPr>
                <w:sz w:val="1"/>
                <w:szCs w:val="1"/>
                <w:color w:val="auto"/>
              </w:rPr>
            </w:pPr>
          </w:p>
        </w:tc>
      </w:tr>
      <w:tr>
        <w:trPr>
          <w:trHeight w:val="202"/>
        </w:trPr>
        <w:tc>
          <w:tcPr>
            <w:tcW w:w="6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ind w:left="20"/>
              <w:spacing w:after="0"/>
              <w:rPr>
                <w:sz w:val="20"/>
                <w:szCs w:val="20"/>
                <w:color w:val="auto"/>
              </w:rPr>
            </w:pPr>
            <w:r>
              <w:rPr>
                <w:rFonts w:ascii="Arial" w:cs="Arial" w:eastAsia="Arial" w:hAnsi="Arial"/>
                <w:sz w:val="14"/>
                <w:szCs w:val="14"/>
                <w:color w:val="131E29"/>
              </w:rPr>
              <w:t>COSTS AND EXPENSES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248,161</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189,323</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686,048</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519,482</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57,536</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50,490</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161,866</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148,128</w:t>
            </w: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costs and expenses</w:t>
            </w: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305,697</w:t>
            </w:r>
          </w:p>
        </w:tc>
        <w:tc>
          <w:tcPr>
            <w:tcW w:w="10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239,813</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847,914</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667,610</w:t>
            </w:r>
          </w:p>
        </w:tc>
        <w:tc>
          <w:tcPr>
            <w:tcW w:w="0" w:type="dxa"/>
            <w:vAlign w:val="bottom"/>
          </w:tcPr>
          <w:p>
            <w:pPr>
              <w:spacing w:after="0"/>
              <w:rPr>
                <w:sz w:val="1"/>
                <w:szCs w:val="1"/>
                <w:color w:val="auto"/>
              </w:rPr>
            </w:pPr>
          </w:p>
        </w:tc>
      </w:tr>
      <w:tr>
        <w:trPr>
          <w:trHeight w:val="202"/>
        </w:trPr>
        <w:tc>
          <w:tcPr>
            <w:tcW w:w="6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FROM OPERATIONS</w:t>
            </w: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32,515</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24,694</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90,315</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44,043</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OTHER EXPENSE</w:t>
            </w: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(6,869)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(9,325)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(20,259)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(26,269)</w:t>
            </w:r>
          </w:p>
        </w:tc>
        <w:tc>
          <w:tcPr>
            <w:tcW w:w="0" w:type="dxa"/>
            <w:vAlign w:val="bottom"/>
          </w:tcPr>
          <w:p>
            <w:pPr>
              <w:spacing w:after="0"/>
              <w:rPr>
                <w:sz w:val="1"/>
                <w:szCs w:val="1"/>
                <w:color w:val="auto"/>
              </w:rPr>
            </w:pPr>
          </w:p>
        </w:tc>
      </w:tr>
      <w:tr>
        <w:trPr>
          <w:trHeight w:val="222"/>
        </w:trPr>
        <w:tc>
          <w:tcPr>
            <w:tcW w:w="6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 (expense), net</w:t>
            </w: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764</w:t>
            </w:r>
          </w:p>
        </w:tc>
        <w:tc>
          <w:tcPr>
            <w:tcW w:w="10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(140)</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7,357</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2,206</w:t>
            </w:r>
          </w:p>
        </w:tc>
        <w:tc>
          <w:tcPr>
            <w:tcW w:w="0" w:type="dxa"/>
            <w:vAlign w:val="bottom"/>
          </w:tcPr>
          <w:p>
            <w:pPr>
              <w:spacing w:after="0"/>
              <w:rPr>
                <w:sz w:val="1"/>
                <w:szCs w:val="1"/>
                <w:color w:val="auto"/>
              </w:rPr>
            </w:pPr>
          </w:p>
        </w:tc>
      </w:tr>
      <w:tr>
        <w:trPr>
          <w:trHeight w:val="193"/>
        </w:trPr>
        <w:tc>
          <w:tcPr>
            <w:tcW w:w="6100" w:type="dxa"/>
            <w:vAlign w:val="bottom"/>
            <w:tcBorders>
              <w:bottom w:val="single" w:sz="8" w:color="D2DCE5"/>
            </w:tcBorders>
            <w:gridSpan w:val="2"/>
          </w:tcPr>
          <w:p>
            <w:pPr>
              <w:ind w:left="260"/>
              <w:spacing w:after="0"/>
              <w:rPr>
                <w:sz w:val="20"/>
                <w:szCs w:val="20"/>
                <w:color w:val="auto"/>
              </w:rPr>
            </w:pPr>
            <w:r>
              <w:rPr>
                <w:rFonts w:ascii="Arial" w:cs="Arial" w:eastAsia="Arial" w:hAnsi="Arial"/>
                <w:sz w:val="14"/>
                <w:szCs w:val="14"/>
                <w:color w:val="131E29"/>
              </w:rPr>
              <w:t>Total other expense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(6,105)</w:t>
            </w:r>
          </w:p>
        </w:tc>
        <w:tc>
          <w:tcPr>
            <w:tcW w:w="10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(9,465)</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(12,902)</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(24,063)</w:t>
            </w:r>
          </w:p>
        </w:tc>
        <w:tc>
          <w:tcPr>
            <w:tcW w:w="0" w:type="dxa"/>
            <w:vAlign w:val="bottom"/>
          </w:tcPr>
          <w:p>
            <w:pPr>
              <w:spacing w:after="0"/>
              <w:rPr>
                <w:sz w:val="1"/>
                <w:szCs w:val="1"/>
                <w:color w:val="auto"/>
              </w:rPr>
            </w:pPr>
          </w:p>
        </w:tc>
      </w:tr>
      <w:tr>
        <w:trPr>
          <w:trHeight w:val="202"/>
        </w:trPr>
        <w:tc>
          <w:tcPr>
            <w:tcW w:w="6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ind w:left="20"/>
              <w:spacing w:after="0"/>
              <w:rPr>
                <w:sz w:val="20"/>
                <w:szCs w:val="20"/>
                <w:color w:val="auto"/>
              </w:rPr>
            </w:pPr>
            <w:r>
              <w:rPr>
                <w:rFonts w:ascii="Arial" w:cs="Arial" w:eastAsia="Arial" w:hAnsi="Arial"/>
                <w:sz w:val="14"/>
                <w:szCs w:val="14"/>
                <w:color w:val="131E29"/>
              </w:rPr>
              <w:t>INCOME BEFORE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26,410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15,229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77,413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19,980</w:t>
            </w:r>
          </w:p>
        </w:tc>
        <w:tc>
          <w:tcPr>
            <w:tcW w:w="0" w:type="dxa"/>
            <w:vAlign w:val="bottom"/>
          </w:tcPr>
          <w:p>
            <w:pPr>
              <w:spacing w:after="0"/>
              <w:rPr>
                <w:sz w:val="1"/>
                <w:szCs w:val="1"/>
                <w:color w:val="auto"/>
              </w:rPr>
            </w:pPr>
          </w:p>
        </w:tc>
      </w:tr>
      <w:tr>
        <w:trPr>
          <w:trHeight w:val="222"/>
        </w:trPr>
        <w:tc>
          <w:tcPr>
            <w:tcW w:w="6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w:t>
            </w: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4,698</w:t>
            </w:r>
          </w:p>
        </w:tc>
        <w:tc>
          <w:tcPr>
            <w:tcW w:w="10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1,828</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17,330</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6,259</w:t>
            </w:r>
          </w:p>
        </w:tc>
        <w:tc>
          <w:tcPr>
            <w:tcW w:w="0" w:type="dxa"/>
            <w:vAlign w:val="bottom"/>
          </w:tcPr>
          <w:p>
            <w:pPr>
              <w:spacing w:after="0"/>
              <w:rPr>
                <w:sz w:val="1"/>
                <w:szCs w:val="1"/>
                <w:color w:val="auto"/>
              </w:rPr>
            </w:pPr>
          </w:p>
        </w:tc>
      </w:tr>
      <w:tr>
        <w:trPr>
          <w:trHeight w:val="193"/>
        </w:trPr>
        <w:tc>
          <w:tcPr>
            <w:tcW w:w="610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21,712</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13,401</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60,083</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13,721</w:t>
            </w:r>
          </w:p>
        </w:tc>
        <w:tc>
          <w:tcPr>
            <w:tcW w:w="0" w:type="dxa"/>
            <w:vAlign w:val="bottom"/>
          </w:tcPr>
          <w:p>
            <w:pPr>
              <w:spacing w:after="0"/>
              <w:rPr>
                <w:sz w:val="1"/>
                <w:szCs w:val="1"/>
                <w:color w:val="auto"/>
              </w:rPr>
            </w:pPr>
          </w:p>
        </w:tc>
      </w:tr>
      <w:tr>
        <w:trPr>
          <w:trHeight w:val="213"/>
        </w:trPr>
        <w:tc>
          <w:tcPr>
            <w:tcW w:w="6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attributable to non-controlling interests</w:t>
            </w: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9,068</w:t>
            </w:r>
          </w:p>
        </w:tc>
        <w:tc>
          <w:tcPr>
            <w:tcW w:w="10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9,191</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28,437</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10,601</w:t>
            </w:r>
          </w:p>
        </w:tc>
        <w:tc>
          <w:tcPr>
            <w:tcW w:w="0" w:type="dxa"/>
            <w:vAlign w:val="bottom"/>
          </w:tcPr>
          <w:p>
            <w:pPr>
              <w:spacing w:after="0"/>
              <w:rPr>
                <w:sz w:val="1"/>
                <w:szCs w:val="1"/>
                <w:color w:val="auto"/>
              </w:rPr>
            </w:pPr>
          </w:p>
        </w:tc>
      </w:tr>
      <w:tr>
        <w:trPr>
          <w:trHeight w:val="212"/>
        </w:trPr>
        <w:tc>
          <w:tcPr>
            <w:tcW w:w="6100" w:type="dxa"/>
            <w:vAlign w:val="bottom"/>
            <w:gridSpan w:val="2"/>
          </w:tcPr>
          <w:p>
            <w:pPr>
              <w:ind w:left="20"/>
              <w:spacing w:after="0"/>
              <w:rPr>
                <w:sz w:val="20"/>
                <w:szCs w:val="20"/>
                <w:color w:val="auto"/>
              </w:rPr>
            </w:pPr>
            <w:r>
              <w:rPr>
                <w:rFonts w:ascii="Arial" w:cs="Arial" w:eastAsia="Arial" w:hAnsi="Arial"/>
                <w:sz w:val="14"/>
                <w:szCs w:val="14"/>
                <w:color w:val="131E29"/>
              </w:rPr>
              <w:t>NET INCOME ATTRIBUTABLE TO DUTCH BROS INC.</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12,644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4,210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31,646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3,120</w:t>
            </w:r>
          </w:p>
        </w:tc>
        <w:tc>
          <w:tcPr>
            <w:tcW w:w="0" w:type="dxa"/>
            <w:vAlign w:val="bottom"/>
          </w:tcPr>
          <w:p>
            <w:pPr>
              <w:spacing w:after="0"/>
              <w:rPr>
                <w:sz w:val="1"/>
                <w:szCs w:val="1"/>
                <w:color w:val="auto"/>
              </w:rPr>
            </w:pPr>
          </w:p>
        </w:tc>
      </w:tr>
      <w:tr>
        <w:trPr>
          <w:trHeight w:val="20"/>
        </w:trPr>
        <w:tc>
          <w:tcPr>
            <w:tcW w:w="60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per share of Class A and Class D common stock:</w:t>
            </w:r>
          </w:p>
        </w:tc>
        <w:tc>
          <w:tcPr>
            <w:tcW w:w="2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100" w:type="dxa"/>
            <w:vAlign w:val="bottom"/>
            <w:gridSpan w:val="2"/>
          </w:tcPr>
          <w:p>
            <w:pPr>
              <w:ind w:left="140"/>
              <w:spacing w:after="0"/>
              <w:rPr>
                <w:sz w:val="20"/>
                <w:szCs w:val="20"/>
                <w:color w:val="auto"/>
              </w:rPr>
            </w:pPr>
            <w:r>
              <w:rPr>
                <w:rFonts w:ascii="Arial" w:cs="Arial" w:eastAsia="Arial" w:hAnsi="Arial"/>
                <w:sz w:val="14"/>
                <w:szCs w:val="14"/>
                <w:color w:val="131E29"/>
              </w:rPr>
              <w:t>Basic</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0.32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0.05</w:t>
            </w:r>
          </w:p>
        </w:tc>
        <w:tc>
          <w:tcPr>
            <w:tcW w:w="0" w:type="dxa"/>
            <w:vAlign w:val="bottom"/>
          </w:tcPr>
          <w:p>
            <w:pPr>
              <w:spacing w:after="0"/>
              <w:rPr>
                <w:sz w:val="1"/>
                <w:szCs w:val="1"/>
                <w:color w:val="auto"/>
              </w:rPr>
            </w:pPr>
          </w:p>
        </w:tc>
      </w:tr>
      <w:tr>
        <w:trPr>
          <w:trHeight w:val="20"/>
        </w:trPr>
        <w:tc>
          <w:tcPr>
            <w:tcW w:w="60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Diluted</w:t>
            </w: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0.11</w:t>
            </w:r>
          </w:p>
        </w:tc>
        <w:tc>
          <w:tcPr>
            <w:tcW w:w="10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0.07</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0.32</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0.05</w:t>
            </w:r>
          </w:p>
        </w:tc>
        <w:tc>
          <w:tcPr>
            <w:tcW w:w="0" w:type="dxa"/>
            <w:vAlign w:val="bottom"/>
          </w:tcPr>
          <w:p>
            <w:pPr>
              <w:spacing w:after="0"/>
              <w:rPr>
                <w:sz w:val="1"/>
                <w:szCs w:val="1"/>
                <w:color w:val="auto"/>
              </w:rPr>
            </w:pPr>
          </w:p>
        </w:tc>
      </w:tr>
      <w:tr>
        <w:trPr>
          <w:trHeight w:val="20"/>
        </w:trPr>
        <w:tc>
          <w:tcPr>
            <w:tcW w:w="610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Weighted-average shares of Class A and Class D common stock outstanding:</w:t>
            </w: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Basic</w:t>
            </w: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113,819</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59,366</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99,756</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57,598</w:t>
            </w:r>
          </w:p>
        </w:tc>
        <w:tc>
          <w:tcPr>
            <w:tcW w:w="0" w:type="dxa"/>
            <w:vAlign w:val="bottom"/>
          </w:tcPr>
          <w:p>
            <w:pPr>
              <w:spacing w:after="0"/>
              <w:rPr>
                <w:sz w:val="1"/>
                <w:szCs w:val="1"/>
                <w:color w:val="auto"/>
              </w:rPr>
            </w:pPr>
          </w:p>
        </w:tc>
      </w:tr>
      <w:tr>
        <w:trPr>
          <w:trHeight w:val="193"/>
        </w:trPr>
        <w:tc>
          <w:tcPr>
            <w:tcW w:w="6100" w:type="dxa"/>
            <w:vAlign w:val="bottom"/>
            <w:gridSpan w:val="2"/>
          </w:tcPr>
          <w:p>
            <w:pPr>
              <w:ind w:left="140"/>
              <w:spacing w:after="0"/>
              <w:rPr>
                <w:sz w:val="20"/>
                <w:szCs w:val="20"/>
                <w:color w:val="auto"/>
              </w:rPr>
            </w:pPr>
            <w:r>
              <w:rPr>
                <w:rFonts w:ascii="Arial" w:cs="Arial" w:eastAsia="Arial" w:hAnsi="Arial"/>
                <w:sz w:val="14"/>
                <w:szCs w:val="14"/>
                <w:color w:val="131E29"/>
              </w:rPr>
              <w:t>Diluted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114,252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60,214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100,070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57,598</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Statements of Comprehensive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6"/>
          </w:tcPr>
          <w:p>
            <w:pPr>
              <w:ind w:left="60"/>
              <w:spacing w:after="0"/>
              <w:rPr>
                <w:sz w:val="20"/>
                <w:szCs w:val="20"/>
                <w:color w:val="auto"/>
              </w:rPr>
            </w:pPr>
            <w:r>
              <w:rPr>
                <w:rFonts w:ascii="Arial" w:cs="Arial" w:eastAsia="Arial" w:hAnsi="Arial"/>
                <w:sz w:val="14"/>
                <w:szCs w:val="14"/>
                <w:b w:val="1"/>
                <w:bCs w:val="1"/>
                <w:color w:val="131E29"/>
              </w:rPr>
              <w:t>Three Months Ended September 30,</w:t>
            </w:r>
          </w:p>
        </w:tc>
        <w:tc>
          <w:tcPr>
            <w:tcW w:w="2500" w:type="dxa"/>
            <w:vAlign w:val="bottom"/>
            <w:gridSpan w:val="5"/>
          </w:tcPr>
          <w:p>
            <w:pPr>
              <w:jc w:val="right"/>
              <w:ind w:right="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top w:val="single" w:sz="8" w:color="auto"/>
              <w:bottom w:val="single" w:sz="8" w:color="D2DCE5"/>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c>
          <w:tcPr>
            <w:tcW w:w="140" w:type="dxa"/>
            <w:vAlign w:val="bottom"/>
            <w:tcBorders>
              <w:bottom w:val="single" w:sz="8" w:color="D2DCE5"/>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top w:val="single" w:sz="8" w:color="auto"/>
              <w:bottom w:val="single" w:sz="8" w:color="D2DCE5"/>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r>
      <w:tr>
        <w:trPr>
          <w:trHeight w:val="209"/>
        </w:trPr>
        <w:tc>
          <w:tcPr>
            <w:tcW w:w="6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w:t>
            </w:r>
          </w:p>
        </w:tc>
        <w:tc>
          <w:tcPr>
            <w:tcW w:w="28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21,712</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13,401</w:t>
            </w:r>
          </w:p>
        </w:tc>
        <w:tc>
          <w:tcPr>
            <w:tcW w:w="14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60,083</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13,721</w:t>
            </w:r>
          </w:p>
        </w:tc>
      </w:tr>
      <w:tr>
        <w:trPr>
          <w:trHeight w:val="202"/>
        </w:trPr>
        <w:tc>
          <w:tcPr>
            <w:tcW w:w="612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6"/>
        </w:trPr>
        <w:tc>
          <w:tcPr>
            <w:tcW w:w="6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(loss) on derivative securities, effective portion, net of income tax expense</w:t>
            </w: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r>
      <w:tr>
        <w:trPr>
          <w:trHeight w:val="206"/>
        </w:trPr>
        <w:tc>
          <w:tcPr>
            <w:tcW w:w="6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(benefit) of $(247), $112, $(183), and $137, respectively</w:t>
            </w: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(1,324)</w:t>
            </w:r>
          </w:p>
        </w:tc>
        <w:tc>
          <w:tcPr>
            <w:tcW w:w="10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385</w:t>
            </w:r>
          </w:p>
        </w:tc>
        <w:tc>
          <w:tcPr>
            <w:tcW w:w="14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(537)</w:t>
            </w:r>
          </w:p>
        </w:tc>
        <w:tc>
          <w:tcPr>
            <w:tcW w:w="10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659</w:t>
            </w:r>
          </w:p>
        </w:tc>
      </w:tr>
      <w:tr>
        <w:trPr>
          <w:trHeight w:val="193"/>
        </w:trPr>
        <w:tc>
          <w:tcPr>
            <w:tcW w:w="6120" w:type="dxa"/>
            <w:vAlign w:val="bottom"/>
            <w:gridSpan w:val="2"/>
          </w:tcPr>
          <w:p>
            <w:pPr>
              <w:ind w:left="20"/>
              <w:spacing w:after="0"/>
              <w:rPr>
                <w:sz w:val="20"/>
                <w:szCs w:val="20"/>
                <w:color w:val="auto"/>
              </w:rPr>
            </w:pPr>
            <w:r>
              <w:rPr>
                <w:rFonts w:ascii="Arial" w:cs="Arial" w:eastAsia="Arial" w:hAnsi="Arial"/>
                <w:sz w:val="14"/>
                <w:szCs w:val="14"/>
                <w:color w:val="131E29"/>
              </w:rPr>
              <w:t>Comprehensive income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20,388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13,786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59,546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14,380</w:t>
            </w:r>
          </w:p>
        </w:tc>
      </w:tr>
      <w:tr>
        <w:trPr>
          <w:trHeight w:val="213"/>
        </w:trPr>
        <w:tc>
          <w:tcPr>
            <w:tcW w:w="612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comprehensive income attributable to non-controlling interests</w:t>
            </w: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8,506</w:t>
            </w:r>
          </w:p>
        </w:tc>
        <w:tc>
          <w:tcPr>
            <w:tcW w:w="10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9,388</w:t>
            </w:r>
          </w:p>
        </w:tc>
        <w:tc>
          <w:tcPr>
            <w:tcW w:w="14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28,134</w:t>
            </w:r>
          </w:p>
        </w:tc>
        <w:tc>
          <w:tcPr>
            <w:tcW w:w="10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10,980</w:t>
            </w:r>
          </w:p>
        </w:tc>
      </w:tr>
      <w:tr>
        <w:trPr>
          <w:trHeight w:val="212"/>
        </w:trPr>
        <w:tc>
          <w:tcPr>
            <w:tcW w:w="6120" w:type="dxa"/>
            <w:vAlign w:val="bottom"/>
            <w:gridSpan w:val="2"/>
          </w:tcPr>
          <w:p>
            <w:pPr>
              <w:ind w:left="20"/>
              <w:spacing w:after="0"/>
              <w:rPr>
                <w:sz w:val="20"/>
                <w:szCs w:val="20"/>
                <w:color w:val="auto"/>
              </w:rPr>
            </w:pPr>
            <w:r>
              <w:rPr>
                <w:rFonts w:ascii="Arial" w:cs="Arial" w:eastAsia="Arial" w:hAnsi="Arial"/>
                <w:sz w:val="14"/>
                <w:szCs w:val="14"/>
                <w:color w:val="131E29"/>
              </w:rPr>
              <w:t>Comprehensive income attributable to Dutch Bros Inc.</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11,882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4,398</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31,412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3,400</w:t>
            </w: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 w:name="page10"/>
    <w:bookmarkEnd w:id="9"/>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Statements of Stockholders’ Equity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28575</wp:posOffset>
            </wp:positionV>
            <wp:extent cx="71215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6985"/>
                    </a:xfrm>
                    <a:prstGeom prst="rect">
                      <a:avLst/>
                    </a:prstGeom>
                    <a:noFill/>
                  </pic:spPr>
                </pic:pic>
              </a:graphicData>
            </a:graphic>
          </wp:anchor>
        </w:drawing>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10"/>
          </w:tcPr>
          <w:p>
            <w:pPr>
              <w:ind w:left="26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A</w:t>
            </w: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B</w:t>
            </w:r>
          </w:p>
        </w:tc>
        <w:tc>
          <w:tcPr>
            <w:tcW w:w="1300" w:type="dxa"/>
            <w:vAlign w:val="bottom"/>
            <w:gridSpan w:val="5"/>
          </w:tcPr>
          <w:p>
            <w:pPr>
              <w:ind w:left="42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ind w:left="420"/>
              <w:spacing w:after="0"/>
              <w:rPr>
                <w:sz w:val="20"/>
                <w:szCs w:val="20"/>
                <w:color w:val="auto"/>
              </w:rPr>
            </w:pPr>
            <w:r>
              <w:rPr>
                <w:rFonts w:ascii="Arial" w:cs="Arial" w:eastAsia="Arial" w:hAnsi="Arial"/>
                <w:sz w:val="11"/>
                <w:szCs w:val="11"/>
                <w:b w:val="1"/>
                <w:bCs w:val="1"/>
                <w:color w:val="131E29"/>
              </w:rPr>
              <w:t>Class 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ind w:left="2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ind w:left="24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color w:val="131E29"/>
                <w:w w:val="99"/>
              </w:rPr>
              <w:t>Retained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color w:val="131E29"/>
              </w:rPr>
              <w:t>Other</w:t>
            </w: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color w:val="131E29"/>
              </w:rPr>
              <w:t>Earnings</w:t>
            </w:r>
          </w:p>
        </w:tc>
        <w:tc>
          <w:tcPr>
            <w:tcW w:w="10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131E29"/>
              </w:rPr>
              <w:t>Paid-in-</w:t>
            </w:r>
          </w:p>
        </w:tc>
        <w:tc>
          <w:tcPr>
            <w:tcW w:w="980" w:type="dxa"/>
            <w:vAlign w:val="bottom"/>
            <w:gridSpan w:val="3"/>
          </w:tcPr>
          <w:p>
            <w:pPr>
              <w:jc w:val="center"/>
              <w:ind w:right="60"/>
              <w:spacing w:after="0"/>
              <w:rPr>
                <w:sz w:val="20"/>
                <w:szCs w:val="20"/>
                <w:color w:val="auto"/>
              </w:rPr>
            </w:pPr>
            <w:r>
              <w:rPr>
                <w:rFonts w:ascii="Arial" w:cs="Arial" w:eastAsia="Arial" w:hAnsi="Arial"/>
                <w:sz w:val="11"/>
                <w:szCs w:val="11"/>
                <w:color w:val="131E29"/>
              </w:rPr>
              <w:t>Comprehensive</w:t>
            </w: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4"/>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June 30, 2024</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113,817</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35,227</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5,142</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ind w:left="4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$ 504,657</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1,072</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3,410</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220,672</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$ 729,812</w:t>
            </w:r>
          </w:p>
        </w:tc>
        <w:tc>
          <w:tcPr>
            <w:tcW w:w="0" w:type="dxa"/>
            <w:vAlign w:val="bottom"/>
          </w:tcPr>
          <w:p>
            <w:pPr>
              <w:spacing w:after="0"/>
              <w:rPr>
                <w:sz w:val="1"/>
                <w:szCs w:val="1"/>
                <w:color w:val="auto"/>
              </w:rPr>
            </w:pPr>
          </w:p>
        </w:tc>
      </w:tr>
      <w:tr>
        <w:trPr>
          <w:trHeight w:val="172"/>
        </w:trPr>
        <w:tc>
          <w:tcPr>
            <w:tcW w:w="214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131E29"/>
              </w:rPr>
              <w:t>12,644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131E29"/>
              </w:rPr>
              <w:t>9,068</w:t>
            </w:r>
          </w:p>
        </w:tc>
        <w:tc>
          <w:tcPr>
            <w:tcW w:w="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21,712</w:t>
            </w:r>
          </w:p>
        </w:tc>
        <w:tc>
          <w:tcPr>
            <w:tcW w:w="0" w:type="dxa"/>
            <w:vAlign w:val="bottom"/>
          </w:tcPr>
          <w:p>
            <w:pPr>
              <w:spacing w:after="0"/>
              <w:rPr>
                <w:sz w:val="1"/>
                <w:szCs w:val="1"/>
                <w:color w:val="auto"/>
              </w:rPr>
            </w:pPr>
          </w:p>
        </w:tc>
      </w:tr>
      <w:tr>
        <w:trPr>
          <w:trHeight w:val="161"/>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loss on derivative securities,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effective portion, net of income tax</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ind w:left="4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(762)</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(562)</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(1,324)</w:t>
            </w:r>
          </w:p>
        </w:tc>
        <w:tc>
          <w:tcPr>
            <w:tcW w:w="0" w:type="dxa"/>
            <w:vAlign w:val="bottom"/>
          </w:tcPr>
          <w:p>
            <w:pPr>
              <w:spacing w:after="0"/>
              <w:rPr>
                <w:sz w:val="1"/>
                <w:szCs w:val="1"/>
                <w:color w:val="auto"/>
              </w:rPr>
            </w:pPr>
          </w:p>
        </w:tc>
      </w:tr>
      <w:tr>
        <w:trPr>
          <w:trHeight w:val="155"/>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benefit of $247</w:t>
            </w: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2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6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4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 expense</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1,902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131E29"/>
              </w:rPr>
              <w:t>1,059</w:t>
            </w:r>
          </w:p>
        </w:tc>
        <w:tc>
          <w:tcPr>
            <w:tcW w:w="6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2,961</w:t>
            </w:r>
          </w:p>
        </w:tc>
        <w:tc>
          <w:tcPr>
            <w:tcW w:w="0" w:type="dxa"/>
            <w:vAlign w:val="bottom"/>
          </w:tcPr>
          <w:p>
            <w:pPr>
              <w:spacing w:after="0"/>
              <w:rPr>
                <w:sz w:val="1"/>
                <w:szCs w:val="1"/>
                <w:color w:val="auto"/>
              </w:rPr>
            </w:pPr>
          </w:p>
        </w:tc>
      </w:tr>
      <w:tr>
        <w:trPr>
          <w:trHeight w:val="161"/>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w:t>
            </w: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6</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ind w:left="4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(36)</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8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(21)</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(57)</w:t>
            </w:r>
          </w:p>
        </w:tc>
        <w:tc>
          <w:tcPr>
            <w:tcW w:w="0" w:type="dxa"/>
            <w:vAlign w:val="bottom"/>
          </w:tcPr>
          <w:p>
            <w:pPr>
              <w:spacing w:after="0"/>
              <w:rPr>
                <w:sz w:val="1"/>
                <w:szCs w:val="1"/>
                <w:color w:val="auto"/>
              </w:rPr>
            </w:pPr>
          </w:p>
        </w:tc>
      </w:tr>
      <w:tr>
        <w:trPr>
          <w:trHeight w:val="155"/>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of stock withheld for tax and forfeitures</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6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gridSpan w:val="2"/>
          </w:tcPr>
          <w:p>
            <w:pPr>
              <w:ind w:left="20"/>
              <w:spacing w:after="0"/>
              <w:rPr>
                <w:sz w:val="20"/>
                <w:szCs w:val="20"/>
                <w:color w:val="auto"/>
              </w:rPr>
            </w:pPr>
            <w:r>
              <w:rPr>
                <w:rFonts w:ascii="Arial" w:cs="Arial" w:eastAsia="Arial" w:hAnsi="Arial"/>
                <w:sz w:val="11"/>
                <w:szCs w:val="11"/>
                <w:color w:val="131E29"/>
              </w:rPr>
              <w:t>Effect of exchanges of Dutch Bros OpCo</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40" w:type="dxa"/>
            <w:vAlign w:val="bottom"/>
            <w:gridSpan w:val="2"/>
          </w:tcPr>
          <w:p>
            <w:pPr>
              <w:ind w:left="20"/>
              <w:spacing w:after="0"/>
              <w:rPr>
                <w:sz w:val="20"/>
                <w:szCs w:val="20"/>
                <w:color w:val="auto"/>
              </w:rPr>
            </w:pPr>
            <w:r>
              <w:rPr>
                <w:rFonts w:ascii="Arial" w:cs="Arial" w:eastAsia="Arial" w:hAnsi="Arial"/>
                <w:sz w:val="11"/>
                <w:szCs w:val="11"/>
                <w:color w:val="131E29"/>
              </w:rPr>
              <w:t>Class A common units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(8)</w:t>
            </w:r>
          </w:p>
        </w:tc>
        <w:tc>
          <w:tcPr>
            <w:tcW w:w="6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61"/>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ind w:left="4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254</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8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62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254</w:t>
            </w:r>
          </w:p>
        </w:tc>
        <w:tc>
          <w:tcPr>
            <w:tcW w:w="0" w:type="dxa"/>
            <w:vAlign w:val="bottom"/>
          </w:tcPr>
          <w:p>
            <w:pPr>
              <w:spacing w:after="0"/>
              <w:rPr>
                <w:sz w:val="1"/>
                <w:szCs w:val="1"/>
                <w:color w:val="auto"/>
              </w:rPr>
            </w:pPr>
          </w:p>
        </w:tc>
      </w:tr>
      <w:tr>
        <w:trPr>
          <w:trHeight w:val="153"/>
        </w:trPr>
        <w:tc>
          <w:tcPr>
            <w:tcW w:w="2140" w:type="dxa"/>
            <w:vAlign w:val="bottom"/>
            <w:gridSpan w:val="2"/>
          </w:tcPr>
          <w:p>
            <w:pPr>
              <w:ind w:left="20"/>
              <w:spacing w:after="0"/>
              <w:rPr>
                <w:sz w:val="20"/>
                <w:szCs w:val="20"/>
                <w:color w:val="auto"/>
              </w:rPr>
            </w:pPr>
            <w:r>
              <w:rPr>
                <w:rFonts w:ascii="Arial" w:cs="Arial" w:eastAsia="Arial" w:hAnsi="Arial"/>
                <w:sz w:val="11"/>
                <w:szCs w:val="11"/>
                <w:color w:val="131E29"/>
              </w:rPr>
              <w:t>Distributions paid to non-controlling</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40" w:type="dxa"/>
            <w:vAlign w:val="bottom"/>
            <w:tcBorders>
              <w:bottom w:val="single" w:sz="8" w:color="D2DCE5"/>
            </w:tcBorders>
            <w:gridSpan w:val="2"/>
          </w:tcPr>
          <w:p>
            <w:pPr>
              <w:ind w:left="20"/>
              <w:spacing w:after="0"/>
              <w:rPr>
                <w:sz w:val="20"/>
                <w:szCs w:val="20"/>
                <w:color w:val="auto"/>
              </w:rPr>
            </w:pPr>
            <w:r>
              <w:rPr>
                <w:rFonts w:ascii="Arial" w:cs="Arial" w:eastAsia="Arial" w:hAnsi="Arial"/>
                <w:sz w:val="11"/>
                <w:szCs w:val="11"/>
                <w:color w:val="131E29"/>
              </w:rPr>
              <w:t>interest holders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131E29"/>
              </w:rPr>
              <w:t>—</w:t>
            </w:r>
          </w:p>
        </w:tc>
        <w:tc>
          <w:tcPr>
            <w:tcW w:w="8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tcBorders>
              <w:bottom w:val="single" w:sz="8" w:color="D2DCE5"/>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(687)</w:t>
            </w:r>
          </w:p>
        </w:tc>
        <w:tc>
          <w:tcPr>
            <w:tcW w:w="60" w:type="dxa"/>
            <w:vAlign w:val="bottom"/>
            <w:tcBorders>
              <w:bottom w:val="single" w:sz="8" w:color="D2DCE5"/>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131E29"/>
              </w:rPr>
              <w:t>(687)</w:t>
            </w:r>
          </w:p>
        </w:tc>
        <w:tc>
          <w:tcPr>
            <w:tcW w:w="0" w:type="dxa"/>
            <w:vAlign w:val="bottom"/>
          </w:tcPr>
          <w:p>
            <w:pPr>
              <w:spacing w:after="0"/>
              <w:rPr>
                <w:sz w:val="1"/>
                <w:szCs w:val="1"/>
                <w:color w:val="auto"/>
              </w:rPr>
            </w:pPr>
          </w:p>
        </w:tc>
      </w:tr>
      <w:tr>
        <w:trPr>
          <w:trHeight w:val="200"/>
        </w:trPr>
        <w:tc>
          <w:tcPr>
            <w:tcW w:w="214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September 30, 2024</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113,823</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7"/>
                <w:szCs w:val="17"/>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35,227</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5,142</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ind w:left="4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$ 506,785</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310</w:t>
            </w:r>
          </w:p>
        </w:tc>
        <w:tc>
          <w:tcPr>
            <w:tcW w:w="60" w:type="dxa"/>
            <w:vAlign w:val="bottom"/>
            <w:shd w:val="clear" w:color="auto" w:fill="D2DCE5"/>
          </w:tcPr>
          <w:p>
            <w:pPr>
              <w:spacing w:after="0"/>
              <w:rPr>
                <w:sz w:val="17"/>
                <w:szCs w:val="17"/>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16,054</w:t>
            </w:r>
          </w:p>
        </w:tc>
        <w:tc>
          <w:tcPr>
            <w:tcW w:w="60" w:type="dxa"/>
            <w:vAlign w:val="bottom"/>
            <w:shd w:val="clear" w:color="auto" w:fill="D2DCE5"/>
          </w:tcPr>
          <w:p>
            <w:pPr>
              <w:spacing w:after="0"/>
              <w:rPr>
                <w:sz w:val="17"/>
                <w:szCs w:val="17"/>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229,521</w:t>
            </w:r>
          </w:p>
        </w:tc>
        <w:tc>
          <w:tcPr>
            <w:tcW w:w="60" w:type="dxa"/>
            <w:vAlign w:val="bottom"/>
            <w:shd w:val="clear" w:color="auto" w:fill="D2DCE5"/>
          </w:tcPr>
          <w:p>
            <w:pPr>
              <w:spacing w:after="0"/>
              <w:rPr>
                <w:sz w:val="17"/>
                <w:szCs w:val="17"/>
                <w:color w:val="auto"/>
              </w:rPr>
            </w:pP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$ 752,671</w:t>
            </w:r>
          </w:p>
        </w:tc>
        <w:tc>
          <w:tcPr>
            <w:tcW w:w="0" w:type="dxa"/>
            <w:vAlign w:val="bottom"/>
          </w:tcPr>
          <w:p>
            <w:pPr>
              <w:spacing w:after="0"/>
              <w:rPr>
                <w:sz w:val="1"/>
                <w:szCs w:val="1"/>
                <w:color w:val="auto"/>
              </w:rPr>
            </w:pPr>
          </w:p>
        </w:tc>
      </w:tr>
      <w:tr>
        <w:trPr>
          <w:trHeight w:val="20"/>
        </w:trPr>
        <w:tc>
          <w:tcPr>
            <w:tcW w:w="208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 w:name="page11"/>
    <w:bookmarkEnd w:id="10"/>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Statements of Stockholders’ Equity (continued)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10"/>
          </w:tcPr>
          <w:p>
            <w:pPr>
              <w:ind w:left="26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B</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color w:val="131E29"/>
              </w:rPr>
              <w:t>Retained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color w:val="131E29"/>
              </w:rPr>
              <w:t>Other</w:t>
            </w:r>
          </w:p>
        </w:tc>
        <w:tc>
          <w:tcPr>
            <w:tcW w:w="8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color w:val="131E29"/>
              </w:rPr>
              <w:t>Earnings</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980" w:type="dxa"/>
            <w:vAlign w:val="bottom"/>
            <w:gridSpan w:val="3"/>
          </w:tcPr>
          <w:p>
            <w:pPr>
              <w:jc w:val="center"/>
              <w:ind w:right="60"/>
              <w:spacing w:after="0"/>
              <w:rPr>
                <w:sz w:val="20"/>
                <w:szCs w:val="20"/>
                <w:color w:val="auto"/>
              </w:rPr>
            </w:pPr>
            <w:r>
              <w:rPr>
                <w:rFonts w:ascii="Arial" w:cs="Arial" w:eastAsia="Arial" w:hAnsi="Arial"/>
                <w:sz w:val="11"/>
                <w:szCs w:val="11"/>
                <w:color w:val="131E29"/>
              </w:rPr>
              <w:t>Comprehensive</w:t>
            </w: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4"/>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2023</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69,958</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60,629</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35,864</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10,669</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$ 379,391</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2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544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(15,592)</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311,576</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$ 675,921</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131E29"/>
              </w:rPr>
              <w:t>31,646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28,437</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60,083</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loss on derivative securities,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effective portion, net of income tax benefit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(328)</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2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(234)</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(303)</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(865)</w:t>
            </w:r>
          </w:p>
        </w:tc>
        <w:tc>
          <w:tcPr>
            <w:tcW w:w="0" w:type="dxa"/>
            <w:vAlign w:val="bottom"/>
          </w:tcPr>
          <w:p>
            <w:pPr>
              <w:spacing w:after="0"/>
              <w:rPr>
                <w:sz w:val="1"/>
                <w:szCs w:val="1"/>
                <w:color w:val="auto"/>
              </w:rPr>
            </w:pPr>
          </w:p>
        </w:tc>
      </w:tr>
      <w:tr>
        <w:trPr>
          <w:trHeight w:val="15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of $183</w:t>
            </w: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2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 expense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4,866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3,354</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8,220</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w:t>
            </w:r>
          </w:p>
        </w:tc>
        <w:tc>
          <w:tcPr>
            <w:tcW w:w="58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71</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1,831</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8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(2,763)</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(932)</w:t>
            </w:r>
          </w:p>
        </w:tc>
        <w:tc>
          <w:tcPr>
            <w:tcW w:w="0" w:type="dxa"/>
            <w:vAlign w:val="bottom"/>
          </w:tcPr>
          <w:p>
            <w:pPr>
              <w:spacing w:after="0"/>
              <w:rPr>
                <w:sz w:val="1"/>
                <w:szCs w:val="1"/>
                <w:color w:val="auto"/>
              </w:rPr>
            </w:pPr>
          </w:p>
        </w:tc>
      </w:tr>
      <w:tr>
        <w:trPr>
          <w:trHeight w:val="15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of stock withheld for tax and forfeitures</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 and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surrender and cancellation of Class B, C ,</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and D common stock, pursuant to</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secondary offerings following exchange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Dutch Bros OpCo Class A common units</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43,794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(2,402)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(30,722)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(10,669)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 of exchanges of Dutch Bros OpCo</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Class A common units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110,093</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8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(110,093)</w:t>
            </w: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transactions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254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254</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Impacts of Tax Receivable Agreements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10,678</w:t>
            </w: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8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8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10,678</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Class B common stock decoupled from</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Dutch Bros OpCo Class A common units,</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(23,000)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(1)</w:t>
            </w:r>
          </w:p>
        </w:tc>
        <w:tc>
          <w:tcPr>
            <w:tcW w:w="0" w:type="dxa"/>
            <w:vAlign w:val="bottom"/>
          </w:tcPr>
          <w:p>
            <w:pPr>
              <w:spacing w:after="0"/>
              <w:rPr>
                <w:sz w:val="1"/>
                <w:szCs w:val="1"/>
                <w:color w:val="auto"/>
              </w:rPr>
            </w:pPr>
          </w:p>
        </w:tc>
      </w:tr>
      <w:tr>
        <w:trPr>
          <w:trHeight w:val="15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surrendered and cancelled</w:t>
            </w: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Distributions paid to non-controlling</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7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interest holders</w:t>
            </w: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82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(687)</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(687)</w:t>
            </w:r>
          </w:p>
        </w:tc>
        <w:tc>
          <w:tcPr>
            <w:tcW w:w="0" w:type="dxa"/>
            <w:vAlign w:val="bottom"/>
          </w:tcPr>
          <w:p>
            <w:pPr>
              <w:spacing w:after="0"/>
              <w:rPr>
                <w:sz w:val="1"/>
                <w:szCs w:val="1"/>
                <w:color w:val="auto"/>
              </w:rPr>
            </w:pPr>
          </w:p>
        </w:tc>
      </w:tr>
      <w:tr>
        <w:trPr>
          <w:trHeight w:val="180"/>
        </w:trPr>
        <w:tc>
          <w:tcPr>
            <w:tcW w:w="222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September 30, 2024</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113,823</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tcPr>
          <w:p>
            <w:pPr>
              <w:jc w:val="right"/>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35,227</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5,142</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$ 506,785</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131E29"/>
              </w:rPr>
              <w:t>310</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780" w:type="dxa"/>
            <w:vAlign w:val="bottom"/>
          </w:tcPr>
          <w:p>
            <w:pPr>
              <w:jc w:val="right"/>
              <w:spacing w:after="0"/>
              <w:rPr>
                <w:sz w:val="20"/>
                <w:szCs w:val="20"/>
                <w:color w:val="auto"/>
              </w:rPr>
            </w:pPr>
            <w:r>
              <w:rPr>
                <w:rFonts w:ascii="Arial" w:cs="Arial" w:eastAsia="Arial" w:hAnsi="Arial"/>
                <w:sz w:val="11"/>
                <w:szCs w:val="11"/>
                <w:color w:val="131E29"/>
              </w:rPr>
              <w:t>16,054</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tcPr>
          <w:p>
            <w:pPr>
              <w:jc w:val="right"/>
              <w:spacing w:after="0"/>
              <w:rPr>
                <w:sz w:val="20"/>
                <w:szCs w:val="20"/>
                <w:color w:val="auto"/>
              </w:rPr>
            </w:pPr>
            <w:r>
              <w:rPr>
                <w:rFonts w:ascii="Arial" w:cs="Arial" w:eastAsia="Arial" w:hAnsi="Arial"/>
                <w:sz w:val="11"/>
                <w:szCs w:val="11"/>
                <w:color w:val="131E29"/>
              </w:rPr>
              <w:t>229,521</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$ 752,671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 w:name="page12"/>
    <w:bookmarkEnd w:id="11"/>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131E29"/>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3486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0"/>
          </w:tcPr>
          <w:p>
            <w:pPr>
              <w:ind w:left="22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B</w:t>
            </w:r>
          </w:p>
        </w:tc>
        <w:tc>
          <w:tcPr>
            <w:tcW w:w="1300" w:type="dxa"/>
            <w:vAlign w:val="bottom"/>
            <w:gridSpan w:val="5"/>
          </w:tcPr>
          <w:p>
            <w:pPr>
              <w:ind w:left="400"/>
              <w:spacing w:after="0"/>
              <w:rPr>
                <w:sz w:val="20"/>
                <w:szCs w:val="20"/>
                <w:color w:val="auto"/>
              </w:rPr>
            </w:pPr>
            <w:r>
              <w:rPr>
                <w:rFonts w:ascii="Arial" w:cs="Arial" w:eastAsia="Arial" w:hAnsi="Arial"/>
                <w:sz w:val="11"/>
                <w:szCs w:val="11"/>
                <w:b w:val="1"/>
                <w:bCs w:val="1"/>
                <w:color w:val="131E29"/>
              </w:rPr>
              <w:t>Class C</w:t>
            </w: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ind w:left="220"/>
              <w:spacing w:after="0"/>
              <w:rPr>
                <w:sz w:val="20"/>
                <w:szCs w:val="20"/>
                <w:color w:val="auto"/>
              </w:rPr>
            </w:pPr>
            <w:r>
              <w:rPr>
                <w:rFonts w:ascii="Arial" w:cs="Arial" w:eastAsia="Arial" w:hAnsi="Arial"/>
                <w:sz w:val="11"/>
                <w:szCs w:val="11"/>
                <w:color w:val="131E29"/>
              </w:rPr>
              <w:t>Common Stock</w:t>
            </w: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color w:val="131E29"/>
              </w:rPr>
              <w:t>Additional</w:t>
            </w:r>
          </w:p>
        </w:tc>
        <w:tc>
          <w:tcPr>
            <w:tcW w:w="80" w:type="dxa"/>
            <w:vAlign w:val="bottom"/>
          </w:tcPr>
          <w:p>
            <w:pPr>
              <w:spacing w:after="0"/>
              <w:rPr>
                <w:sz w:val="11"/>
                <w:szCs w:val="1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131E29"/>
              </w:rPr>
              <w:t>Other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color w:val="131E29"/>
              </w:rPr>
              <w:t>Non-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color w:val="131E29"/>
              </w:rPr>
              <w:t>Paid-in-</w:t>
            </w:r>
          </w:p>
        </w:tc>
        <w:tc>
          <w:tcPr>
            <w:tcW w:w="80" w:type="dxa"/>
            <w:vAlign w:val="bottom"/>
          </w:tcPr>
          <w:p>
            <w:pPr>
              <w:spacing w:after="0"/>
              <w:rPr>
                <w:sz w:val="11"/>
                <w:szCs w:val="1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131E29"/>
              </w:rPr>
              <w:t>Comprehensive</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Income</w:t>
            </w:r>
          </w:p>
        </w:tc>
        <w:tc>
          <w:tcPr>
            <w:tcW w:w="60" w:type="dxa"/>
            <w:vAlign w:val="bottom"/>
            <w:tcBorders>
              <w:bottom w:val="single" w:sz="8" w:color="D2DCE5"/>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131E29"/>
              </w:rPr>
              <w:t>Deficit</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w w:val="99"/>
              </w:rPr>
              <w:t>Total Equity</w:t>
            </w:r>
          </w:p>
        </w:tc>
        <w:tc>
          <w:tcPr>
            <w:tcW w:w="0" w:type="dxa"/>
            <w:vAlign w:val="bottom"/>
          </w:tcPr>
          <w:p>
            <w:pPr>
              <w:spacing w:after="0"/>
              <w:rPr>
                <w:sz w:val="1"/>
                <w:szCs w:val="1"/>
                <w:color w:val="auto"/>
              </w:rPr>
            </w:pPr>
          </w:p>
        </w:tc>
      </w:tr>
      <w:tr>
        <w:trPr>
          <w:trHeight w:val="174"/>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June 30, 2023</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45,674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64,699</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41,056</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12,411</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$ 152,900</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9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905</w:t>
            </w:r>
          </w:p>
        </w:tc>
        <w:tc>
          <w:tcPr>
            <w:tcW w:w="60" w:type="dxa"/>
            <w:vAlign w:val="bottom"/>
            <w:shd w:val="clear" w:color="auto" w:fill="D2DCE5"/>
          </w:tcPr>
          <w:p>
            <w:pPr>
              <w:spacing w:after="0"/>
              <w:rPr>
                <w:sz w:val="15"/>
                <w:szCs w:val="15"/>
                <w:color w:val="auto"/>
              </w:rPr>
            </w:pPr>
          </w:p>
        </w:tc>
        <w:tc>
          <w:tcPr>
            <w:tcW w:w="14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w w:val="97"/>
              </w:rPr>
              <w:t>$</w:t>
            </w: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(18,400)</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134,668</w:t>
            </w:r>
          </w:p>
        </w:tc>
        <w:tc>
          <w:tcPr>
            <w:tcW w:w="6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20"/>
                <w:szCs w:val="20"/>
                <w:color w:val="auto"/>
              </w:rPr>
            </w:pPr>
            <w:r>
              <w:rPr>
                <w:rFonts w:ascii="Arial" w:cs="Arial" w:eastAsia="Arial" w:hAnsi="Arial"/>
                <w:sz w:val="11"/>
                <w:szCs w:val="11"/>
                <w:color w:val="131E29"/>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270,075</w:t>
            </w:r>
          </w:p>
        </w:tc>
        <w:tc>
          <w:tcPr>
            <w:tcW w:w="0" w:type="dxa"/>
            <w:vAlign w:val="bottom"/>
          </w:tcPr>
          <w:p>
            <w:pPr>
              <w:spacing w:after="0"/>
              <w:rPr>
                <w:sz w:val="1"/>
                <w:szCs w:val="1"/>
                <w:color w:val="auto"/>
              </w:rPr>
            </w:pPr>
          </w:p>
        </w:tc>
      </w:tr>
      <w:tr>
        <w:trPr>
          <w:trHeight w:val="172"/>
        </w:trPr>
        <w:tc>
          <w:tcPr>
            <w:tcW w:w="220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131E29"/>
              </w:rPr>
              <w:t>4,210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9,191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13,401</w:t>
            </w:r>
          </w:p>
        </w:tc>
        <w:tc>
          <w:tcPr>
            <w:tcW w:w="0" w:type="dxa"/>
            <w:vAlign w:val="bottom"/>
          </w:tcPr>
          <w:p>
            <w:pPr>
              <w:spacing w:after="0"/>
              <w:rPr>
                <w:sz w:val="1"/>
                <w:szCs w:val="1"/>
                <w:color w:val="auto"/>
              </w:rPr>
            </w:pPr>
          </w:p>
        </w:tc>
      </w:tr>
      <w:tr>
        <w:trPr>
          <w:trHeight w:val="161"/>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gain on derivative securities,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effective portion, net of income tax</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(168)</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90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188</w:t>
            </w:r>
          </w:p>
        </w:tc>
        <w:tc>
          <w:tcPr>
            <w:tcW w:w="60" w:type="dxa"/>
            <w:vAlign w:val="bottom"/>
            <w:shd w:val="clear" w:color="auto" w:fill="D2DCE5"/>
          </w:tcPr>
          <w:p>
            <w:pPr>
              <w:spacing w:after="0"/>
              <w:rPr>
                <w:sz w:val="11"/>
                <w:szCs w:val="11"/>
                <w:color w:val="auto"/>
              </w:rPr>
            </w:pPr>
          </w:p>
        </w:tc>
        <w:tc>
          <w:tcPr>
            <w:tcW w:w="140" w:type="dxa"/>
            <w:vAlign w:val="bottom"/>
            <w:shd w:val="clear" w:color="auto" w:fill="D2DCE5"/>
          </w:tcPr>
          <w:p>
            <w:pPr>
              <w:spacing w:after="0"/>
              <w:rPr>
                <w:sz w:val="11"/>
                <w:szCs w:val="11"/>
                <w:color w:val="auto"/>
              </w:rPr>
            </w:pPr>
          </w:p>
        </w:tc>
        <w:tc>
          <w:tcPr>
            <w:tcW w:w="70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8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197</w:t>
            </w:r>
          </w:p>
        </w:tc>
        <w:tc>
          <w:tcPr>
            <w:tcW w:w="60" w:type="dxa"/>
            <w:vAlign w:val="bottom"/>
            <w:shd w:val="clear" w:color="auto" w:fill="D2DCE5"/>
          </w:tcPr>
          <w:p>
            <w:pPr>
              <w:spacing w:after="0"/>
              <w:rPr>
                <w:sz w:val="11"/>
                <w:szCs w:val="11"/>
                <w:color w:val="auto"/>
              </w:rPr>
            </w:pPr>
          </w:p>
        </w:tc>
        <w:tc>
          <w:tcPr>
            <w:tcW w:w="120" w:type="dxa"/>
            <w:vAlign w:val="bottom"/>
            <w:shd w:val="clear" w:color="auto" w:fill="D2DCE5"/>
          </w:tcPr>
          <w:p>
            <w:pPr>
              <w:spacing w:after="0"/>
              <w:rPr>
                <w:sz w:val="11"/>
                <w:szCs w:val="11"/>
                <w:color w:val="auto"/>
              </w:rPr>
            </w:pPr>
          </w:p>
        </w:tc>
        <w:tc>
          <w:tcPr>
            <w:tcW w:w="50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217</w:t>
            </w:r>
          </w:p>
        </w:tc>
        <w:tc>
          <w:tcPr>
            <w:tcW w:w="0" w:type="dxa"/>
            <w:vAlign w:val="bottom"/>
          </w:tcPr>
          <w:p>
            <w:pPr>
              <w:spacing w:after="0"/>
              <w:rPr>
                <w:sz w:val="1"/>
                <w:szCs w:val="1"/>
                <w:color w:val="auto"/>
              </w:rPr>
            </w:pPr>
          </w:p>
        </w:tc>
      </w:tr>
      <w:tr>
        <w:trPr>
          <w:trHeight w:val="155"/>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expense of $112</w:t>
            </w: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40" w:type="dxa"/>
            <w:vAlign w:val="bottom"/>
            <w:shd w:val="clear" w:color="auto" w:fill="D2DCE5"/>
          </w:tcPr>
          <w:p>
            <w:pPr>
              <w:spacing w:after="0"/>
              <w:rPr>
                <w:sz w:val="13"/>
                <w:szCs w:val="13"/>
                <w:color w:val="auto"/>
              </w:rPr>
            </w:pPr>
          </w:p>
        </w:tc>
        <w:tc>
          <w:tcPr>
            <w:tcW w:w="70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20" w:type="dxa"/>
            <w:vAlign w:val="bottom"/>
            <w:shd w:val="clear" w:color="auto" w:fill="D2DCE5"/>
          </w:tcPr>
          <w:p>
            <w:pPr>
              <w:spacing w:after="0"/>
              <w:rPr>
                <w:sz w:val="13"/>
                <w:szCs w:val="13"/>
                <w:color w:val="auto"/>
              </w:rPr>
            </w:pPr>
          </w:p>
        </w:tc>
        <w:tc>
          <w:tcPr>
            <w:tcW w:w="5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3,864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5,834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9,698</w:t>
            </w:r>
          </w:p>
        </w:tc>
        <w:tc>
          <w:tcPr>
            <w:tcW w:w="0" w:type="dxa"/>
            <w:vAlign w:val="bottom"/>
          </w:tcPr>
          <w:p>
            <w:pPr>
              <w:spacing w:after="0"/>
              <w:rPr>
                <w:sz w:val="1"/>
                <w:szCs w:val="1"/>
                <w:color w:val="auto"/>
              </w:rPr>
            </w:pPr>
          </w:p>
        </w:tc>
      </w:tr>
      <w:tr>
        <w:trPr>
          <w:trHeight w:val="161"/>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w:t>
            </w:r>
          </w:p>
        </w:tc>
        <w:tc>
          <w:tcPr>
            <w:tcW w:w="58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5</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9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shd w:val="clear" w:color="auto" w:fill="D2DCE5"/>
          </w:tcPr>
          <w:p>
            <w:pPr>
              <w:spacing w:after="0"/>
              <w:rPr>
                <w:sz w:val="11"/>
                <w:szCs w:val="11"/>
                <w:color w:val="auto"/>
              </w:rPr>
            </w:pPr>
          </w:p>
        </w:tc>
        <w:tc>
          <w:tcPr>
            <w:tcW w:w="70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20" w:type="dxa"/>
            <w:vAlign w:val="bottom"/>
            <w:shd w:val="clear" w:color="auto" w:fill="D2DCE5"/>
          </w:tcPr>
          <w:p>
            <w:pPr>
              <w:spacing w:after="0"/>
              <w:rPr>
                <w:sz w:val="11"/>
                <w:szCs w:val="11"/>
                <w:color w:val="auto"/>
              </w:rPr>
            </w:pPr>
          </w:p>
        </w:tc>
        <w:tc>
          <w:tcPr>
            <w:tcW w:w="50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55"/>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of stock withheld for tax and forfeitures</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60" w:type="dxa"/>
            <w:vAlign w:val="bottom"/>
            <w:gridSpan w:val="2"/>
            <w:vMerge w:val="continue"/>
            <w:shd w:val="clear" w:color="auto" w:fill="D2DCE5"/>
          </w:tcPr>
          <w:p>
            <w:pPr>
              <w:spacing w:after="0"/>
              <w:rPr>
                <w:sz w:val="13"/>
                <w:szCs w:val="13"/>
                <w:color w:val="auto"/>
              </w:rPr>
            </w:pPr>
          </w:p>
        </w:tc>
        <w:tc>
          <w:tcPr>
            <w:tcW w:w="140" w:type="dxa"/>
            <w:vAlign w:val="bottom"/>
            <w:shd w:val="clear" w:color="auto" w:fill="D2DCE5"/>
          </w:tcPr>
          <w:p>
            <w:pPr>
              <w:spacing w:after="0"/>
              <w:rPr>
                <w:sz w:val="13"/>
                <w:szCs w:val="13"/>
                <w:color w:val="auto"/>
              </w:rPr>
            </w:pPr>
          </w:p>
        </w:tc>
        <w:tc>
          <w:tcPr>
            <w:tcW w:w="70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20" w:type="dxa"/>
            <w:vAlign w:val="bottom"/>
            <w:shd w:val="clear" w:color="auto" w:fill="D2DCE5"/>
          </w:tcPr>
          <w:p>
            <w:pPr>
              <w:spacing w:after="0"/>
              <w:rPr>
                <w:sz w:val="13"/>
                <w:szCs w:val="13"/>
                <w:color w:val="auto"/>
              </w:rPr>
            </w:pPr>
          </w:p>
        </w:tc>
        <w:tc>
          <w:tcPr>
            <w:tcW w:w="5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 sold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ind w:left="20"/>
              <w:spacing w:after="0"/>
              <w:rPr>
                <w:sz w:val="20"/>
                <w:szCs w:val="20"/>
                <w:color w:val="auto"/>
              </w:rPr>
            </w:pPr>
            <w:r>
              <w:rPr>
                <w:rFonts w:ascii="Arial" w:cs="Arial" w:eastAsia="Arial" w:hAnsi="Arial"/>
                <w:sz w:val="11"/>
                <w:szCs w:val="11"/>
                <w:color w:val="131E29"/>
              </w:rPr>
              <w:t>pursuant to follow-on offering, net of</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13,269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131E29"/>
              </w:rPr>
              <w:t>330,098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20" w:type="dxa"/>
            <w:vAlign w:val="bottom"/>
          </w:tcPr>
          <w:p>
            <w:pPr>
              <w:spacing w:after="0"/>
              <w:rPr>
                <w:sz w:val="11"/>
                <w:szCs w:val="11"/>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color w:val="131E29"/>
              </w:rPr>
              <w:t>330,098</w:t>
            </w:r>
          </w:p>
        </w:tc>
        <w:tc>
          <w:tcPr>
            <w:tcW w:w="0" w:type="dxa"/>
            <w:vAlign w:val="bottom"/>
          </w:tcPr>
          <w:p>
            <w:pPr>
              <w:spacing w:after="0"/>
              <w:rPr>
                <w:sz w:val="1"/>
                <w:szCs w:val="1"/>
                <w:color w:val="auto"/>
              </w:rPr>
            </w:pPr>
          </w:p>
        </w:tc>
      </w:tr>
      <w:tr>
        <w:trPr>
          <w:trHeight w:val="152"/>
        </w:trPr>
        <w:tc>
          <w:tcPr>
            <w:tcW w:w="2200" w:type="dxa"/>
            <w:vAlign w:val="bottom"/>
            <w:gridSpan w:val="2"/>
          </w:tcPr>
          <w:p>
            <w:pPr>
              <w:ind w:left="20"/>
              <w:spacing w:after="0"/>
              <w:rPr>
                <w:sz w:val="20"/>
                <w:szCs w:val="20"/>
                <w:color w:val="auto"/>
              </w:rPr>
            </w:pPr>
            <w:r>
              <w:rPr>
                <w:rFonts w:ascii="Arial" w:cs="Arial" w:eastAsia="Arial" w:hAnsi="Arial"/>
                <w:sz w:val="11"/>
                <w:szCs w:val="11"/>
                <w:color w:val="131E29"/>
              </w:rPr>
              <w:t>offering costs</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 of acquisition of Dutch Bros OpCo</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40" w:type="dxa"/>
            <w:vAlign w:val="bottom"/>
            <w:shd w:val="clear" w:color="auto" w:fill="D2DCE5"/>
          </w:tcPr>
          <w:p>
            <w:pPr>
              <w:spacing w:after="0"/>
              <w:rPr>
                <w:sz w:val="13"/>
                <w:szCs w:val="13"/>
                <w:color w:val="auto"/>
              </w:rPr>
            </w:pPr>
          </w:p>
        </w:tc>
        <w:tc>
          <w:tcPr>
            <w:tcW w:w="62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2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Class A common units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(189,072)</w:t>
            </w: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shd w:val="clear" w:color="auto" w:fill="D2DCE5"/>
          </w:tcPr>
          <w:p>
            <w:pPr>
              <w:spacing w:after="0"/>
              <w:rPr>
                <w:sz w:val="14"/>
                <w:szCs w:val="14"/>
                <w:color w:val="auto"/>
              </w:rPr>
            </w:pPr>
          </w:p>
        </w:tc>
        <w:tc>
          <w:tcPr>
            <w:tcW w:w="70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189,072</w:t>
            </w:r>
          </w:p>
        </w:tc>
        <w:tc>
          <w:tcPr>
            <w:tcW w:w="6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2"/>
        </w:trPr>
        <w:tc>
          <w:tcPr>
            <w:tcW w:w="2200" w:type="dxa"/>
            <w:vAlign w:val="bottom"/>
            <w:gridSpan w:val="2"/>
          </w:tcPr>
          <w:p>
            <w:pPr>
              <w:ind w:left="20"/>
              <w:spacing w:after="0"/>
              <w:rPr>
                <w:sz w:val="20"/>
                <w:szCs w:val="20"/>
                <w:color w:val="auto"/>
              </w:rPr>
            </w:pPr>
            <w:r>
              <w:rPr>
                <w:rFonts w:ascii="Arial" w:cs="Arial" w:eastAsia="Arial" w:hAnsi="Arial"/>
                <w:sz w:val="11"/>
                <w:szCs w:val="11"/>
                <w:color w:val="131E29"/>
              </w:rPr>
              <w:t>Tax impacts of follow-on offering</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46,594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46,594</w:t>
            </w:r>
          </w:p>
        </w:tc>
        <w:tc>
          <w:tcPr>
            <w:tcW w:w="0" w:type="dxa"/>
            <w:vAlign w:val="bottom"/>
          </w:tcPr>
          <w:p>
            <w:pPr>
              <w:spacing w:after="0"/>
              <w:rPr>
                <w:sz w:val="1"/>
                <w:szCs w:val="1"/>
                <w:color w:val="auto"/>
              </w:rPr>
            </w:pPr>
          </w:p>
        </w:tc>
      </w:tr>
      <w:tr>
        <w:trPr>
          <w:trHeight w:val="161"/>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2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555</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9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40" w:type="dxa"/>
            <w:vAlign w:val="bottom"/>
            <w:tcBorders>
              <w:bottom w:val="single" w:sz="8" w:color="auto"/>
            </w:tcBorders>
            <w:shd w:val="clear" w:color="auto" w:fill="D2DCE5"/>
          </w:tcPr>
          <w:p>
            <w:pPr>
              <w:spacing w:after="0"/>
              <w:rPr>
                <w:sz w:val="13"/>
                <w:szCs w:val="13"/>
                <w:color w:val="auto"/>
              </w:rPr>
            </w:pPr>
          </w:p>
        </w:tc>
        <w:tc>
          <w:tcPr>
            <w:tcW w:w="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2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555</w:t>
            </w:r>
          </w:p>
        </w:tc>
        <w:tc>
          <w:tcPr>
            <w:tcW w:w="0" w:type="dxa"/>
            <w:vAlign w:val="bottom"/>
          </w:tcPr>
          <w:p>
            <w:pPr>
              <w:spacing w:after="0"/>
              <w:rPr>
                <w:sz w:val="1"/>
                <w:szCs w:val="1"/>
                <w:color w:val="auto"/>
              </w:rPr>
            </w:pPr>
          </w:p>
        </w:tc>
      </w:tr>
      <w:tr>
        <w:trPr>
          <w:trHeight w:val="180"/>
        </w:trPr>
        <w:tc>
          <w:tcPr>
            <w:tcW w:w="220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September 30, 2023</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58,948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64,699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41,056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12,411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344,771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131E29"/>
              </w:rPr>
              <w:t>1,093</w:t>
            </w:r>
          </w:p>
        </w:tc>
        <w:tc>
          <w:tcPr>
            <w:tcW w:w="60" w:type="dxa"/>
            <w:vAlign w:val="bottom"/>
          </w:tcPr>
          <w:p>
            <w:pPr>
              <w:spacing w:after="0"/>
              <w:rPr>
                <w:sz w:val="15"/>
                <w:szCs w:val="15"/>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131E29"/>
                <w:w w:val="97"/>
              </w:rPr>
              <w:t>$</w:t>
            </w:r>
          </w:p>
        </w:tc>
        <w:tc>
          <w:tcPr>
            <w:tcW w:w="620" w:type="dxa"/>
            <w:vAlign w:val="bottom"/>
          </w:tcPr>
          <w:p>
            <w:pPr>
              <w:jc w:val="right"/>
              <w:spacing w:after="0"/>
              <w:rPr>
                <w:sz w:val="20"/>
                <w:szCs w:val="20"/>
                <w:color w:val="auto"/>
              </w:rPr>
            </w:pPr>
            <w:r>
              <w:rPr>
                <w:rFonts w:ascii="Arial" w:cs="Arial" w:eastAsia="Arial" w:hAnsi="Arial"/>
                <w:sz w:val="11"/>
                <w:szCs w:val="11"/>
                <w:color w:val="131E29"/>
              </w:rPr>
              <w:t>(14,190)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338,962</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131E29"/>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670,638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10"/>
          </w:tcPr>
          <w:p>
            <w:pPr>
              <w:ind w:left="220"/>
              <w:spacing w:after="0"/>
              <w:rPr>
                <w:sz w:val="20"/>
                <w:szCs w:val="20"/>
                <w:color w:val="auto"/>
              </w:rPr>
            </w:pPr>
            <w:r>
              <w:rPr>
                <w:rFonts w:ascii="Arial" w:cs="Arial" w:eastAsia="Arial" w:hAnsi="Arial"/>
                <w:sz w:val="11"/>
                <w:szCs w:val="11"/>
                <w:b w:val="1"/>
                <w:bCs w:val="1"/>
                <w:color w:val="131E29"/>
              </w:rPr>
              <w:t>Dutch Bros. Inc. Stockholders’ Equity</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131E29"/>
              </w:rPr>
              <w:t>Class B</w:t>
            </w:r>
          </w:p>
        </w:tc>
        <w:tc>
          <w:tcPr>
            <w:tcW w:w="1300" w:type="dxa"/>
            <w:vAlign w:val="bottom"/>
            <w:gridSpan w:val="5"/>
          </w:tcPr>
          <w:p>
            <w:pPr>
              <w:ind w:left="42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ind w:left="2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Other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Comprehensive</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w w:val="99"/>
              </w:rPr>
              <w:t>Capital</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2022</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45,544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64,699</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41,056</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12,411</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$ 145,613</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813</w:t>
            </w:r>
          </w:p>
        </w:tc>
        <w:tc>
          <w:tcPr>
            <w:tcW w:w="60" w:type="dxa"/>
            <w:vAlign w:val="bottom"/>
            <w:shd w:val="clear" w:color="auto" w:fill="D2DCE5"/>
          </w:tcPr>
          <w:p>
            <w:pPr>
              <w:spacing w:after="0"/>
              <w:rPr>
                <w:sz w:val="15"/>
                <w:szCs w:val="15"/>
                <w:color w:val="auto"/>
              </w:rPr>
            </w:pPr>
          </w:p>
        </w:tc>
        <w:tc>
          <w:tcPr>
            <w:tcW w:w="160" w:type="dxa"/>
            <w:vAlign w:val="bottom"/>
            <w:shd w:val="clear" w:color="auto" w:fill="D2DCE5"/>
          </w:tcPr>
          <w:p>
            <w:pPr>
              <w:jc w:val="right"/>
              <w:ind w:right="23"/>
              <w:spacing w:after="0"/>
              <w:rPr>
                <w:sz w:val="20"/>
                <w:szCs w:val="20"/>
                <w:color w:val="auto"/>
              </w:rPr>
            </w:pPr>
            <w:r>
              <w:rPr>
                <w:rFonts w:ascii="Arial" w:cs="Arial" w:eastAsia="Arial" w:hAnsi="Arial"/>
                <w:sz w:val="11"/>
                <w:szCs w:val="11"/>
                <w:color w:val="131E29"/>
                <w:w w:val="97"/>
              </w:rPr>
              <w:t>$</w:t>
            </w: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(17,310)</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122,858</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$ 251,976</w:t>
            </w:r>
          </w:p>
        </w:tc>
        <w:tc>
          <w:tcPr>
            <w:tcW w:w="0" w:type="dxa"/>
            <w:vAlign w:val="bottom"/>
          </w:tcPr>
          <w:p>
            <w:pPr>
              <w:spacing w:after="0"/>
              <w:rPr>
                <w:sz w:val="1"/>
                <w:szCs w:val="1"/>
                <w:color w:val="auto"/>
              </w:rPr>
            </w:pPr>
          </w:p>
        </w:tc>
      </w:tr>
      <w:tr>
        <w:trPr>
          <w:trHeight w:val="204"/>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131E29"/>
              </w:rPr>
              <w:t>3,120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10,601</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13,721</w:t>
            </w:r>
          </w:p>
        </w:tc>
        <w:tc>
          <w:tcPr>
            <w:tcW w:w="0" w:type="dxa"/>
            <w:vAlign w:val="bottom"/>
          </w:tcPr>
          <w:p>
            <w:pPr>
              <w:spacing w:after="0"/>
              <w:rPr>
                <w:sz w:val="1"/>
                <w:szCs w:val="1"/>
                <w:color w:val="auto"/>
              </w:rPr>
            </w:pPr>
          </w:p>
        </w:tc>
      </w:tr>
      <w:tr>
        <w:trPr>
          <w:trHeight w:val="161"/>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gain on derivative securities,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effective portion, net of income tax</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(187)</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280</w:t>
            </w: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379</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472</w:t>
            </w: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expense of $137</w:t>
            </w: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10,609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18,408</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29,017</w:t>
            </w:r>
          </w:p>
        </w:tc>
        <w:tc>
          <w:tcPr>
            <w:tcW w:w="0" w:type="dxa"/>
            <w:vAlign w:val="bottom"/>
          </w:tcPr>
          <w:p>
            <w:pPr>
              <w:spacing w:after="0"/>
              <w:rPr>
                <w:sz w:val="1"/>
                <w:szCs w:val="1"/>
                <w:color w:val="auto"/>
              </w:rPr>
            </w:pPr>
          </w:p>
        </w:tc>
      </w:tr>
      <w:tr>
        <w:trPr>
          <w:trHeight w:val="161"/>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58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135</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(661)</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9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(1,234)</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(1,895)</w:t>
            </w: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stock withheld for tax</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940" w:type="dxa"/>
            <w:vAlign w:val="bottom"/>
            <w:gridSpan w:val="2"/>
            <w:vMerge w:val="continue"/>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 sold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pursuant to follow-on offering, net of</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13,269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330,098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330,098</w:t>
            </w:r>
          </w:p>
        </w:tc>
        <w:tc>
          <w:tcPr>
            <w:tcW w:w="0" w:type="dxa"/>
            <w:vAlign w:val="bottom"/>
          </w:tcPr>
          <w:p>
            <w:pPr>
              <w:spacing w:after="0"/>
              <w:rPr>
                <w:sz w:val="1"/>
                <w:szCs w:val="1"/>
                <w:color w:val="auto"/>
              </w:rPr>
            </w:pPr>
          </w:p>
        </w:tc>
      </w:tr>
      <w:tr>
        <w:trPr>
          <w:trHeight w:val="15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offering costs</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 of acquisition of Dutch Bros OpCo</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restart"/>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Class A common units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vMerge w:val="continue"/>
            <w:shd w:val="clear" w:color="auto" w:fill="D2DCE5"/>
          </w:tcPr>
          <w:p>
            <w:pPr>
              <w:spacing w:after="0"/>
              <w:rPr>
                <w:sz w:val="14"/>
                <w:szCs w:val="14"/>
                <w:color w:val="auto"/>
              </w:rPr>
            </w:pP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(187,950)</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4"/>
                <w:szCs w:val="14"/>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187,950</w:t>
            </w: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Tax impacts of follow-on offering</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46,594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46,594</w:t>
            </w:r>
          </w:p>
        </w:tc>
        <w:tc>
          <w:tcPr>
            <w:tcW w:w="0" w:type="dxa"/>
            <w:vAlign w:val="bottom"/>
          </w:tcPr>
          <w:p>
            <w:pPr>
              <w:spacing w:after="0"/>
              <w:rPr>
                <w:sz w:val="1"/>
                <w:szCs w:val="1"/>
                <w:color w:val="auto"/>
              </w:rPr>
            </w:pPr>
          </w:p>
        </w:tc>
      </w:tr>
      <w:tr>
        <w:trPr>
          <w:trHeight w:val="161"/>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48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655</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60" w:type="dxa"/>
            <w:vAlign w:val="bottom"/>
            <w:tcBorders>
              <w:bottom w:val="single" w:sz="8" w:color="auto"/>
            </w:tcBorders>
            <w:shd w:val="clear" w:color="auto" w:fill="D2DCE5"/>
          </w:tcPr>
          <w:p>
            <w:pPr>
              <w:spacing w:after="0"/>
              <w:rPr>
                <w:sz w:val="13"/>
                <w:szCs w:val="13"/>
                <w:color w:val="auto"/>
              </w:rPr>
            </w:pPr>
          </w:p>
        </w:tc>
        <w:tc>
          <w:tcPr>
            <w:tcW w:w="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655</w:t>
            </w:r>
          </w:p>
        </w:tc>
        <w:tc>
          <w:tcPr>
            <w:tcW w:w="0" w:type="dxa"/>
            <w:vAlign w:val="bottom"/>
          </w:tcPr>
          <w:p>
            <w:pPr>
              <w:spacing w:after="0"/>
              <w:rPr>
                <w:sz w:val="1"/>
                <w:szCs w:val="1"/>
                <w:color w:val="auto"/>
              </w:rPr>
            </w:pPr>
          </w:p>
        </w:tc>
      </w:tr>
      <w:tr>
        <w:trPr>
          <w:trHeight w:val="180"/>
        </w:trPr>
        <w:tc>
          <w:tcPr>
            <w:tcW w:w="226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September 30, 2023</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58,948</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tcPr>
          <w:p>
            <w:pPr>
              <w:jc w:val="right"/>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64,699</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131E29"/>
              </w:rPr>
              <w:t>41,056</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131E29"/>
                <w:w w:val="71"/>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12,411</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$ 344,771</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880" w:type="dxa"/>
            <w:vAlign w:val="bottom"/>
          </w:tcPr>
          <w:p>
            <w:pPr>
              <w:jc w:val="right"/>
              <w:spacing w:after="0"/>
              <w:rPr>
                <w:sz w:val="20"/>
                <w:szCs w:val="20"/>
                <w:color w:val="auto"/>
              </w:rPr>
            </w:pPr>
            <w:r>
              <w:rPr>
                <w:rFonts w:ascii="Arial" w:cs="Arial" w:eastAsia="Arial" w:hAnsi="Arial"/>
                <w:sz w:val="11"/>
                <w:szCs w:val="11"/>
                <w:color w:val="131E29"/>
              </w:rPr>
              <w:t>1,093</w:t>
            </w:r>
          </w:p>
        </w:tc>
        <w:tc>
          <w:tcPr>
            <w:tcW w:w="60" w:type="dxa"/>
            <w:vAlign w:val="bottom"/>
          </w:tcPr>
          <w:p>
            <w:pPr>
              <w:spacing w:after="0"/>
              <w:rPr>
                <w:sz w:val="15"/>
                <w:szCs w:val="15"/>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131E29"/>
                <w:w w:val="97"/>
              </w:rPr>
              <w:t>$</w:t>
            </w:r>
          </w:p>
        </w:tc>
        <w:tc>
          <w:tcPr>
            <w:tcW w:w="620" w:type="dxa"/>
            <w:vAlign w:val="bottom"/>
          </w:tcPr>
          <w:p>
            <w:pPr>
              <w:jc w:val="right"/>
              <w:spacing w:after="0"/>
              <w:rPr>
                <w:sz w:val="20"/>
                <w:szCs w:val="20"/>
                <w:color w:val="auto"/>
              </w:rPr>
            </w:pPr>
            <w:r>
              <w:rPr>
                <w:rFonts w:ascii="Arial" w:cs="Arial" w:eastAsia="Arial" w:hAnsi="Arial"/>
                <w:sz w:val="11"/>
                <w:szCs w:val="11"/>
                <w:color w:val="131E29"/>
              </w:rPr>
              <w:t>(14,190)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131E29"/>
                <w:w w:val="97"/>
              </w:rPr>
              <w:t>$</w:t>
            </w:r>
          </w:p>
        </w:tc>
        <w:tc>
          <w:tcPr>
            <w:tcW w:w="560" w:type="dxa"/>
            <w:vAlign w:val="bottom"/>
          </w:tcPr>
          <w:p>
            <w:pPr>
              <w:jc w:val="right"/>
              <w:spacing w:after="0"/>
              <w:rPr>
                <w:sz w:val="20"/>
                <w:szCs w:val="20"/>
                <w:color w:val="auto"/>
              </w:rPr>
            </w:pPr>
            <w:r>
              <w:rPr>
                <w:rFonts w:ascii="Arial" w:cs="Arial" w:eastAsia="Arial" w:hAnsi="Arial"/>
                <w:sz w:val="11"/>
                <w:szCs w:val="11"/>
                <w:color w:val="131E29"/>
              </w:rPr>
              <w:t>338,962</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$ 670,638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Condensed Consolidated Statements of Cash Flows</w:t>
      </w:r>
    </w:p>
    <w:p>
      <w:pPr>
        <w:spacing w:after="0" w:line="328" w:lineRule="exact"/>
        <w:rPr>
          <w:sz w:val="20"/>
          <w:szCs w:val="20"/>
          <w:color w:val="auto"/>
        </w:rPr>
      </w:pPr>
    </w:p>
    <w:p>
      <w:pPr>
        <w:ind w:left="9040"/>
        <w:spacing w:after="0"/>
        <w:rPr>
          <w:sz w:val="20"/>
          <w:szCs w:val="20"/>
          <w:color w:val="auto"/>
        </w:rPr>
      </w:pPr>
      <w:r>
        <w:rPr>
          <w:rFonts w:ascii="Arial" w:cs="Arial" w:eastAsia="Arial" w:hAnsi="Arial"/>
          <w:sz w:val="13"/>
          <w:szCs w:val="13"/>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5675630</wp:posOffset>
            </wp:positionH>
            <wp:positionV relativeFrom="paragraph">
              <wp:posOffset>19685</wp:posOffset>
            </wp:positionV>
            <wp:extent cx="146875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8755" cy="6985"/>
                    </a:xfrm>
                    <a:prstGeom prst="rect">
                      <a:avLst/>
                    </a:prstGeom>
                    <a:noFill/>
                  </pic:spPr>
                </pic:pic>
              </a:graphicData>
            </a:graphic>
          </wp:anchor>
        </w:drawing>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2024</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2023</w:t>
            </w:r>
          </w:p>
        </w:tc>
      </w:tr>
      <w:tr>
        <w:trPr>
          <w:trHeight w:val="185"/>
        </w:trPr>
        <w:tc>
          <w:tcPr>
            <w:tcW w:w="89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operating activities:</w:t>
            </w:r>
          </w:p>
        </w:tc>
        <w:tc>
          <w:tcPr>
            <w:tcW w:w="240" w:type="dxa"/>
            <w:vAlign w:val="bottom"/>
            <w:shd w:val="clear" w:color="auto" w:fill="D2DCE5"/>
          </w:tcPr>
          <w:p>
            <w:pPr>
              <w:spacing w:after="0"/>
              <w:rPr>
                <w:sz w:val="16"/>
                <w:szCs w:val="16"/>
                <w:color w:val="auto"/>
              </w:rPr>
            </w:pPr>
          </w:p>
        </w:tc>
        <w:tc>
          <w:tcPr>
            <w:tcW w:w="8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80" w:type="dxa"/>
            <w:vAlign w:val="bottom"/>
            <w:shd w:val="clear" w:color="auto" w:fill="D2DCE5"/>
          </w:tcPr>
          <w:p>
            <w:pPr>
              <w:spacing w:after="0"/>
              <w:rPr>
                <w:sz w:val="16"/>
                <w:szCs w:val="16"/>
                <w:color w:val="auto"/>
              </w:rPr>
            </w:pP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Net income</w:t>
            </w:r>
          </w:p>
        </w:tc>
        <w:tc>
          <w:tcPr>
            <w:tcW w:w="240" w:type="dxa"/>
            <w:vAlign w:val="bottom"/>
          </w:tcPr>
          <w:p>
            <w:pPr>
              <w:jc w:val="right"/>
              <w:ind w:right="96"/>
              <w:spacing w:after="0"/>
              <w:rPr>
                <w:sz w:val="20"/>
                <w:szCs w:val="20"/>
                <w:color w:val="auto"/>
              </w:rPr>
            </w:pPr>
            <w:r>
              <w:rPr>
                <w:rFonts w:ascii="Arial" w:cs="Arial" w:eastAsia="Arial" w:hAnsi="Arial"/>
                <w:sz w:val="13"/>
                <w:szCs w:val="13"/>
                <w:color w:val="131E29"/>
                <w:w w:val="82"/>
              </w:rPr>
              <w:t>$</w:t>
            </w:r>
          </w:p>
        </w:tc>
        <w:tc>
          <w:tcPr>
            <w:tcW w:w="880" w:type="dxa"/>
            <w:vAlign w:val="bottom"/>
          </w:tcPr>
          <w:p>
            <w:pPr>
              <w:jc w:val="right"/>
              <w:spacing w:after="0"/>
              <w:rPr>
                <w:sz w:val="20"/>
                <w:szCs w:val="20"/>
                <w:color w:val="auto"/>
              </w:rPr>
            </w:pPr>
            <w:r>
              <w:rPr>
                <w:rFonts w:ascii="Arial" w:cs="Arial" w:eastAsia="Arial" w:hAnsi="Arial"/>
                <w:sz w:val="13"/>
                <w:szCs w:val="13"/>
                <w:color w:val="131E29"/>
              </w:rPr>
              <w:t>60,083</w:t>
            </w:r>
          </w:p>
        </w:tc>
        <w:tc>
          <w:tcPr>
            <w:tcW w:w="8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131E29"/>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13,721</w:t>
            </w:r>
          </w:p>
        </w:tc>
      </w:tr>
      <w:tr>
        <w:trPr>
          <w:trHeight w:val="198"/>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Adjustments to reconcile net income to net cash provided by operating activities:</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r>
      <w:tr>
        <w:trPr>
          <w:trHeight w:val="184"/>
        </w:trPr>
        <w:tc>
          <w:tcPr>
            <w:tcW w:w="8900" w:type="dxa"/>
            <w:vAlign w:val="bottom"/>
            <w:gridSpan w:val="2"/>
          </w:tcPr>
          <w:p>
            <w:pPr>
              <w:ind w:left="280"/>
              <w:spacing w:after="0"/>
              <w:rPr>
                <w:sz w:val="20"/>
                <w:szCs w:val="20"/>
                <w:color w:val="auto"/>
              </w:rPr>
            </w:pPr>
            <w:r>
              <w:rPr>
                <w:rFonts w:ascii="Arial" w:cs="Arial" w:eastAsia="Arial" w:hAnsi="Arial"/>
                <w:sz w:val="13"/>
                <w:szCs w:val="13"/>
                <w:color w:val="131E29"/>
              </w:rPr>
              <w:t>Depreciation and amortization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67,484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49,411</w:t>
            </w:r>
          </w:p>
        </w:tc>
      </w:tr>
      <w:tr>
        <w:trPr>
          <w:trHeight w:val="198"/>
        </w:trPr>
        <w:tc>
          <w:tcPr>
            <w:tcW w:w="8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interest expense</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834</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ind w:right="16"/>
              <w:spacing w:after="0"/>
              <w:rPr>
                <w:sz w:val="20"/>
                <w:szCs w:val="20"/>
                <w:color w:val="auto"/>
              </w:rPr>
            </w:pPr>
            <w:r>
              <w:rPr>
                <w:rFonts w:ascii="Arial" w:cs="Arial" w:eastAsia="Arial" w:hAnsi="Arial"/>
                <w:sz w:val="13"/>
                <w:szCs w:val="13"/>
                <w:color w:val="131E29"/>
              </w:rPr>
              <w:t>609</w:t>
            </w:r>
          </w:p>
        </w:tc>
      </w:tr>
      <w:tr>
        <w:trPr>
          <w:trHeight w:val="184"/>
        </w:trPr>
        <w:tc>
          <w:tcPr>
            <w:tcW w:w="8900" w:type="dxa"/>
            <w:vAlign w:val="bottom"/>
            <w:gridSpan w:val="2"/>
          </w:tcPr>
          <w:p>
            <w:pPr>
              <w:ind w:left="280"/>
              <w:spacing w:after="0"/>
              <w:rPr>
                <w:sz w:val="20"/>
                <w:szCs w:val="20"/>
                <w:color w:val="auto"/>
              </w:rPr>
            </w:pPr>
            <w:r>
              <w:rPr>
                <w:rFonts w:ascii="Arial" w:cs="Arial" w:eastAsia="Arial" w:hAnsi="Arial"/>
                <w:sz w:val="13"/>
                <w:szCs w:val="13"/>
                <w:color w:val="131E29"/>
              </w:rPr>
              <w:t>Gain on disposal of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(1,373)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(245)</w:t>
            </w:r>
          </w:p>
        </w:tc>
      </w:tr>
      <w:tr>
        <w:trPr>
          <w:trHeight w:val="198"/>
        </w:trPr>
        <w:tc>
          <w:tcPr>
            <w:tcW w:w="8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Equity-based compensation</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8,220</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ind w:right="16"/>
              <w:spacing w:after="0"/>
              <w:rPr>
                <w:sz w:val="20"/>
                <w:szCs w:val="20"/>
                <w:color w:val="auto"/>
              </w:rPr>
            </w:pPr>
            <w:r>
              <w:rPr>
                <w:rFonts w:ascii="Arial" w:cs="Arial" w:eastAsia="Arial" w:hAnsi="Arial"/>
                <w:sz w:val="13"/>
                <w:szCs w:val="13"/>
                <w:color w:val="131E29"/>
              </w:rPr>
              <w:t>29,017</w:t>
            </w:r>
          </w:p>
        </w:tc>
      </w:tr>
      <w:tr>
        <w:trPr>
          <w:trHeight w:val="184"/>
        </w:trPr>
        <w:tc>
          <w:tcPr>
            <w:tcW w:w="8900" w:type="dxa"/>
            <w:vAlign w:val="bottom"/>
            <w:gridSpan w:val="2"/>
          </w:tcPr>
          <w:p>
            <w:pPr>
              <w:ind w:left="280"/>
              <w:spacing w:after="0"/>
              <w:rPr>
                <w:sz w:val="20"/>
                <w:szCs w:val="20"/>
                <w:color w:val="auto"/>
              </w:rPr>
            </w:pPr>
            <w:r>
              <w:rPr>
                <w:rFonts w:ascii="Arial" w:cs="Arial" w:eastAsia="Arial" w:hAnsi="Arial"/>
                <w:sz w:val="13"/>
                <w:szCs w:val="13"/>
                <w:color w:val="131E29"/>
              </w:rPr>
              <w:t>Deferred income taxes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15,335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5,600</w:t>
            </w:r>
          </w:p>
        </w:tc>
      </w:tr>
      <w:tr>
        <w:trPr>
          <w:trHeight w:val="198"/>
        </w:trPr>
        <w:tc>
          <w:tcPr>
            <w:tcW w:w="8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Remeasurement gain on TRAs</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(5,687)</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(1,740)</w:t>
            </w:r>
          </w:p>
        </w:tc>
      </w:tr>
      <w:tr>
        <w:trPr>
          <w:trHeight w:val="184"/>
        </w:trPr>
        <w:tc>
          <w:tcPr>
            <w:tcW w:w="8900" w:type="dxa"/>
            <w:vAlign w:val="bottom"/>
            <w:gridSpan w:val="2"/>
          </w:tcPr>
          <w:p>
            <w:pPr>
              <w:ind w:left="280"/>
              <w:spacing w:after="0"/>
              <w:rPr>
                <w:sz w:val="20"/>
                <w:szCs w:val="20"/>
                <w:color w:val="auto"/>
              </w:rPr>
            </w:pPr>
            <w:r>
              <w:rPr>
                <w:rFonts w:ascii="Arial" w:cs="Arial" w:eastAsia="Arial" w:hAnsi="Arial"/>
                <w:sz w:val="13"/>
                <w:szCs w:val="13"/>
                <w:color w:val="131E29"/>
              </w:rPr>
              <w:t>Non-cash operating lease cost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11,334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8,363</w:t>
            </w:r>
          </w:p>
        </w:tc>
      </w:tr>
      <w:tr>
        <w:trPr>
          <w:trHeight w:val="198"/>
        </w:trPr>
        <w:tc>
          <w:tcPr>
            <w:tcW w:w="89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Changes in operating assets and liabilities:</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r>
      <w:tr>
        <w:trPr>
          <w:trHeight w:val="184"/>
        </w:trPr>
        <w:tc>
          <w:tcPr>
            <w:tcW w:w="8900" w:type="dxa"/>
            <w:vAlign w:val="bottom"/>
            <w:gridSpan w:val="2"/>
          </w:tcPr>
          <w:p>
            <w:pPr>
              <w:ind w:left="400"/>
              <w:spacing w:after="0"/>
              <w:rPr>
                <w:sz w:val="20"/>
                <w:szCs w:val="20"/>
                <w:color w:val="auto"/>
              </w:rPr>
            </w:pPr>
            <w:r>
              <w:rPr>
                <w:rFonts w:ascii="Arial" w:cs="Arial" w:eastAsia="Arial" w:hAnsi="Arial"/>
                <w:sz w:val="13"/>
                <w:szCs w:val="13"/>
                <w:color w:val="131E29"/>
              </w:rPr>
              <w:t>Accounts receivable, net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(1,238)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2,830</w:t>
            </w:r>
          </w:p>
        </w:tc>
      </w:tr>
      <w:tr>
        <w:trPr>
          <w:trHeight w:val="198"/>
        </w:trPr>
        <w:tc>
          <w:tcPr>
            <w:tcW w:w="8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Inventories, net</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8,572</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(11,067)</w:t>
            </w:r>
          </w:p>
        </w:tc>
      </w:tr>
      <w:tr>
        <w:trPr>
          <w:trHeight w:val="184"/>
        </w:trPr>
        <w:tc>
          <w:tcPr>
            <w:tcW w:w="8900" w:type="dxa"/>
            <w:vAlign w:val="bottom"/>
            <w:gridSpan w:val="2"/>
          </w:tcPr>
          <w:p>
            <w:pPr>
              <w:ind w:left="400"/>
              <w:spacing w:after="0"/>
              <w:rPr>
                <w:sz w:val="20"/>
                <w:szCs w:val="20"/>
                <w:color w:val="auto"/>
              </w:rPr>
            </w:pPr>
            <w:r>
              <w:rPr>
                <w:rFonts w:ascii="Arial" w:cs="Arial" w:eastAsia="Arial" w:hAnsi="Arial"/>
                <w:sz w:val="13"/>
                <w:szCs w:val="13"/>
                <w:color w:val="131E29"/>
              </w:rPr>
              <w:t>Prepaid expenses and other current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2,894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(943)</w:t>
            </w:r>
          </w:p>
        </w:tc>
      </w:tr>
      <w:tr>
        <w:trPr>
          <w:trHeight w:val="198"/>
        </w:trPr>
        <w:tc>
          <w:tcPr>
            <w:tcW w:w="8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Other long-term assets</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(729)</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(544)</w:t>
            </w:r>
          </w:p>
        </w:tc>
      </w:tr>
      <w:tr>
        <w:trPr>
          <w:trHeight w:val="184"/>
        </w:trPr>
        <w:tc>
          <w:tcPr>
            <w:tcW w:w="8900" w:type="dxa"/>
            <w:vAlign w:val="bottom"/>
            <w:gridSpan w:val="2"/>
          </w:tcPr>
          <w:p>
            <w:pPr>
              <w:ind w:left="400"/>
              <w:spacing w:after="0"/>
              <w:rPr>
                <w:sz w:val="20"/>
                <w:szCs w:val="20"/>
                <w:color w:val="auto"/>
              </w:rPr>
            </w:pPr>
            <w:r>
              <w:rPr>
                <w:rFonts w:ascii="Arial" w:cs="Arial" w:eastAsia="Arial" w:hAnsi="Arial"/>
                <w:sz w:val="13"/>
                <w:szCs w:val="13"/>
                <w:color w:val="131E29"/>
              </w:rPr>
              <w:t>Accounts payable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3,236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3,429</w:t>
            </w:r>
          </w:p>
        </w:tc>
      </w:tr>
      <w:tr>
        <w:trPr>
          <w:trHeight w:val="198"/>
        </w:trPr>
        <w:tc>
          <w:tcPr>
            <w:tcW w:w="8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Accrued compensation and benefits</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7,701</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ind w:right="16"/>
              <w:spacing w:after="0"/>
              <w:rPr>
                <w:sz w:val="20"/>
                <w:szCs w:val="20"/>
                <w:color w:val="auto"/>
              </w:rPr>
            </w:pPr>
            <w:r>
              <w:rPr>
                <w:rFonts w:ascii="Arial" w:cs="Arial" w:eastAsia="Arial" w:hAnsi="Arial"/>
                <w:sz w:val="13"/>
                <w:szCs w:val="13"/>
                <w:color w:val="131E29"/>
              </w:rPr>
              <w:t>4,196</w:t>
            </w:r>
          </w:p>
        </w:tc>
      </w:tr>
      <w:tr>
        <w:trPr>
          <w:trHeight w:val="184"/>
        </w:trPr>
        <w:tc>
          <w:tcPr>
            <w:tcW w:w="8900" w:type="dxa"/>
            <w:vAlign w:val="bottom"/>
            <w:gridSpan w:val="2"/>
          </w:tcPr>
          <w:p>
            <w:pPr>
              <w:ind w:left="400"/>
              <w:spacing w:after="0"/>
              <w:rPr>
                <w:sz w:val="20"/>
                <w:szCs w:val="20"/>
                <w:color w:val="auto"/>
              </w:rPr>
            </w:pPr>
            <w:r>
              <w:rPr>
                <w:rFonts w:ascii="Arial" w:cs="Arial" w:eastAsia="Arial" w:hAnsi="Arial"/>
                <w:sz w:val="13"/>
                <w:szCs w:val="13"/>
                <w:color w:val="131E29"/>
              </w:rPr>
              <w:t>Other accrued liabilities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9,804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3,894</w:t>
            </w:r>
          </w:p>
        </w:tc>
      </w:tr>
      <w:tr>
        <w:trPr>
          <w:trHeight w:val="198"/>
        </w:trPr>
        <w:tc>
          <w:tcPr>
            <w:tcW w:w="8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Other current liabilities</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(461)</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(466)</w:t>
            </w:r>
          </w:p>
        </w:tc>
      </w:tr>
      <w:tr>
        <w:trPr>
          <w:trHeight w:val="184"/>
        </w:trPr>
        <w:tc>
          <w:tcPr>
            <w:tcW w:w="8900" w:type="dxa"/>
            <w:vAlign w:val="bottom"/>
            <w:gridSpan w:val="2"/>
          </w:tcPr>
          <w:p>
            <w:pPr>
              <w:ind w:left="400"/>
              <w:spacing w:after="0"/>
              <w:rPr>
                <w:sz w:val="20"/>
                <w:szCs w:val="20"/>
                <w:color w:val="auto"/>
              </w:rPr>
            </w:pPr>
            <w:r>
              <w:rPr>
                <w:rFonts w:ascii="Arial" w:cs="Arial" w:eastAsia="Arial" w:hAnsi="Arial"/>
                <w:sz w:val="13"/>
                <w:szCs w:val="13"/>
                <w:color w:val="131E29"/>
              </w:rPr>
              <w:t>Deferred revenue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5,080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(3,516)</w:t>
            </w:r>
          </w:p>
        </w:tc>
      </w:tr>
      <w:tr>
        <w:trPr>
          <w:trHeight w:val="191"/>
        </w:trPr>
        <w:tc>
          <w:tcPr>
            <w:tcW w:w="89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Operating lease liabilities</w:t>
            </w:r>
          </w:p>
        </w:tc>
        <w:tc>
          <w:tcPr>
            <w:tcW w:w="240" w:type="dxa"/>
            <w:vAlign w:val="bottom"/>
            <w:tcBorders>
              <w:bottom w:val="single" w:sz="8" w:color="auto"/>
            </w:tcBorders>
            <w:shd w:val="clear" w:color="auto" w:fill="D2DCE5"/>
          </w:tcPr>
          <w:p>
            <w:pPr>
              <w:spacing w:after="0"/>
              <w:rPr>
                <w:sz w:val="16"/>
                <w:szCs w:val="16"/>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(6,894)</w:t>
            </w:r>
          </w:p>
        </w:tc>
        <w:tc>
          <w:tcPr>
            <w:tcW w:w="8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(7,643)</w:t>
            </w:r>
          </w:p>
        </w:tc>
      </w:tr>
      <w:tr>
        <w:trPr>
          <w:trHeight w:val="182"/>
        </w:trPr>
        <w:tc>
          <w:tcPr>
            <w:tcW w:w="8900" w:type="dxa"/>
            <w:vAlign w:val="bottom"/>
            <w:tcBorders>
              <w:bottom w:val="single" w:sz="8" w:color="D2DCE5"/>
            </w:tcBorders>
            <w:gridSpan w:val="2"/>
          </w:tcPr>
          <w:p>
            <w:pPr>
              <w:ind w:left="520"/>
              <w:spacing w:after="0"/>
              <w:rPr>
                <w:sz w:val="20"/>
                <w:szCs w:val="20"/>
                <w:color w:val="auto"/>
              </w:rPr>
            </w:pPr>
            <w:r>
              <w:rPr>
                <w:rFonts w:ascii="Arial" w:cs="Arial" w:eastAsia="Arial" w:hAnsi="Arial"/>
                <w:sz w:val="13"/>
                <w:szCs w:val="13"/>
                <w:color w:val="131E29"/>
              </w:rPr>
              <w:t>Net cash provided by operating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184,195</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131E29"/>
              </w:rPr>
              <w:t>94,906</w:t>
            </w:r>
          </w:p>
        </w:tc>
      </w:tr>
      <w:tr>
        <w:trPr>
          <w:trHeight w:val="178"/>
        </w:trPr>
        <w:tc>
          <w:tcPr>
            <w:tcW w:w="89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investing activities:</w:t>
            </w:r>
          </w:p>
        </w:tc>
        <w:tc>
          <w:tcPr>
            <w:tcW w:w="240" w:type="dxa"/>
            <w:vAlign w:val="bottom"/>
            <w:shd w:val="clear" w:color="auto" w:fill="D2DCE5"/>
          </w:tcPr>
          <w:p>
            <w:pPr>
              <w:spacing w:after="0"/>
              <w:rPr>
                <w:sz w:val="15"/>
                <w:szCs w:val="15"/>
                <w:color w:val="auto"/>
              </w:rPr>
            </w:pPr>
          </w:p>
        </w:tc>
        <w:tc>
          <w:tcPr>
            <w:tcW w:w="8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80" w:type="dxa"/>
            <w:vAlign w:val="bottom"/>
            <w:shd w:val="clear" w:color="auto" w:fill="D2DCE5"/>
          </w:tcPr>
          <w:p>
            <w:pPr>
              <w:spacing w:after="0"/>
              <w:rPr>
                <w:sz w:val="15"/>
                <w:szCs w:val="15"/>
                <w:color w:val="auto"/>
              </w:rPr>
            </w:pP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Purchases of property and equipment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(178,969)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(167,732)</w:t>
            </w:r>
          </w:p>
        </w:tc>
      </w:tr>
      <w:tr>
        <w:trPr>
          <w:trHeight w:val="191"/>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disposal of fixed assets</w:t>
            </w:r>
          </w:p>
        </w:tc>
        <w:tc>
          <w:tcPr>
            <w:tcW w:w="240" w:type="dxa"/>
            <w:vAlign w:val="bottom"/>
            <w:tcBorders>
              <w:bottom w:val="single" w:sz="8" w:color="auto"/>
            </w:tcBorders>
            <w:shd w:val="clear" w:color="auto" w:fill="D2DCE5"/>
          </w:tcPr>
          <w:p>
            <w:pPr>
              <w:spacing w:after="0"/>
              <w:rPr>
                <w:sz w:val="16"/>
                <w:szCs w:val="16"/>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9,606</w:t>
            </w:r>
          </w:p>
        </w:tc>
        <w:tc>
          <w:tcPr>
            <w:tcW w:w="8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80" w:type="dxa"/>
            <w:vAlign w:val="bottom"/>
            <w:tcBorders>
              <w:bottom w:val="single" w:sz="8" w:color="auto"/>
            </w:tcBorders>
            <w:shd w:val="clear" w:color="auto" w:fill="D2DCE5"/>
          </w:tcPr>
          <w:p>
            <w:pPr>
              <w:jc w:val="right"/>
              <w:ind w:right="16"/>
              <w:spacing w:after="0"/>
              <w:rPr>
                <w:sz w:val="20"/>
                <w:szCs w:val="20"/>
                <w:color w:val="auto"/>
              </w:rPr>
            </w:pPr>
            <w:r>
              <w:rPr>
                <w:rFonts w:ascii="Arial" w:cs="Arial" w:eastAsia="Arial" w:hAnsi="Arial"/>
                <w:sz w:val="13"/>
                <w:szCs w:val="13"/>
                <w:color w:val="131E29"/>
              </w:rPr>
              <w:t>271</w:t>
            </w:r>
          </w:p>
        </w:tc>
      </w:tr>
      <w:tr>
        <w:trPr>
          <w:trHeight w:val="182"/>
        </w:trPr>
        <w:tc>
          <w:tcPr>
            <w:tcW w:w="8900" w:type="dxa"/>
            <w:vAlign w:val="bottom"/>
            <w:tcBorders>
              <w:bottom w:val="single" w:sz="8" w:color="D2DCE5"/>
            </w:tcBorders>
            <w:gridSpan w:val="2"/>
          </w:tcPr>
          <w:p>
            <w:pPr>
              <w:ind w:left="520"/>
              <w:spacing w:after="0"/>
              <w:rPr>
                <w:sz w:val="20"/>
                <w:szCs w:val="20"/>
                <w:color w:val="auto"/>
              </w:rPr>
            </w:pPr>
            <w:r>
              <w:rPr>
                <w:rFonts w:ascii="Arial" w:cs="Arial" w:eastAsia="Arial" w:hAnsi="Arial"/>
                <w:sz w:val="13"/>
                <w:szCs w:val="13"/>
                <w:color w:val="131E29"/>
              </w:rPr>
              <w:t>Net cash used in investing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(169,363)</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(167,461)</w:t>
            </w:r>
          </w:p>
        </w:tc>
      </w:tr>
      <w:tr>
        <w:trPr>
          <w:trHeight w:val="178"/>
        </w:trPr>
        <w:tc>
          <w:tcPr>
            <w:tcW w:w="89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flows from financing activities:</w:t>
            </w:r>
          </w:p>
        </w:tc>
        <w:tc>
          <w:tcPr>
            <w:tcW w:w="240" w:type="dxa"/>
            <w:vAlign w:val="bottom"/>
            <w:shd w:val="clear" w:color="auto" w:fill="D2DCE5"/>
          </w:tcPr>
          <w:p>
            <w:pPr>
              <w:spacing w:after="0"/>
              <w:rPr>
                <w:sz w:val="15"/>
                <w:szCs w:val="15"/>
                <w:color w:val="auto"/>
              </w:rPr>
            </w:pPr>
          </w:p>
        </w:tc>
        <w:tc>
          <w:tcPr>
            <w:tcW w:w="8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80" w:type="dxa"/>
            <w:vAlign w:val="bottom"/>
            <w:shd w:val="clear" w:color="auto" w:fill="D2DCE5"/>
          </w:tcPr>
          <w:p>
            <w:pPr>
              <w:spacing w:after="0"/>
              <w:rPr>
                <w:sz w:val="15"/>
                <w:szCs w:val="15"/>
                <w:color w:val="auto"/>
              </w:rPr>
            </w:pP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Proceeds from line of credit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90,000</w:t>
            </w:r>
          </w:p>
        </w:tc>
      </w:tr>
      <w:tr>
        <w:trPr>
          <w:trHeight w:val="198"/>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line of credit</w:t>
            </w:r>
          </w:p>
        </w:tc>
        <w:tc>
          <w:tcPr>
            <w:tcW w:w="240" w:type="dxa"/>
            <w:vAlign w:val="bottom"/>
            <w:shd w:val="clear" w:color="auto" w:fill="D2DCE5"/>
          </w:tcPr>
          <w:p>
            <w:pPr>
              <w:spacing w:after="0"/>
              <w:rPr>
                <w:sz w:val="17"/>
                <w:szCs w:val="17"/>
                <w:color w:val="auto"/>
              </w:rPr>
            </w:pPr>
          </w:p>
        </w:tc>
        <w:tc>
          <w:tcPr>
            <w:tcW w:w="96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(202,705)</w:t>
            </w: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Payments on finance lease liabilities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(7,726)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(10,556)</w:t>
            </w:r>
          </w:p>
        </w:tc>
      </w:tr>
      <w:tr>
        <w:trPr>
          <w:trHeight w:val="198"/>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long-term debt</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150,000</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ind w:right="16"/>
              <w:spacing w:after="0"/>
              <w:rPr>
                <w:sz w:val="20"/>
                <w:szCs w:val="20"/>
                <w:color w:val="auto"/>
              </w:rPr>
            </w:pPr>
            <w:r>
              <w:rPr>
                <w:rFonts w:ascii="Arial" w:cs="Arial" w:eastAsia="Arial" w:hAnsi="Arial"/>
                <w:sz w:val="13"/>
                <w:szCs w:val="13"/>
                <w:color w:val="131E29"/>
              </w:rPr>
              <w:t>—</w:t>
            </w: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Payments on long-term debt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(7,898)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(1,951)</w:t>
            </w:r>
          </w:p>
        </w:tc>
      </w:tr>
      <w:tr>
        <w:trPr>
          <w:trHeight w:val="198"/>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of debt issuance costs</w:t>
            </w:r>
          </w:p>
        </w:tc>
        <w:tc>
          <w:tcPr>
            <w:tcW w:w="240" w:type="dxa"/>
            <w:vAlign w:val="bottom"/>
            <w:shd w:val="clear" w:color="auto" w:fill="D2DCE5"/>
          </w:tcPr>
          <w:p>
            <w:pPr>
              <w:spacing w:after="0"/>
              <w:rPr>
                <w:sz w:val="17"/>
                <w:szCs w:val="17"/>
                <w:color w:val="auto"/>
              </w:rPr>
            </w:pPr>
          </w:p>
        </w:tc>
        <w:tc>
          <w:tcPr>
            <w:tcW w:w="96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(1,350)</w:t>
            </w: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Proceeds from equity offering, net of underwriting discounts and commissions</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131E29"/>
              </w:rPr>
              <w:t>331,200</w:t>
            </w:r>
          </w:p>
        </w:tc>
      </w:tr>
      <w:tr>
        <w:trPr>
          <w:trHeight w:val="198"/>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 of deferred offering costs</w:t>
            </w:r>
          </w:p>
        </w:tc>
        <w:tc>
          <w:tcPr>
            <w:tcW w:w="240" w:type="dxa"/>
            <w:vAlign w:val="bottom"/>
            <w:shd w:val="clear" w:color="auto" w:fill="D2DCE5"/>
          </w:tcPr>
          <w:p>
            <w:pPr>
              <w:spacing w:after="0"/>
              <w:rPr>
                <w:sz w:val="17"/>
                <w:szCs w:val="17"/>
                <w:color w:val="auto"/>
              </w:rPr>
            </w:pPr>
          </w:p>
        </w:tc>
        <w:tc>
          <w:tcPr>
            <w:tcW w:w="96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(579)</w:t>
            </w: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Tax withholding payments upon vesting of equity awards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(932)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(1,896)</w:t>
            </w:r>
          </w:p>
        </w:tc>
      </w:tr>
      <w:tr>
        <w:trPr>
          <w:trHeight w:val="196"/>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Distributions to non-controlling interest holders</w:t>
            </w:r>
          </w:p>
        </w:tc>
        <w:tc>
          <w:tcPr>
            <w:tcW w:w="240" w:type="dxa"/>
            <w:vAlign w:val="bottom"/>
            <w:tcBorders>
              <w:bottom w:val="single" w:sz="8" w:color="auto"/>
            </w:tcBorders>
            <w:shd w:val="clear" w:color="auto" w:fill="D2DCE5"/>
          </w:tcPr>
          <w:p>
            <w:pPr>
              <w:spacing w:after="0"/>
              <w:rPr>
                <w:sz w:val="17"/>
                <w:szCs w:val="17"/>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(687)</w:t>
            </w:r>
          </w:p>
        </w:tc>
        <w:tc>
          <w:tcPr>
            <w:tcW w:w="80" w:type="dxa"/>
            <w:vAlign w:val="bottom"/>
            <w:shd w:val="clear" w:color="auto" w:fill="D2DCE5"/>
          </w:tcPr>
          <w:p>
            <w:pPr>
              <w:spacing w:after="0"/>
              <w:rPr>
                <w:sz w:val="17"/>
                <w:szCs w:val="17"/>
                <w:color w:val="auto"/>
              </w:rPr>
            </w:pPr>
          </w:p>
        </w:tc>
        <w:tc>
          <w:tcPr>
            <w:tcW w:w="240" w:type="dxa"/>
            <w:vAlign w:val="bottom"/>
            <w:tcBorders>
              <w:bottom w:val="single" w:sz="8" w:color="auto"/>
            </w:tcBorders>
            <w:shd w:val="clear" w:color="auto" w:fill="D2DCE5"/>
          </w:tcPr>
          <w:p>
            <w:pPr>
              <w:spacing w:after="0"/>
              <w:rPr>
                <w:sz w:val="17"/>
                <w:szCs w:val="17"/>
                <w:color w:val="auto"/>
              </w:rPr>
            </w:pPr>
          </w:p>
        </w:tc>
        <w:tc>
          <w:tcPr>
            <w:tcW w:w="880" w:type="dxa"/>
            <w:vAlign w:val="bottom"/>
            <w:tcBorders>
              <w:bottom w:val="single" w:sz="8" w:color="auto"/>
            </w:tcBorders>
            <w:shd w:val="clear" w:color="auto" w:fill="D2DCE5"/>
          </w:tcPr>
          <w:p>
            <w:pPr>
              <w:jc w:val="right"/>
              <w:ind w:right="16"/>
              <w:spacing w:after="0"/>
              <w:rPr>
                <w:sz w:val="20"/>
                <w:szCs w:val="20"/>
                <w:color w:val="auto"/>
              </w:rPr>
            </w:pPr>
            <w:r>
              <w:rPr>
                <w:rFonts w:ascii="Arial" w:cs="Arial" w:eastAsia="Arial" w:hAnsi="Arial"/>
                <w:sz w:val="13"/>
                <w:szCs w:val="13"/>
                <w:color w:val="131E29"/>
              </w:rPr>
              <w:t>—</w:t>
            </w:r>
          </w:p>
        </w:tc>
      </w:tr>
      <w:tr>
        <w:trPr>
          <w:trHeight w:val="176"/>
        </w:trPr>
        <w:tc>
          <w:tcPr>
            <w:tcW w:w="8900" w:type="dxa"/>
            <w:vAlign w:val="bottom"/>
            <w:tcBorders>
              <w:bottom w:val="single" w:sz="8" w:color="D2DCE5"/>
            </w:tcBorders>
            <w:gridSpan w:val="2"/>
          </w:tcPr>
          <w:p>
            <w:pPr>
              <w:ind w:left="440"/>
              <w:spacing w:after="0"/>
              <w:rPr>
                <w:sz w:val="20"/>
                <w:szCs w:val="20"/>
                <w:color w:val="auto"/>
              </w:rPr>
            </w:pPr>
            <w:r>
              <w:rPr>
                <w:rFonts w:ascii="Arial" w:cs="Arial" w:eastAsia="Arial" w:hAnsi="Arial"/>
                <w:sz w:val="13"/>
                <w:szCs w:val="13"/>
                <w:color w:val="131E29"/>
              </w:rPr>
              <w:t>Net cash provided by financing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132,757</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131E29"/>
              </w:rPr>
              <w:t>202,163</w:t>
            </w:r>
          </w:p>
        </w:tc>
      </w:tr>
      <w:tr>
        <w:trPr>
          <w:trHeight w:val="188"/>
        </w:trPr>
        <w:tc>
          <w:tcPr>
            <w:tcW w:w="8900" w:type="dxa"/>
            <w:vAlign w:val="bottom"/>
            <w:gridSpan w:val="2"/>
            <w:shd w:val="clear" w:color="auto" w:fill="D2DCE5"/>
          </w:tcPr>
          <w:p>
            <w:pPr>
              <w:ind w:left="440"/>
              <w:spacing w:after="0"/>
              <w:rPr>
                <w:sz w:val="20"/>
                <w:szCs w:val="20"/>
                <w:color w:val="auto"/>
              </w:rPr>
            </w:pPr>
            <w:r>
              <w:rPr>
                <w:rFonts w:ascii="Arial" w:cs="Arial" w:eastAsia="Arial" w:hAnsi="Arial"/>
                <w:sz w:val="13"/>
                <w:szCs w:val="13"/>
                <w:color w:val="131E29"/>
              </w:rPr>
              <w:t>Net increase in cash and cash equivalents</w:t>
            </w:r>
          </w:p>
        </w:tc>
        <w:tc>
          <w:tcPr>
            <w:tcW w:w="240" w:type="dxa"/>
            <w:vAlign w:val="bottom"/>
            <w:shd w:val="clear" w:color="auto" w:fill="D2DCE5"/>
          </w:tcPr>
          <w:p>
            <w:pPr>
              <w:spacing w:after="0"/>
              <w:rPr>
                <w:sz w:val="16"/>
                <w:szCs w:val="16"/>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147,589</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80" w:type="dxa"/>
            <w:vAlign w:val="bottom"/>
            <w:shd w:val="clear" w:color="auto" w:fill="D2DCE5"/>
          </w:tcPr>
          <w:p>
            <w:pPr>
              <w:jc w:val="right"/>
              <w:ind w:right="16"/>
              <w:spacing w:after="0"/>
              <w:rPr>
                <w:sz w:val="20"/>
                <w:szCs w:val="20"/>
                <w:color w:val="auto"/>
              </w:rPr>
            </w:pPr>
            <w:r>
              <w:rPr>
                <w:rFonts w:ascii="Arial" w:cs="Arial" w:eastAsia="Arial" w:hAnsi="Arial"/>
                <w:sz w:val="13"/>
                <w:szCs w:val="13"/>
                <w:color w:val="131E29"/>
              </w:rPr>
              <w:t>129,608</w:t>
            </w:r>
          </w:p>
        </w:tc>
      </w:tr>
      <w:tr>
        <w:trPr>
          <w:trHeight w:val="184"/>
        </w:trPr>
        <w:tc>
          <w:tcPr>
            <w:tcW w:w="890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Cash and cash equivalents, beginning of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133,545</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131E29"/>
              </w:rPr>
              <w:t>20,178</w:t>
            </w:r>
          </w:p>
        </w:tc>
      </w:tr>
      <w:tr>
        <w:trPr>
          <w:trHeight w:val="213"/>
        </w:trPr>
        <w:tc>
          <w:tcPr>
            <w:tcW w:w="89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3"/>
                <w:szCs w:val="13"/>
                <w:color w:val="131E29"/>
              </w:rPr>
              <w:t>Cash and cash equivalents, end of period</w:t>
            </w:r>
          </w:p>
        </w:tc>
        <w:tc>
          <w:tcPr>
            <w:tcW w:w="240" w:type="dxa"/>
            <w:vAlign w:val="bottom"/>
            <w:tcBorders>
              <w:bottom w:val="single" w:sz="8" w:color="auto"/>
            </w:tcBorders>
            <w:shd w:val="clear" w:color="auto" w:fill="D2DCE5"/>
          </w:tcPr>
          <w:p>
            <w:pPr>
              <w:jc w:val="right"/>
              <w:ind w:right="96"/>
              <w:spacing w:after="0"/>
              <w:rPr>
                <w:sz w:val="20"/>
                <w:szCs w:val="20"/>
                <w:color w:val="auto"/>
              </w:rPr>
            </w:pPr>
            <w:r>
              <w:rPr>
                <w:rFonts w:ascii="Arial" w:cs="Arial" w:eastAsia="Arial" w:hAnsi="Arial"/>
                <w:sz w:val="13"/>
                <w:szCs w:val="13"/>
                <w:color w:val="131E29"/>
                <w:w w:val="82"/>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281,134</w:t>
            </w:r>
          </w:p>
        </w:tc>
        <w:tc>
          <w:tcPr>
            <w:tcW w:w="80" w:type="dxa"/>
            <w:vAlign w:val="bottom"/>
            <w:tcBorders>
              <w:bottom w:val="single" w:sz="8" w:color="D2DCE5"/>
            </w:tcBorders>
            <w:shd w:val="clear" w:color="auto" w:fill="D2DCE5"/>
          </w:tcPr>
          <w:p>
            <w:pPr>
              <w:spacing w:after="0"/>
              <w:rPr>
                <w:sz w:val="18"/>
                <w:szCs w:val="18"/>
                <w:color w:val="auto"/>
              </w:rPr>
            </w:pPr>
          </w:p>
        </w:tc>
        <w:tc>
          <w:tcPr>
            <w:tcW w:w="240" w:type="dxa"/>
            <w:vAlign w:val="bottom"/>
            <w:tcBorders>
              <w:bottom w:val="single" w:sz="8" w:color="auto"/>
            </w:tcBorders>
            <w:shd w:val="clear" w:color="auto" w:fill="D2DCE5"/>
          </w:tcPr>
          <w:p>
            <w:pPr>
              <w:jc w:val="right"/>
              <w:ind w:right="96"/>
              <w:spacing w:after="0"/>
              <w:rPr>
                <w:sz w:val="20"/>
                <w:szCs w:val="20"/>
                <w:color w:val="auto"/>
              </w:rPr>
            </w:pPr>
            <w:r>
              <w:rPr>
                <w:rFonts w:ascii="Arial" w:cs="Arial" w:eastAsia="Arial" w:hAnsi="Arial"/>
                <w:sz w:val="13"/>
                <w:szCs w:val="13"/>
                <w:color w:val="131E29"/>
                <w:w w:val="82"/>
              </w:rPr>
              <w:t>$</w:t>
            </w:r>
          </w:p>
        </w:tc>
        <w:tc>
          <w:tcPr>
            <w:tcW w:w="880" w:type="dxa"/>
            <w:vAlign w:val="bottom"/>
            <w:tcBorders>
              <w:bottom w:val="single" w:sz="8" w:color="auto"/>
            </w:tcBorders>
            <w:shd w:val="clear" w:color="auto" w:fill="D2DCE5"/>
          </w:tcPr>
          <w:p>
            <w:pPr>
              <w:jc w:val="right"/>
              <w:ind w:right="16"/>
              <w:spacing w:after="0"/>
              <w:rPr>
                <w:sz w:val="20"/>
                <w:szCs w:val="20"/>
                <w:color w:val="auto"/>
              </w:rPr>
            </w:pPr>
            <w:r>
              <w:rPr>
                <w:rFonts w:ascii="Arial" w:cs="Arial" w:eastAsia="Arial" w:hAnsi="Arial"/>
                <w:sz w:val="13"/>
                <w:szCs w:val="13"/>
                <w:color w:val="131E29"/>
              </w:rPr>
              <w:t>149,786</w:t>
            </w:r>
          </w:p>
        </w:tc>
      </w:tr>
      <w:tr>
        <w:trPr>
          <w:trHeight w:val="20"/>
        </w:trPr>
        <w:tc>
          <w:tcPr>
            <w:tcW w:w="88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 w:name="page15"/>
    <w:bookmarkEnd w:id="14"/>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Condensed 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040"/>
        <w:spacing w:after="0"/>
        <w:rPr>
          <w:sz w:val="20"/>
          <w:szCs w:val="20"/>
          <w:color w:val="auto"/>
        </w:rPr>
      </w:pPr>
      <w:r>
        <w:rPr>
          <w:rFonts w:ascii="Arial" w:cs="Arial" w:eastAsia="Arial" w:hAnsi="Arial"/>
          <w:sz w:val="13"/>
          <w:szCs w:val="13"/>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19685</wp:posOffset>
            </wp:positionV>
            <wp:extent cx="15093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09395"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131E29"/>
              </w:rPr>
              <w:t>2024</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2023</w:t>
            </w:r>
          </w:p>
        </w:tc>
      </w:tr>
      <w:tr>
        <w:trPr>
          <w:trHeight w:val="182"/>
        </w:trPr>
        <w:tc>
          <w:tcPr>
            <w:tcW w:w="8900" w:type="dxa"/>
            <w:vAlign w:val="bottom"/>
            <w:gridSpan w:val="2"/>
          </w:tcPr>
          <w:p>
            <w:pPr>
              <w:ind w:left="20"/>
              <w:spacing w:after="0"/>
              <w:rPr>
                <w:sz w:val="20"/>
                <w:szCs w:val="20"/>
                <w:color w:val="auto"/>
              </w:rPr>
            </w:pPr>
            <w:r>
              <w:rPr>
                <w:rFonts w:ascii="Arial" w:cs="Arial" w:eastAsia="Arial" w:hAnsi="Arial"/>
                <w:sz w:val="13"/>
                <w:szCs w:val="13"/>
                <w:b w:val="1"/>
                <w:bCs w:val="1"/>
                <w:color w:val="131E29"/>
              </w:rPr>
              <w:t>Supplemental disclosure of cash flow information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5"/>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Interest paid</w:t>
            </w:r>
          </w:p>
        </w:tc>
        <w:tc>
          <w:tcPr>
            <w:tcW w:w="260" w:type="dxa"/>
            <w:vAlign w:val="bottom"/>
            <w:shd w:val="clear" w:color="auto" w:fill="D2DCE5"/>
          </w:tcPr>
          <w:p>
            <w:pPr>
              <w:jc w:val="right"/>
              <w:ind w:right="96"/>
              <w:spacing w:after="0"/>
              <w:rPr>
                <w:sz w:val="20"/>
                <w:szCs w:val="20"/>
                <w:color w:val="auto"/>
              </w:rPr>
            </w:pPr>
            <w:r>
              <w:rPr>
                <w:rFonts w:ascii="Arial" w:cs="Arial" w:eastAsia="Arial" w:hAnsi="Arial"/>
                <w:sz w:val="13"/>
                <w:szCs w:val="13"/>
                <w:color w:val="131E2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29,125</w:t>
            </w: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w w:val="82"/>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27,663</w:t>
            </w: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Income taxes paid, net of refunds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31E29"/>
              </w:rPr>
              <w:t>1,824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1,447</w:t>
            </w:r>
          </w:p>
        </w:tc>
      </w:tr>
      <w:tr>
        <w:trPr>
          <w:trHeight w:val="198"/>
        </w:trPr>
        <w:tc>
          <w:tcPr>
            <w:tcW w:w="890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Supplemental disclosure of noncash investing and financing activities</w:t>
            </w:r>
          </w:p>
        </w:tc>
        <w:tc>
          <w:tcPr>
            <w:tcW w:w="260" w:type="dxa"/>
            <w:vAlign w:val="bottom"/>
            <w:shd w:val="clear" w:color="auto" w:fill="D2DCE5"/>
          </w:tcPr>
          <w:p>
            <w:pPr>
              <w:spacing w:after="0"/>
              <w:rPr>
                <w:sz w:val="17"/>
                <w:szCs w:val="17"/>
                <w:color w:val="auto"/>
              </w:rPr>
            </w:pPr>
          </w:p>
        </w:tc>
        <w:tc>
          <w:tcPr>
            <w:tcW w:w="9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r>
      <w:tr>
        <w:trPr>
          <w:trHeight w:val="184"/>
        </w:trPr>
        <w:tc>
          <w:tcPr>
            <w:tcW w:w="8900" w:type="dxa"/>
            <w:vAlign w:val="bottom"/>
            <w:gridSpan w:val="2"/>
          </w:tcPr>
          <w:p>
            <w:pPr>
              <w:ind w:left="140"/>
              <w:spacing w:after="0"/>
              <w:rPr>
                <w:sz w:val="20"/>
                <w:szCs w:val="20"/>
                <w:color w:val="auto"/>
              </w:rPr>
            </w:pPr>
            <w:r>
              <w:rPr>
                <w:rFonts w:ascii="Arial" w:cs="Arial" w:eastAsia="Arial" w:hAnsi="Arial"/>
                <w:sz w:val="13"/>
                <w:szCs w:val="13"/>
                <w:color w:val="131E29"/>
              </w:rPr>
              <w:t>Additions of property and equipment accrued as of end of period</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31E29"/>
              </w:rPr>
              <w:t>13,155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14,207</w:t>
            </w:r>
          </w:p>
        </w:tc>
      </w:tr>
      <w:tr>
        <w:trPr>
          <w:trHeight w:val="198"/>
        </w:trPr>
        <w:tc>
          <w:tcPr>
            <w:tcW w:w="89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Deferred offering costs accrued</w:t>
            </w:r>
          </w:p>
        </w:tc>
        <w:tc>
          <w:tcPr>
            <w:tcW w:w="260" w:type="dxa"/>
            <w:vAlign w:val="bottom"/>
            <w:shd w:val="clear" w:color="auto" w:fill="D2DCE5"/>
          </w:tcPr>
          <w:p>
            <w:pPr>
              <w:spacing w:after="0"/>
              <w:rPr>
                <w:sz w:val="17"/>
                <w:szCs w:val="17"/>
                <w:color w:val="auto"/>
              </w:rPr>
            </w:pPr>
          </w:p>
        </w:tc>
        <w:tc>
          <w:tcPr>
            <w:tcW w:w="98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 w:name="page16"/>
    <w:bookmarkEnd w:id="1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580" w:type="dxa"/>
            <w:vAlign w:val="bottom"/>
            <w:gridSpan w:val="2"/>
          </w:tcPr>
          <w:p>
            <w:pPr>
              <w:ind w:left="3600"/>
              <w:spacing w:after="0"/>
              <w:rPr>
                <w:sz w:val="20"/>
                <w:szCs w:val="20"/>
                <w:color w:val="auto"/>
              </w:rPr>
            </w:pPr>
            <w:r>
              <w:rPr>
                <w:rFonts w:ascii="Arial" w:cs="Arial" w:eastAsia="Arial" w:hAnsi="Arial"/>
                <w:sz w:val="14"/>
                <w:szCs w:val="14"/>
                <w:color w:val="131E29"/>
              </w:rPr>
              <w:t>Index for Notes to Condensed Consolidated Financial Statements</w:t>
            </w:r>
          </w:p>
        </w:tc>
        <w:tc>
          <w:tcPr>
            <w:tcW w:w="700" w:type="dxa"/>
            <w:vAlign w:val="bottom"/>
          </w:tcPr>
          <w:p>
            <w:pPr>
              <w:spacing w:after="0"/>
              <w:rPr>
                <w:sz w:val="16"/>
                <w:szCs w:val="16"/>
                <w:color w:val="auto"/>
              </w:rPr>
            </w:pPr>
          </w:p>
        </w:tc>
      </w:tr>
      <w:tr>
        <w:trPr>
          <w:trHeight w:val="226"/>
        </w:trPr>
        <w:tc>
          <w:tcPr>
            <w:tcW w:w="10500" w:type="dxa"/>
            <w:vAlign w:val="bottom"/>
            <w:tcBorders>
              <w:bottom w:val="single" w:sz="8" w:color="131E29"/>
            </w:tcBorders>
          </w:tcPr>
          <w:p>
            <w:pPr>
              <w:ind w:left="20"/>
              <w:spacing w:after="0"/>
              <w:rPr>
                <w:sz w:val="20"/>
                <w:szCs w:val="20"/>
                <w:color w:val="auto"/>
              </w:rPr>
            </w:pPr>
            <w:r>
              <w:rPr>
                <w:rFonts w:ascii="Arial" w:cs="Arial" w:eastAsia="Arial" w:hAnsi="Arial"/>
                <w:sz w:val="14"/>
                <w:szCs w:val="14"/>
                <w:b w:val="1"/>
                <w:bCs w:val="1"/>
                <w:color w:val="131E29"/>
              </w:rPr>
              <w:t>Note</w:t>
            </w:r>
          </w:p>
        </w:tc>
        <w:tc>
          <w:tcPr>
            <w:tcW w:w="80" w:type="dxa"/>
            <w:vAlign w:val="bottom"/>
            <w:tcBorders>
              <w:bottom w:val="single" w:sz="8" w:color="D2DCE5"/>
            </w:tcBorders>
          </w:tcPr>
          <w:p>
            <w:pPr>
              <w:spacing w:after="0"/>
              <w:rPr>
                <w:sz w:val="19"/>
                <w:szCs w:val="19"/>
                <w:color w:val="auto"/>
              </w:rPr>
            </w:pPr>
          </w:p>
        </w:tc>
        <w:tc>
          <w:tcPr>
            <w:tcW w:w="7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Page</w:t>
            </w:r>
          </w:p>
        </w:tc>
      </w:tr>
      <w:tr>
        <w:trPr>
          <w:trHeight w:val="209"/>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 — Organization and Background</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14</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2 — Basis of Presentation and Summary of Significant Accounting Policies</w:t>
            </w:r>
          </w:p>
        </w:tc>
        <w:tc>
          <w:tcPr>
            <w:tcW w:w="700" w:type="dxa"/>
            <w:vAlign w:val="bottom"/>
          </w:tcPr>
          <w:p>
            <w:pPr>
              <w:jc w:val="center"/>
              <w:spacing w:after="0"/>
              <w:rPr>
                <w:sz w:val="20"/>
                <w:szCs w:val="20"/>
                <w:color w:val="auto"/>
              </w:rPr>
            </w:pPr>
            <w:r>
              <w:rPr>
                <w:rFonts w:ascii="Arial" w:cs="Arial" w:eastAsia="Arial" w:hAnsi="Arial"/>
                <w:sz w:val="14"/>
                <w:szCs w:val="14"/>
                <w:color w:val="131E29"/>
              </w:rPr>
              <w:t>14</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3 — Revenue Recognition</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15</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4 — Organization Realignment and Restructuring</w:t>
            </w:r>
          </w:p>
        </w:tc>
        <w:tc>
          <w:tcPr>
            <w:tcW w:w="700" w:type="dxa"/>
            <w:vAlign w:val="bottom"/>
          </w:tcPr>
          <w:p>
            <w:pPr>
              <w:jc w:val="center"/>
              <w:spacing w:after="0"/>
              <w:rPr>
                <w:sz w:val="20"/>
                <w:szCs w:val="20"/>
                <w:color w:val="auto"/>
              </w:rPr>
            </w:pPr>
            <w:r>
              <w:rPr>
                <w:rFonts w:ascii="Arial" w:cs="Arial" w:eastAsia="Arial" w:hAnsi="Arial"/>
                <w:sz w:val="14"/>
                <w:szCs w:val="14"/>
                <w:color w:val="131E29"/>
              </w:rPr>
              <w:t>17</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5 — Inventories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18</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6 — Property and Equipment</w:t>
            </w:r>
          </w:p>
        </w:tc>
        <w:tc>
          <w:tcPr>
            <w:tcW w:w="700" w:type="dxa"/>
            <w:vAlign w:val="bottom"/>
          </w:tcPr>
          <w:p>
            <w:pPr>
              <w:jc w:val="center"/>
              <w:spacing w:after="0"/>
              <w:rPr>
                <w:sz w:val="20"/>
                <w:szCs w:val="20"/>
                <w:color w:val="auto"/>
              </w:rPr>
            </w:pPr>
            <w:r>
              <w:rPr>
                <w:rFonts w:ascii="Arial" w:cs="Arial" w:eastAsia="Arial" w:hAnsi="Arial"/>
                <w:sz w:val="14"/>
                <w:szCs w:val="14"/>
                <w:color w:val="131E29"/>
              </w:rPr>
              <w:t>18</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7 — Intangible Assets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19</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8 — Leases</w:t>
            </w:r>
          </w:p>
        </w:tc>
        <w:tc>
          <w:tcPr>
            <w:tcW w:w="700" w:type="dxa"/>
            <w:vAlign w:val="bottom"/>
          </w:tcPr>
          <w:p>
            <w:pPr>
              <w:jc w:val="center"/>
              <w:spacing w:after="0"/>
              <w:rPr>
                <w:sz w:val="20"/>
                <w:szCs w:val="20"/>
                <w:color w:val="auto"/>
              </w:rPr>
            </w:pPr>
            <w:r>
              <w:rPr>
                <w:rFonts w:ascii="Arial" w:cs="Arial" w:eastAsia="Arial" w:hAnsi="Arial"/>
                <w:sz w:val="14"/>
                <w:szCs w:val="14"/>
                <w:color w:val="131E29"/>
              </w:rPr>
              <w:t>19</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9 — Debt</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21</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10 — Derivative Financial Instruments</w:t>
            </w:r>
          </w:p>
        </w:tc>
        <w:tc>
          <w:tcPr>
            <w:tcW w:w="700" w:type="dxa"/>
            <w:vAlign w:val="bottom"/>
          </w:tcPr>
          <w:p>
            <w:pPr>
              <w:jc w:val="center"/>
              <w:spacing w:after="0"/>
              <w:rPr>
                <w:sz w:val="20"/>
                <w:szCs w:val="20"/>
                <w:color w:val="auto"/>
              </w:rPr>
            </w:pPr>
            <w:r>
              <w:rPr>
                <w:rFonts w:ascii="Arial" w:cs="Arial" w:eastAsia="Arial" w:hAnsi="Arial"/>
                <w:sz w:val="14"/>
                <w:szCs w:val="14"/>
                <w:color w:val="131E29"/>
              </w:rPr>
              <w:t>22</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11 — Income Taxes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23</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12 — Equity-Based Compensation</w:t>
            </w:r>
          </w:p>
        </w:tc>
        <w:tc>
          <w:tcPr>
            <w:tcW w:w="700" w:type="dxa"/>
            <w:vAlign w:val="bottom"/>
          </w:tcPr>
          <w:p>
            <w:pPr>
              <w:jc w:val="center"/>
              <w:spacing w:after="0"/>
              <w:rPr>
                <w:sz w:val="20"/>
                <w:szCs w:val="20"/>
                <w:color w:val="auto"/>
              </w:rPr>
            </w:pPr>
            <w:r>
              <w:rPr>
                <w:rFonts w:ascii="Arial" w:cs="Arial" w:eastAsia="Arial" w:hAnsi="Arial"/>
                <w:sz w:val="14"/>
                <w:szCs w:val="14"/>
                <w:color w:val="131E29"/>
              </w:rPr>
              <w:t>24</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13 — Non-Controlling Interests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25</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14 — Income Per Share</w:t>
            </w:r>
          </w:p>
        </w:tc>
        <w:tc>
          <w:tcPr>
            <w:tcW w:w="700" w:type="dxa"/>
            <w:vAlign w:val="bottom"/>
          </w:tcPr>
          <w:p>
            <w:pPr>
              <w:jc w:val="center"/>
              <w:spacing w:after="0"/>
              <w:rPr>
                <w:sz w:val="20"/>
                <w:szCs w:val="20"/>
                <w:color w:val="auto"/>
              </w:rPr>
            </w:pPr>
            <w:r>
              <w:rPr>
                <w:rFonts w:ascii="Arial" w:cs="Arial" w:eastAsia="Arial" w:hAnsi="Arial"/>
                <w:sz w:val="14"/>
                <w:szCs w:val="14"/>
                <w:color w:val="131E29"/>
              </w:rPr>
              <w:t>27</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15 — Commitments and Contingencies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28</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16 — Related Party Transactions</w:t>
            </w:r>
          </w:p>
        </w:tc>
        <w:tc>
          <w:tcPr>
            <w:tcW w:w="700" w:type="dxa"/>
            <w:vAlign w:val="bottom"/>
          </w:tcPr>
          <w:p>
            <w:pPr>
              <w:jc w:val="center"/>
              <w:spacing w:after="0"/>
              <w:rPr>
                <w:sz w:val="20"/>
                <w:szCs w:val="20"/>
                <w:color w:val="auto"/>
              </w:rPr>
            </w:pPr>
            <w:r>
              <w:rPr>
                <w:rFonts w:ascii="Arial" w:cs="Arial" w:eastAsia="Arial" w:hAnsi="Arial"/>
                <w:sz w:val="14"/>
                <w:szCs w:val="14"/>
                <w:color w:val="131E29"/>
              </w:rPr>
              <w:t>30</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17 — Segment Reporting</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 w:name="page17"/>
    <w:bookmarkEnd w:id="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Notes to Condensed Consolidated Financial Statements (Unaudited)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 — Organization and Background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Business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Dutch Bros is in the business of operating and franchising drive-thru coffee shops as well as the wholesale and distribution of coffee, coffee-related products, and accessories. As of September 30, 2024, there were 950 shops in operation in 18 U.S. states, of which 645 were company-operated and 305 were franchised.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Organization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Dutch Bros Inc. was formed on June 4, 2021 as a Delaware corporation for the purpose of facilitating an IPO and other related transactions in order to carry on the business of Dutch Bros OpCo. 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of September 30, 2024, Dutch Bros Inc. held 100.0% of the voting interest and 64.2% of the economic interest of Dutch Bros OpCo. The Continuing Members held none of the voting interest and the remaining 35.8% of the economic interest of Dutch Bros OpCo.</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 — Basis of Presentation and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Financial Statements Presentation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Company’s condensed consolidated financial statements as of September 30, 2024 and for the three and nine months ended September 30, 2024 and 2023 have been prepared in accordance with GAAP and pursuant to the rules and regulations of the SEC, consistent in all material respects with those applied in the Company’s 2023 Form 10-K and as updated by this Form 10-Q.</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Company has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Company’s 2023 Form 10-K that includes additional information on accounting estimates, policies, and the methods and assumptions used in its estimates.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the opinion of management, the accompanying condensed consolidated financial statements reflect all adjustments, consisting of normal recurring adjustments, necessary to present fairly the Company’s consolidated financial statements for the periods presented. Operating results for the three and nine months ended September 30, 2024 are not necessarily indicative of the results that may be expected for the fiscal year ending December 31, 2024.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Significant Accounting Policies Updates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There have been no material updates to the Company’s significant accounting policies during the nine months ended September 30, 2024 from those previously reported in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 w:name="page18"/>
    <w:bookmarkEnd w:id="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Issued Accounting Standards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 xml:space="preserve">In December 2023, the FASB issued ASU No. 2023-09, </w:t>
      </w:r>
      <w:r>
        <w:rPr>
          <w:rFonts w:ascii="Arial" w:cs="Arial" w:eastAsia="Arial" w:hAnsi="Arial"/>
          <w:sz w:val="14"/>
          <w:szCs w:val="14"/>
          <w:i w:val="1"/>
          <w:iCs w:val="1"/>
          <w:color w:val="131E29"/>
        </w:rPr>
        <w:t>Income Taxes (Topic 740): Improvements to Income Tax Disclosures.</w:t>
      </w:r>
      <w:r>
        <w:rPr>
          <w:rFonts w:ascii="Arial" w:cs="Arial" w:eastAsia="Arial" w:hAnsi="Arial"/>
          <w:sz w:val="14"/>
          <w:szCs w:val="14"/>
          <w:color w:val="131E29"/>
        </w:rPr>
        <w:t xml:space="preserve"> 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are effective for public business entities' annual periods beginning after December 15, 2024 and interim periods within fiscal years beginning after December 15, 2025, and should be applied on a prospective basis. Early adoption is permitted for annual financial statements that have not yet been issued. The Company is currently assessing the potential impacts of this standard on its income tax disclosures, and expects to provide additional detail and disclosures under the new guidance.</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 xml:space="preserve">In November 2023, the FASB issued ASU No. 2023-07, </w:t>
      </w:r>
      <w:r>
        <w:rPr>
          <w:rFonts w:ascii="Arial" w:cs="Arial" w:eastAsia="Arial" w:hAnsi="Arial"/>
          <w:sz w:val="14"/>
          <w:szCs w:val="14"/>
          <w:i w:val="1"/>
          <w:iCs w:val="1"/>
          <w:color w:val="131E29"/>
        </w:rPr>
        <w:t>Segment Reporting (Topic 280): Improvements to Reportable Segment Disclosures.</w:t>
      </w:r>
      <w:r>
        <w:rPr>
          <w:rFonts w:ascii="Arial" w:cs="Arial" w:eastAsia="Arial" w:hAnsi="Arial"/>
          <w:sz w:val="14"/>
          <w:szCs w:val="14"/>
          <w:color w:val="131E29"/>
        </w:rPr>
        <w:t xml:space="preserve"> The amendments in this update are intended to improve reportable segment disclosure requirements, primarily through enhanced disclosures about significant segment expenses. Effective for annual periods beginning after December 15, 2023, and interim periods within fiscal years beginning after December 15, 2024, with early adoption permitted. Public entities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has completed its analysis and identified significant segment expenses for disclosure commencing with the 2024 Form 10-K, primarily related to cost of sales for the Company-operated shops segment. The new standard is not expected to have a material impact on its consolidated financial statements; however, the Company expects to provide additional detail and disclosures under the new guidance.</w:t>
      </w:r>
    </w:p>
    <w:p>
      <w:pPr>
        <w:sectPr>
          <w:pgSz w:w="11900" w:h="16838" w:orient="portrait"/>
          <w:cols w:equalWidth="0" w:num="1">
            <w:col w:w="11280"/>
          </w:cols>
          <w:pgMar w:left="300" w:top="133" w:right="31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3 — Revenue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disaggregates revenue by major component:</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Company-operated shops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Franchising</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Other</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4"/>
          <w:szCs w:val="14"/>
          <w:color w:val="131E29"/>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189"/>
        </w:trPr>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Pr>
          <w:p>
            <w:pPr>
              <w:jc w:val="right"/>
              <w:spacing w:after="0"/>
              <w:rPr>
                <w:sz w:val="20"/>
                <w:szCs w:val="20"/>
                <w:color w:val="auto"/>
              </w:rPr>
            </w:pPr>
            <w:r>
              <w:rPr>
                <w:rFonts w:ascii="Arial" w:cs="Arial" w:eastAsia="Arial" w:hAnsi="Arial"/>
                <w:sz w:val="14"/>
                <w:szCs w:val="14"/>
                <w:color w:val="131E29"/>
              </w:rPr>
              <w:t>308,295</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236,472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851,648</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630,588</w:t>
            </w:r>
          </w:p>
        </w:tc>
      </w:tr>
      <w:tr>
        <w:trPr>
          <w:trHeight w:val="212"/>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28,694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26,691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82,545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76,860</w:t>
            </w:r>
          </w:p>
        </w:tc>
      </w:tr>
      <w:tr>
        <w:trPr>
          <w:trHeight w:val="222"/>
        </w:trPr>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1,223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1,344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4,036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4,205</w:t>
            </w:r>
          </w:p>
        </w:tc>
      </w:tr>
      <w:tr>
        <w:trPr>
          <w:trHeight w:val="20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338,212</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264,507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938,229</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711,653</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-302260</wp:posOffset>
            </wp:positionV>
            <wp:extent cx="716153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-578485</wp:posOffset>
            </wp:positionV>
            <wp:extent cx="716153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520"/>
          </w:cols>
          <w:pgMar w:left="300" w:top="13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460"/>
        <w:spacing w:after="0"/>
        <w:rPr>
          <w:sz w:val="20"/>
          <w:szCs w:val="20"/>
          <w:color w:val="auto"/>
        </w:rPr>
      </w:pPr>
      <w:r>
        <w:rPr>
          <w:sz w:val="1"/>
          <w:szCs w:val="1"/>
          <w:color w:val="auto"/>
        </w:rPr>
        <w:drawing>
          <wp:inline distT="0" distB="0" distL="0" distR="0">
            <wp:extent cx="134620" cy="1885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Deferred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Deferred revenue activity related to the Company’s gift card and loyalty programs was as follows:</w:t>
      </w:r>
    </w:p>
    <w:p>
      <w:pPr>
        <w:spacing w:after="0" w:line="17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28575</wp:posOffset>
            </wp:positionV>
            <wp:extent cx="17246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Beginning balance</w:t>
            </w: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34,616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26,904</w:t>
            </w:r>
          </w:p>
        </w:tc>
      </w:tr>
      <w:tr>
        <w:trPr>
          <w:trHeight w:val="202"/>
        </w:trPr>
        <w:tc>
          <w:tcPr>
            <w:tcW w:w="8560" w:type="dxa"/>
            <w:vAlign w:val="bottom"/>
            <w:gridSpan w:val="2"/>
          </w:tcPr>
          <w:p>
            <w:pPr>
              <w:ind w:left="20"/>
              <w:spacing w:after="0"/>
              <w:rPr>
                <w:sz w:val="20"/>
                <w:szCs w:val="20"/>
                <w:color w:val="auto"/>
              </w:rPr>
            </w:pPr>
            <w:r>
              <w:rPr>
                <w:rFonts w:ascii="Arial" w:cs="Arial" w:eastAsia="Arial" w:hAnsi="Arial"/>
                <w:sz w:val="14"/>
                <w:szCs w:val="14"/>
                <w:color w:val="131E29"/>
              </w:rPr>
              <w:t>Revenue deferred - gift card activations, loyalty app loads, and loyalty points and rewards earned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312,963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255,782</w:t>
            </w:r>
          </w:p>
        </w:tc>
      </w:tr>
      <w:tr>
        <w:trPr>
          <w:trHeight w:val="222"/>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 recognized - gift card, loyalty app, loyalty rewards redemptions, and breakage</w:t>
            </w: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(308,012)</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(257,144)</w:t>
            </w:r>
          </w:p>
        </w:tc>
      </w:tr>
      <w:tr>
        <w:trPr>
          <w:trHeight w:val="197"/>
        </w:trPr>
        <w:tc>
          <w:tcPr>
            <w:tcW w:w="8560" w:type="dxa"/>
            <w:vAlign w:val="bottom"/>
            <w:gridSpan w:val="2"/>
          </w:tcPr>
          <w:p>
            <w:pPr>
              <w:ind w:left="20"/>
              <w:spacing w:after="0"/>
              <w:rPr>
                <w:sz w:val="20"/>
                <w:szCs w:val="20"/>
                <w:color w:val="auto"/>
              </w:rPr>
            </w:pPr>
            <w:r>
              <w:rPr>
                <w:rFonts w:ascii="Arial" w:cs="Arial" w:eastAsia="Arial" w:hAnsi="Arial"/>
                <w:sz w:val="14"/>
                <w:szCs w:val="14"/>
                <w:b w:val="1"/>
                <w:bCs w:val="1"/>
                <w:color w:val="131E29"/>
              </w:rPr>
              <w:t>Ending balance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39,567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25,542</w:t>
            </w:r>
          </w:p>
        </w:tc>
      </w:tr>
      <w:tr>
        <w:trPr>
          <w:trHeight w:val="209"/>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current portion</w:t>
            </w: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(35,316)</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(21,999)</w:t>
            </w:r>
          </w:p>
        </w:tc>
      </w:tr>
      <w:tr>
        <w:trPr>
          <w:trHeight w:val="212"/>
        </w:trPr>
        <w:tc>
          <w:tcPr>
            <w:tcW w:w="8560" w:type="dxa"/>
            <w:vAlign w:val="bottom"/>
            <w:gridSpan w:val="2"/>
          </w:tcPr>
          <w:p>
            <w:pPr>
              <w:ind w:left="100"/>
              <w:spacing w:after="0"/>
              <w:rPr>
                <w:sz w:val="20"/>
                <w:szCs w:val="20"/>
                <w:color w:val="auto"/>
              </w:rPr>
            </w:pPr>
            <w:r>
              <w:rPr>
                <w:rFonts w:ascii="Arial" w:cs="Arial" w:eastAsia="Arial" w:hAnsi="Arial"/>
                <w:sz w:val="14"/>
                <w:szCs w:val="14"/>
                <w:color w:val="131E29"/>
              </w:rPr>
              <w:t>Deferred revenue, net of current portion, gift card and loyalty programs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4,251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3,543</w:t>
            </w: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Deferred revenue also includes initial unearned franchise fees from franchise partners. These deferred revenues reported in the Company’s condensed consolidated balance sheets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131E29"/>
              </w:rPr>
              <w:t>September 30, 2024</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7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Total deferred revenue, excluding gift card and loyalty programs</w:t>
            </w:r>
          </w:p>
        </w:tc>
        <w:tc>
          <w:tcPr>
            <w:tcW w:w="16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2,538</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2,409</w:t>
            </w:r>
          </w:p>
        </w:tc>
      </w:tr>
      <w:tr>
        <w:trPr>
          <w:trHeight w:val="203"/>
        </w:trPr>
        <w:tc>
          <w:tcPr>
            <w:tcW w:w="76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(422)</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(412)</w:t>
            </w:r>
          </w:p>
        </w:tc>
      </w:tr>
      <w:tr>
        <w:trPr>
          <w:trHeight w:val="237"/>
        </w:trPr>
        <w:tc>
          <w:tcPr>
            <w:tcW w:w="7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Deferred revenue, net of current portion, excluding gift card and loyalty programs</w:t>
            </w:r>
          </w:p>
        </w:tc>
        <w:tc>
          <w:tcPr>
            <w:tcW w:w="16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2,116</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1,997</w:t>
            </w:r>
          </w:p>
        </w:tc>
      </w:tr>
      <w:tr>
        <w:trPr>
          <w:trHeight w:val="20"/>
        </w:trPr>
        <w:tc>
          <w:tcPr>
            <w:tcW w:w="76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Revenue recognized during the three and nine months ended September 30, 2024 and 2023 that was included in the respective deferred revenue liability balances at the beginning of the period are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131E29"/>
              </w:rPr>
              <w:t>Three Months Ended September 30,</w:t>
            </w:r>
          </w:p>
        </w:tc>
        <w:tc>
          <w:tcPr>
            <w:tcW w:w="2460" w:type="dxa"/>
            <w:vAlign w:val="bottom"/>
            <w:gridSpan w:val="6"/>
          </w:tcPr>
          <w:p>
            <w:pPr>
              <w:jc w:val="right"/>
              <w:spacing w:after="0"/>
              <w:rPr>
                <w:sz w:val="20"/>
                <w:szCs w:val="20"/>
                <w:color w:val="auto"/>
              </w:rPr>
            </w:pPr>
            <w:r>
              <w:rPr>
                <w:rFonts w:ascii="Arial" w:cs="Arial" w:eastAsia="Arial" w:hAnsi="Arial"/>
                <w:sz w:val="14"/>
                <w:szCs w:val="14"/>
                <w:b w:val="1"/>
                <w:bCs w:val="1"/>
                <w:color w:val="131E29"/>
              </w:rPr>
              <w:t>Nine Months Ended September 30,</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6200" w:type="dxa"/>
            <w:vAlign w:val="bottom"/>
            <w:gridSpan w:val="3"/>
            <w:shd w:val="clear" w:color="auto" w:fill="D2DCE5"/>
          </w:tcPr>
          <w:p>
            <w:pPr>
              <w:ind w:left="20"/>
              <w:spacing w:after="0"/>
              <w:rPr>
                <w:sz w:val="20"/>
                <w:szCs w:val="20"/>
                <w:color w:val="auto"/>
              </w:rPr>
            </w:pPr>
            <w:r>
              <w:rPr>
                <w:rFonts w:ascii="Arial" w:cs="Arial" w:eastAsia="Arial" w:hAnsi="Arial"/>
                <w:sz w:val="14"/>
                <w:szCs w:val="14"/>
                <w:color w:val="131E29"/>
              </w:rPr>
              <w:t xml:space="preserve">Gift card redemptions </w:t>
            </w:r>
            <w:r>
              <w:rPr>
                <w:rFonts w:ascii="Arial" w:cs="Arial" w:eastAsia="Arial" w:hAnsi="Arial"/>
                <w:sz w:val="18"/>
                <w:szCs w:val="18"/>
                <w:color w:val="131E29"/>
                <w:vertAlign w:val="superscript"/>
              </w:rPr>
              <w:t>1</w:t>
            </w: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637</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553</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6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5,737</w:t>
            </w:r>
          </w:p>
        </w:tc>
        <w:tc>
          <w:tcPr>
            <w:tcW w:w="32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rPr>
              <w:t>$</w:t>
            </w: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4,742</w:t>
            </w:r>
          </w:p>
        </w:tc>
        <w:tc>
          <w:tcPr>
            <w:tcW w:w="0" w:type="dxa"/>
            <w:vAlign w:val="bottom"/>
          </w:tcPr>
          <w:p>
            <w:pPr>
              <w:spacing w:after="0"/>
              <w:rPr>
                <w:sz w:val="1"/>
                <w:szCs w:val="1"/>
                <w:color w:val="auto"/>
              </w:rPr>
            </w:pPr>
          </w:p>
        </w:tc>
      </w:tr>
      <w:tr>
        <w:trPr>
          <w:trHeight w:val="193"/>
        </w:trPr>
        <w:tc>
          <w:tcPr>
            <w:tcW w:w="6200" w:type="dxa"/>
            <w:vAlign w:val="bottom"/>
            <w:gridSpan w:val="3"/>
          </w:tcPr>
          <w:p>
            <w:pPr>
              <w:ind w:left="20"/>
              <w:spacing w:after="0"/>
              <w:rPr>
                <w:sz w:val="20"/>
                <w:szCs w:val="20"/>
                <w:color w:val="auto"/>
              </w:rPr>
            </w:pPr>
            <w:r>
              <w:rPr>
                <w:rFonts w:ascii="Arial" w:cs="Arial" w:eastAsia="Arial" w:hAnsi="Arial"/>
                <w:sz w:val="14"/>
                <w:szCs w:val="14"/>
                <w:color w:val="131E29"/>
              </w:rPr>
              <w:t>Earned franchise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3"/>
          </w:tcPr>
          <w:p>
            <w:pPr>
              <w:ind w:left="640"/>
              <w:spacing w:after="0"/>
              <w:rPr>
                <w:sz w:val="20"/>
                <w:szCs w:val="20"/>
                <w:color w:val="auto"/>
              </w:rPr>
            </w:pPr>
            <w:r>
              <w:rPr>
                <w:rFonts w:ascii="Arial" w:cs="Arial" w:eastAsia="Arial" w:hAnsi="Arial"/>
                <w:sz w:val="14"/>
                <w:szCs w:val="14"/>
                <w:color w:val="131E29"/>
              </w:rPr>
              <w:t>336</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342</w:t>
            </w:r>
          </w:p>
        </w:tc>
        <w:tc>
          <w:tcPr>
            <w:tcW w:w="0" w:type="dxa"/>
            <w:vAlign w:val="bottom"/>
          </w:tcPr>
          <w:p>
            <w:pPr>
              <w:spacing w:after="0"/>
              <w:rPr>
                <w:sz w:val="1"/>
                <w:szCs w:val="1"/>
                <w:color w:val="auto"/>
              </w:rPr>
            </w:pPr>
          </w:p>
        </w:tc>
      </w:tr>
      <w:tr>
        <w:trPr>
          <w:trHeight w:val="236"/>
        </w:trPr>
        <w:tc>
          <w:tcPr>
            <w:tcW w:w="6120" w:type="dxa"/>
            <w:vAlign w:val="bottom"/>
            <w:gridSpan w:val="2"/>
          </w:tcPr>
          <w:p>
            <w:pPr>
              <w:spacing w:after="0"/>
              <w:rPr>
                <w:sz w:val="20"/>
                <w:szCs w:val="20"/>
                <w:color w:val="auto"/>
              </w:rPr>
            </w:pPr>
            <w:r>
              <w:rPr>
                <w:rFonts w:ascii="Arial" w:cs="Arial" w:eastAsia="Arial" w:hAnsi="Arial"/>
                <w:sz w:val="11"/>
                <w:szCs w:val="11"/>
                <w:color w:val="131E29"/>
              </w:rPr>
              <w:t>_____________________</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Arial" w:cs="Arial" w:eastAsia="Arial" w:hAnsi="Arial"/>
                <w:sz w:val="7"/>
                <w:szCs w:val="7"/>
                <w:color w:val="auto"/>
              </w:rPr>
              <w:t>1</w:t>
            </w:r>
          </w:p>
        </w:tc>
        <w:tc>
          <w:tcPr>
            <w:tcW w:w="6100" w:type="dxa"/>
            <w:vAlign w:val="bottom"/>
            <w:gridSpan w:val="2"/>
            <w:vMerge w:val="restart"/>
          </w:tcPr>
          <w:p>
            <w:pPr>
              <w:ind w:left="120"/>
              <w:spacing w:after="0"/>
              <w:rPr>
                <w:sz w:val="20"/>
                <w:szCs w:val="20"/>
                <w:color w:val="auto"/>
              </w:rPr>
            </w:pPr>
            <w:r>
              <w:rPr>
                <w:rFonts w:ascii="Arial" w:cs="Arial" w:eastAsia="Arial" w:hAnsi="Arial"/>
                <w:sz w:val="11"/>
                <w:szCs w:val="11"/>
                <w:color w:val="131E29"/>
              </w:rPr>
              <w:t>Amounts exclude cash loads and transactions related to the Company’s loyalty rewards program.</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61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6200" w:type="dxa"/>
            <w:vAlign w:val="bottom"/>
            <w:gridSpan w:val="3"/>
          </w:tcPr>
          <w:p>
            <w:pPr>
              <w:spacing w:after="0"/>
              <w:rPr>
                <w:sz w:val="20"/>
                <w:szCs w:val="20"/>
                <w:color w:val="auto"/>
              </w:rPr>
            </w:pPr>
            <w:r>
              <w:rPr>
                <w:rFonts w:ascii="Arial" w:cs="Arial" w:eastAsia="Arial" w:hAnsi="Arial"/>
                <w:sz w:val="14"/>
                <w:szCs w:val="14"/>
                <w:color w:val="131E29"/>
              </w:rPr>
              <w:t>Future recognition of initial unearned franchise fees as of September 30, 2024 is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2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00" w:type="dxa"/>
            <w:vAlign w:val="bottom"/>
            <w:gridSpan w:val="3"/>
            <w:shd w:val="clear" w:color="auto" w:fill="D2DCE5"/>
          </w:tcPr>
          <w:p>
            <w:pPr>
              <w:ind w:left="20"/>
              <w:spacing w:after="0"/>
              <w:rPr>
                <w:sz w:val="20"/>
                <w:szCs w:val="20"/>
                <w:color w:val="auto"/>
              </w:rPr>
            </w:pPr>
            <w:r>
              <w:rPr>
                <w:rFonts w:ascii="Arial" w:cs="Arial" w:eastAsia="Arial" w:hAnsi="Arial"/>
                <w:sz w:val="14"/>
                <w:szCs w:val="14"/>
                <w:color w:val="131E29"/>
              </w:rPr>
              <w:t>Remainder of 2024</w:t>
            </w:r>
          </w:p>
        </w:tc>
        <w:tc>
          <w:tcPr>
            <w:tcW w:w="28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60" w:type="dxa"/>
            <w:vAlign w:val="bottom"/>
            <w:gridSpan w:val="3"/>
            <w:shd w:val="clear" w:color="auto" w:fill="D2DCE5"/>
          </w:tcPr>
          <w:p>
            <w:pPr>
              <w:ind w:left="6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8"/>
                <w:szCs w:val="18"/>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111</w:t>
            </w:r>
          </w:p>
        </w:tc>
        <w:tc>
          <w:tcPr>
            <w:tcW w:w="0" w:type="dxa"/>
            <w:vAlign w:val="bottom"/>
          </w:tcPr>
          <w:p>
            <w:pPr>
              <w:spacing w:after="0"/>
              <w:rPr>
                <w:sz w:val="1"/>
                <w:szCs w:val="1"/>
                <w:color w:val="auto"/>
              </w:rPr>
            </w:pPr>
          </w:p>
        </w:tc>
      </w:tr>
      <w:tr>
        <w:trPr>
          <w:trHeight w:val="202"/>
        </w:trPr>
        <w:tc>
          <w:tcPr>
            <w:tcW w:w="6120" w:type="dxa"/>
            <w:vAlign w:val="bottom"/>
            <w:gridSpan w:val="2"/>
          </w:tcPr>
          <w:p>
            <w:pPr>
              <w:ind w:left="20"/>
              <w:spacing w:after="0"/>
              <w:rPr>
                <w:sz w:val="20"/>
                <w:szCs w:val="20"/>
                <w:color w:val="auto"/>
              </w:rPr>
            </w:pPr>
            <w:r>
              <w:rPr>
                <w:rFonts w:ascii="Arial" w:cs="Arial" w:eastAsia="Arial" w:hAnsi="Arial"/>
                <w:sz w:val="14"/>
                <w:szCs w:val="14"/>
                <w:color w:val="131E29"/>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409</w:t>
            </w:r>
          </w:p>
        </w:tc>
        <w:tc>
          <w:tcPr>
            <w:tcW w:w="0" w:type="dxa"/>
            <w:vAlign w:val="bottom"/>
          </w:tcPr>
          <w:p>
            <w:pPr>
              <w:spacing w:after="0"/>
              <w:rPr>
                <w:sz w:val="1"/>
                <w:szCs w:val="1"/>
                <w:color w:val="auto"/>
              </w:rPr>
            </w:pPr>
          </w:p>
        </w:tc>
      </w:tr>
      <w:tr>
        <w:trPr>
          <w:trHeight w:val="222"/>
        </w:trPr>
        <w:tc>
          <w:tcPr>
            <w:tcW w:w="6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367</w:t>
            </w:r>
          </w:p>
        </w:tc>
        <w:tc>
          <w:tcPr>
            <w:tcW w:w="0" w:type="dxa"/>
            <w:vAlign w:val="bottom"/>
          </w:tcPr>
          <w:p>
            <w:pPr>
              <w:spacing w:after="0"/>
              <w:rPr>
                <w:sz w:val="1"/>
                <w:szCs w:val="1"/>
                <w:color w:val="auto"/>
              </w:rPr>
            </w:pPr>
          </w:p>
        </w:tc>
      </w:tr>
      <w:tr>
        <w:trPr>
          <w:trHeight w:val="202"/>
        </w:trPr>
        <w:tc>
          <w:tcPr>
            <w:tcW w:w="6120" w:type="dxa"/>
            <w:vAlign w:val="bottom"/>
            <w:gridSpan w:val="2"/>
          </w:tcPr>
          <w:p>
            <w:pPr>
              <w:ind w:left="20"/>
              <w:spacing w:after="0"/>
              <w:rPr>
                <w:sz w:val="20"/>
                <w:szCs w:val="20"/>
                <w:color w:val="auto"/>
              </w:rPr>
            </w:pPr>
            <w:r>
              <w:rPr>
                <w:rFonts w:ascii="Arial" w:cs="Arial" w:eastAsia="Arial" w:hAnsi="Arial"/>
                <w:sz w:val="14"/>
                <w:szCs w:val="14"/>
                <w:color w:val="131E29"/>
              </w:rPr>
              <w:t>2027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131E29"/>
              </w:rPr>
              <w:t>322</w:t>
            </w:r>
          </w:p>
        </w:tc>
        <w:tc>
          <w:tcPr>
            <w:tcW w:w="0" w:type="dxa"/>
            <w:vAlign w:val="bottom"/>
          </w:tcPr>
          <w:p>
            <w:pPr>
              <w:spacing w:after="0"/>
              <w:rPr>
                <w:sz w:val="1"/>
                <w:szCs w:val="1"/>
                <w:color w:val="auto"/>
              </w:rPr>
            </w:pPr>
          </w:p>
        </w:tc>
      </w:tr>
      <w:tr>
        <w:trPr>
          <w:trHeight w:val="222"/>
        </w:trPr>
        <w:tc>
          <w:tcPr>
            <w:tcW w:w="61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2028</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273</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D2DCE5"/>
            </w:tcBorders>
            <w:gridSpan w:val="3"/>
          </w:tcPr>
          <w:p>
            <w:pPr>
              <w:ind w:left="20"/>
              <w:spacing w:after="0"/>
              <w:rPr>
                <w:sz w:val="20"/>
                <w:szCs w:val="20"/>
                <w:color w:val="auto"/>
              </w:rPr>
            </w:pPr>
            <w:r>
              <w:rPr>
                <w:rFonts w:ascii="Arial" w:cs="Arial" w:eastAsia="Arial" w:hAnsi="Arial"/>
                <w:sz w:val="14"/>
                <w:szCs w:val="14"/>
                <w:color w:val="131E29"/>
              </w:rPr>
              <w:t>Thereafter</w:t>
            </w:r>
          </w:p>
        </w:tc>
        <w:tc>
          <w:tcPr>
            <w:tcW w:w="280" w:type="dxa"/>
            <w:vAlign w:val="bottom"/>
            <w:tcBorders>
              <w:bottom w:val="single" w:sz="8" w:color="D2DCE5"/>
            </w:tcBorders>
          </w:tcPr>
          <w:p>
            <w:pPr>
              <w:spacing w:after="0"/>
              <w:rPr>
                <w:sz w:val="17"/>
                <w:szCs w:val="17"/>
                <w:color w:val="auto"/>
              </w:rPr>
            </w:pPr>
          </w:p>
        </w:tc>
        <w:tc>
          <w:tcPr>
            <w:tcW w:w="9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D2DCE5"/>
            </w:tcBorders>
          </w:tcPr>
          <w:p>
            <w:pPr>
              <w:spacing w:after="0"/>
              <w:rPr>
                <w:sz w:val="17"/>
                <w:szCs w:val="17"/>
                <w:color w:val="auto"/>
              </w:rPr>
            </w:pPr>
          </w:p>
        </w:tc>
        <w:tc>
          <w:tcPr>
            <w:tcW w:w="9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D2DCE5"/>
            </w:tcBorders>
          </w:tcPr>
          <w:p>
            <w:pPr>
              <w:spacing w:after="0"/>
              <w:rPr>
                <w:sz w:val="17"/>
                <w:szCs w:val="17"/>
                <w:color w:val="auto"/>
              </w:rPr>
            </w:pPr>
          </w:p>
        </w:tc>
        <w:tc>
          <w:tcPr>
            <w:tcW w:w="5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1,056</w:t>
            </w:r>
          </w:p>
        </w:tc>
        <w:tc>
          <w:tcPr>
            <w:tcW w:w="0" w:type="dxa"/>
            <w:vAlign w:val="bottom"/>
          </w:tcPr>
          <w:p>
            <w:pPr>
              <w:spacing w:after="0"/>
              <w:rPr>
                <w:sz w:val="1"/>
                <w:szCs w:val="1"/>
                <w:color w:val="auto"/>
              </w:rPr>
            </w:pPr>
          </w:p>
        </w:tc>
      </w:tr>
      <w:tr>
        <w:trPr>
          <w:trHeight w:val="232"/>
        </w:trPr>
        <w:tc>
          <w:tcPr>
            <w:tcW w:w="100" w:type="dxa"/>
            <w:vAlign w:val="bottom"/>
            <w:shd w:val="clear" w:color="auto" w:fill="D2DCE5"/>
          </w:tcPr>
          <w:p>
            <w:pPr>
              <w:spacing w:after="0"/>
              <w:rPr>
                <w:sz w:val="20"/>
                <w:szCs w:val="20"/>
                <w:color w:val="auto"/>
              </w:rPr>
            </w:pPr>
          </w:p>
        </w:tc>
        <w:tc>
          <w:tcPr>
            <w:tcW w:w="6100" w:type="dxa"/>
            <w:vAlign w:val="bottom"/>
            <w:gridSpan w:val="2"/>
            <w:shd w:val="clear" w:color="auto" w:fill="D2DCE5"/>
          </w:tcPr>
          <w:p>
            <w:pPr>
              <w:ind w:left="40"/>
              <w:spacing w:after="0"/>
              <w:rPr>
                <w:sz w:val="20"/>
                <w:szCs w:val="20"/>
                <w:color w:val="auto"/>
              </w:rPr>
            </w:pPr>
            <w:r>
              <w:rPr>
                <w:rFonts w:ascii="Arial" w:cs="Arial" w:eastAsia="Arial" w:hAnsi="Arial"/>
                <w:sz w:val="14"/>
                <w:szCs w:val="14"/>
                <w:color w:val="131E29"/>
              </w:rPr>
              <w:t>Total</w:t>
            </w:r>
          </w:p>
        </w:tc>
        <w:tc>
          <w:tcPr>
            <w:tcW w:w="280" w:type="dxa"/>
            <w:vAlign w:val="bottom"/>
            <w:shd w:val="clear" w:color="auto" w:fill="D2DCE5"/>
          </w:tcPr>
          <w:p>
            <w:pPr>
              <w:spacing w:after="0"/>
              <w:rPr>
                <w:sz w:val="20"/>
                <w:szCs w:val="20"/>
                <w:color w:val="auto"/>
              </w:rPr>
            </w:pPr>
          </w:p>
        </w:tc>
        <w:tc>
          <w:tcPr>
            <w:tcW w:w="9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p>
        </w:tc>
        <w:tc>
          <w:tcPr>
            <w:tcW w:w="960" w:type="dxa"/>
            <w:vAlign w:val="bottom"/>
            <w:gridSpan w:val="3"/>
            <w:shd w:val="clear" w:color="auto" w:fill="D2DCE5"/>
          </w:tcPr>
          <w:p>
            <w:pPr>
              <w:ind w:left="6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20"/>
                <w:szCs w:val="20"/>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2,538</w:t>
            </w:r>
          </w:p>
        </w:tc>
        <w:tc>
          <w:tcPr>
            <w:tcW w:w="0" w:type="dxa"/>
            <w:vAlign w:val="bottom"/>
          </w:tcPr>
          <w:p>
            <w:pPr>
              <w:spacing w:after="0"/>
              <w:rPr>
                <w:sz w:val="1"/>
                <w:szCs w:val="1"/>
                <w:color w:val="auto"/>
              </w:rPr>
            </w:pPr>
          </w:p>
        </w:tc>
      </w:tr>
      <w:tr>
        <w:trPr>
          <w:trHeight w:val="20"/>
        </w:trPr>
        <w:tc>
          <w:tcPr>
            <w:tcW w:w="100" w:type="dxa"/>
            <w:vAlign w:val="bottom"/>
            <w:tcBorders>
              <w:top w:val="single" w:sz="8" w:color="D2DCE5"/>
            </w:tcBorders>
          </w:tcPr>
          <w:p>
            <w:pPr>
              <w:spacing w:after="0" w:line="20" w:lineRule="exact"/>
              <w:rPr>
                <w:sz w:val="1"/>
                <w:szCs w:val="1"/>
                <w:color w:val="auto"/>
              </w:rPr>
            </w:pPr>
          </w:p>
        </w:tc>
        <w:tc>
          <w:tcPr>
            <w:tcW w:w="60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9" w:name="page20"/>
    <w:bookmarkEnd w:id="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4 — Organization Realignment and Restructuring</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On January 29, 2024, the Company’s Board of Directors approved an organizational realignment and restructuring plan to expand the Company’s support operations at its Phoenix, Arizona office. As part of this large-scale initiative, the Company will relocate certain of its support center staff from the Grants Pass, Oregon headquarters to the Phoenix office, and anticipates that by January 1, 2025, approximately 40% of the Company’s total support operations staff will be located in Phoenix, Arizona. All affected employees were either offered an opportunity to continue employment in the Phoenix office or were offered a severance package; these communications were largely completed by February 9, 2024. The Company expects to incur total aggregate charges of approximately $18 million to $22 million related to this initiative, consisting of (i) approximately $14 million to $18 million in employee-related costs, including relocation, retention and transition costs, termination benefits, and duplicate transition wages and benefits; and (ii) approximately $4 million in other costs, including consulting fees and costs and duplicate rent. Substantially all of the estimated charges are expected to result in current and future cash expenditures.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131E29"/>
        </w:rPr>
        <w:t>The Company records severance related to this initiative as a one-time termination benefit and recognizes the expense ratably over the employees’ required future service period.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All other costs, including other employee transition costs, recruitment and relocation costs, and third-party costs, are recognized in the period incurred.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There have been no material lease terminations or lease abandonment related to this initiative.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During the three and nine months ended September 30, 2024, the Company recorded restructuring charges for employee-related and other costs in selling, general and administrative expenses on the condensed consolidated statements of operations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jc w:val="right"/>
              <w:ind w:right="10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9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131E29"/>
              </w:rPr>
              <w:t>Three Months Ended September 30, 2024</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109"/>
              <w:spacing w:after="0"/>
              <w:rPr>
                <w:sz w:val="20"/>
                <w:szCs w:val="20"/>
                <w:color w:val="auto"/>
              </w:rPr>
            </w:pPr>
            <w:r>
              <w:rPr>
                <w:rFonts w:ascii="Arial" w:cs="Arial" w:eastAsia="Arial" w:hAnsi="Arial"/>
                <w:sz w:val="14"/>
                <w:szCs w:val="14"/>
                <w:b w:val="1"/>
                <w:bCs w:val="1"/>
                <w:color w:val="131E29"/>
              </w:rPr>
              <w:t>2024</w:t>
            </w:r>
          </w:p>
        </w:tc>
      </w:tr>
      <w:tr>
        <w:trPr>
          <w:trHeight w:val="209"/>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Relocation and travel costs</w:t>
            </w:r>
          </w:p>
        </w:tc>
        <w:tc>
          <w:tcPr>
            <w:tcW w:w="1320" w:type="dxa"/>
            <w:vAlign w:val="bottom"/>
            <w:shd w:val="clear" w:color="auto" w:fill="D2DCE5"/>
          </w:tcPr>
          <w:p>
            <w:pPr>
              <w:jc w:val="right"/>
              <w:ind w:right="1149"/>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2,217</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5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9,710</w:t>
            </w:r>
          </w:p>
        </w:tc>
      </w:tr>
      <w:tr>
        <w:trPr>
          <w:trHeight w:val="203"/>
        </w:trPr>
        <w:tc>
          <w:tcPr>
            <w:tcW w:w="55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One-time termination benefits</w:t>
            </w:r>
          </w:p>
        </w:tc>
        <w:tc>
          <w:tcPr>
            <w:tcW w:w="1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1,781</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3,577</w:t>
            </w:r>
          </w:p>
        </w:tc>
      </w:tr>
      <w:tr>
        <w:trPr>
          <w:trHeight w:val="212"/>
        </w:trPr>
        <w:tc>
          <w:tcPr>
            <w:tcW w:w="558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employee-related costs</w:t>
            </w:r>
          </w:p>
        </w:tc>
        <w:tc>
          <w:tcPr>
            <w:tcW w:w="132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3,998</w:t>
            </w:r>
          </w:p>
        </w:tc>
        <w:tc>
          <w:tcPr>
            <w:tcW w:w="8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2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13,287</w:t>
            </w:r>
          </w:p>
        </w:tc>
      </w:tr>
      <w:tr>
        <w:trPr>
          <w:trHeight w:val="193"/>
        </w:trPr>
        <w:tc>
          <w:tcPr>
            <w:tcW w:w="55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Duplicate rent</w:t>
            </w:r>
          </w:p>
        </w:tc>
        <w:tc>
          <w:tcPr>
            <w:tcW w:w="1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193</w:t>
            </w:r>
          </w:p>
        </w:tc>
        <w:tc>
          <w:tcPr>
            <w:tcW w:w="80" w:type="dxa"/>
            <w:vAlign w:val="bottom"/>
            <w:tcBorders>
              <w:bottom w:val="single" w:sz="8" w:color="D2DC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223</w:t>
            </w:r>
          </w:p>
        </w:tc>
      </w:tr>
      <w:tr>
        <w:trPr>
          <w:trHeight w:val="203"/>
        </w:trPr>
        <w:tc>
          <w:tcPr>
            <w:tcW w:w="558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other costs</w:t>
            </w:r>
          </w:p>
        </w:tc>
        <w:tc>
          <w:tcPr>
            <w:tcW w:w="132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193</w:t>
            </w:r>
          </w:p>
        </w:tc>
        <w:tc>
          <w:tcPr>
            <w:tcW w:w="80" w:type="dxa"/>
            <w:vAlign w:val="bottom"/>
            <w:shd w:val="clear" w:color="auto" w:fill="D2DCE5"/>
          </w:tcPr>
          <w:p>
            <w:pPr>
              <w:spacing w:after="0"/>
              <w:rPr>
                <w:sz w:val="17"/>
                <w:szCs w:val="17"/>
                <w:color w:val="auto"/>
              </w:rPr>
            </w:pPr>
          </w:p>
        </w:tc>
        <w:tc>
          <w:tcPr>
            <w:tcW w:w="140" w:type="dxa"/>
            <w:vAlign w:val="bottom"/>
            <w:tcBorders>
              <w:bottom w:val="single" w:sz="8" w:color="auto"/>
            </w:tcBorders>
            <w:shd w:val="clear" w:color="auto" w:fill="D2DCE5"/>
          </w:tcPr>
          <w:p>
            <w:pPr>
              <w:spacing w:after="0"/>
              <w:rPr>
                <w:sz w:val="17"/>
                <w:szCs w:val="17"/>
                <w:color w:val="auto"/>
              </w:rPr>
            </w:pPr>
          </w:p>
        </w:tc>
        <w:tc>
          <w:tcPr>
            <w:tcW w:w="2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223</w:t>
            </w:r>
          </w:p>
        </w:tc>
      </w:tr>
      <w:tr>
        <w:trPr>
          <w:trHeight w:val="212"/>
        </w:trPr>
        <w:tc>
          <w:tcPr>
            <w:tcW w:w="5580" w:type="dxa"/>
            <w:vAlign w:val="bottom"/>
            <w:gridSpan w:val="2"/>
          </w:tcPr>
          <w:p>
            <w:pPr>
              <w:ind w:left="160"/>
              <w:spacing w:after="0"/>
              <w:rPr>
                <w:sz w:val="20"/>
                <w:szCs w:val="20"/>
                <w:color w:val="auto"/>
              </w:rPr>
            </w:pPr>
            <w:r>
              <w:rPr>
                <w:rFonts w:ascii="Arial" w:cs="Arial" w:eastAsia="Arial" w:hAnsi="Arial"/>
                <w:sz w:val="14"/>
                <w:szCs w:val="14"/>
                <w:color w:val="131E29"/>
              </w:rPr>
              <w:t>Total restructuring costs incurred</w:t>
            </w:r>
          </w:p>
        </w:tc>
        <w:tc>
          <w:tcPr>
            <w:tcW w:w="132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131E2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4,191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13,510</w:t>
            </w: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of September 30, 2024, the accruals for corporate restructuring costs are included in accounts payable, accrued compensation and benefits, and accrued expenses on the condensed consolidated balance sheets. The following table summarizes the activity for the restructuring liability during the nine months ended September 30,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Liability, December 31,</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49"/>
              <w:spacing w:after="0"/>
              <w:rPr>
                <w:sz w:val="20"/>
                <w:szCs w:val="20"/>
                <w:color w:val="auto"/>
              </w:rPr>
            </w:pPr>
            <w:r>
              <w:rPr>
                <w:rFonts w:ascii="Arial" w:cs="Arial" w:eastAsia="Arial" w:hAnsi="Arial"/>
                <w:sz w:val="14"/>
                <w:szCs w:val="14"/>
                <w:b w:val="1"/>
                <w:bCs w:val="1"/>
                <w:color w:val="131E29"/>
                <w:w w:val="99"/>
              </w:rPr>
              <w:t>Liability, September 30,</w:t>
            </w:r>
          </w:p>
        </w:tc>
      </w:tr>
      <w:tr>
        <w:trPr>
          <w:trHeight w:val="20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Charges</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131E29"/>
              </w:rPr>
              <w:t>Cash Payments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131E29"/>
              </w:rPr>
              <w:t>2024</w:t>
            </w:r>
          </w:p>
        </w:tc>
      </w:tr>
      <w:tr>
        <w:trPr>
          <w:trHeight w:val="209"/>
        </w:trPr>
        <w:tc>
          <w:tcPr>
            <w:tcW w:w="4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Relocation and travel costs</w:t>
            </w:r>
          </w:p>
        </w:tc>
        <w:tc>
          <w:tcPr>
            <w:tcW w:w="80" w:type="dxa"/>
            <w:vAlign w:val="bottom"/>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720" w:type="dxa"/>
            <w:vAlign w:val="bottom"/>
            <w:gridSpan w:val="2"/>
            <w:shd w:val="clear" w:color="auto" w:fill="D2DCE5"/>
          </w:tcPr>
          <w:p>
            <w:pPr>
              <w:ind w:left="14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13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9,710</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w:t>
            </w:r>
          </w:p>
        </w:tc>
        <w:tc>
          <w:tcPr>
            <w:tcW w:w="14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(8,866)</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844</w:t>
            </w:r>
          </w:p>
        </w:tc>
      </w:tr>
      <w:tr>
        <w:trPr>
          <w:trHeight w:val="203"/>
        </w:trPr>
        <w:tc>
          <w:tcPr>
            <w:tcW w:w="41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One-time termination benefits</w:t>
            </w: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3,577</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(719)</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2,858</w:t>
            </w:r>
          </w:p>
        </w:tc>
      </w:tr>
      <w:tr>
        <w:trPr>
          <w:trHeight w:val="212"/>
        </w:trPr>
        <w:tc>
          <w:tcPr>
            <w:tcW w:w="41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employee-related costs</w:t>
            </w:r>
          </w:p>
        </w:tc>
        <w:tc>
          <w:tcPr>
            <w:tcW w:w="8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ind w:left="144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13,287</w:t>
            </w:r>
          </w:p>
        </w:tc>
        <w:tc>
          <w:tcPr>
            <w:tcW w:w="80" w:type="dxa"/>
            <w:vAlign w:val="bottom"/>
            <w:shd w:val="clear" w:color="auto" w:fill="D2DCE5"/>
          </w:tcPr>
          <w:p>
            <w:pPr>
              <w:spacing w:after="0"/>
              <w:rPr>
                <w:sz w:val="18"/>
                <w:szCs w:val="18"/>
                <w:color w:val="auto"/>
              </w:rPr>
            </w:pPr>
          </w:p>
        </w:tc>
        <w:tc>
          <w:tcPr>
            <w:tcW w:w="200" w:type="dxa"/>
            <w:vAlign w:val="bottom"/>
            <w:tcBorders>
              <w:bottom w:val="single" w:sz="8" w:color="auto"/>
            </w:tcBorders>
            <w:shd w:val="clear" w:color="auto" w:fill="D2DCE5"/>
          </w:tcPr>
          <w:p>
            <w:pPr>
              <w:spacing w:after="0"/>
              <w:rPr>
                <w:sz w:val="18"/>
                <w:szCs w:val="18"/>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(9,585)</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1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3,702</w:t>
            </w:r>
          </w:p>
        </w:tc>
      </w:tr>
      <w:tr>
        <w:trPr>
          <w:trHeight w:val="193"/>
        </w:trPr>
        <w:tc>
          <w:tcPr>
            <w:tcW w:w="41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Duplicate rent</w:t>
            </w: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223</w:t>
            </w:r>
          </w:p>
        </w:tc>
        <w:tc>
          <w:tcPr>
            <w:tcW w:w="80" w:type="dxa"/>
            <w:vAlign w:val="bottom"/>
            <w:tcBorders>
              <w:bottom w:val="single" w:sz="8" w:color="D2DC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(221)</w:t>
            </w:r>
          </w:p>
        </w:tc>
        <w:tc>
          <w:tcPr>
            <w:tcW w:w="80" w:type="dxa"/>
            <w:vAlign w:val="bottom"/>
            <w:tcBorders>
              <w:bottom w:val="single" w:sz="8" w:color="D2DC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w:t>
            </w:r>
          </w:p>
        </w:tc>
      </w:tr>
      <w:tr>
        <w:trPr>
          <w:trHeight w:val="203"/>
        </w:trPr>
        <w:tc>
          <w:tcPr>
            <w:tcW w:w="41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other costs</w:t>
            </w:r>
          </w:p>
        </w:tc>
        <w:tc>
          <w:tcPr>
            <w:tcW w:w="80" w:type="dxa"/>
            <w:vAlign w:val="bottom"/>
            <w:tcBorders>
              <w:bottom w:val="single" w:sz="8" w:color="auto"/>
            </w:tcBorders>
            <w:shd w:val="clear" w:color="auto" w:fill="D2DCE5"/>
          </w:tcPr>
          <w:p>
            <w:pPr>
              <w:spacing w:after="0"/>
              <w:rPr>
                <w:sz w:val="17"/>
                <w:szCs w:val="17"/>
                <w:color w:val="auto"/>
              </w:rPr>
            </w:pPr>
          </w:p>
        </w:tc>
        <w:tc>
          <w:tcPr>
            <w:tcW w:w="1640" w:type="dxa"/>
            <w:vAlign w:val="bottom"/>
            <w:tcBorders>
              <w:bottom w:val="single" w:sz="8" w:color="auto"/>
            </w:tcBorders>
            <w:shd w:val="clear" w:color="auto" w:fill="D2DCE5"/>
          </w:tcPr>
          <w:p>
            <w:pPr>
              <w:ind w:left="144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7"/>
                <w:szCs w:val="17"/>
                <w:color w:val="auto"/>
              </w:rPr>
            </w:pPr>
          </w:p>
        </w:tc>
        <w:tc>
          <w:tcPr>
            <w:tcW w:w="320" w:type="dxa"/>
            <w:vAlign w:val="bottom"/>
            <w:tcBorders>
              <w:bottom w:val="single" w:sz="8" w:color="auto"/>
            </w:tcBorders>
            <w:shd w:val="clear" w:color="auto" w:fill="D2DCE5"/>
          </w:tcPr>
          <w:p>
            <w:pPr>
              <w:spacing w:after="0"/>
              <w:rPr>
                <w:sz w:val="17"/>
                <w:szCs w:val="17"/>
                <w:color w:val="auto"/>
              </w:rPr>
            </w:pP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223</w:t>
            </w:r>
          </w:p>
        </w:tc>
        <w:tc>
          <w:tcPr>
            <w:tcW w:w="80" w:type="dxa"/>
            <w:vAlign w:val="bottom"/>
            <w:tcBorders>
              <w:bottom w:val="single" w:sz="8" w:color="auto"/>
            </w:tcBorders>
            <w:shd w:val="clear" w:color="auto" w:fill="D2DCE5"/>
          </w:tcPr>
          <w:p>
            <w:pPr>
              <w:spacing w:after="0"/>
              <w:rPr>
                <w:sz w:val="17"/>
                <w:szCs w:val="17"/>
                <w:color w:val="auto"/>
              </w:rPr>
            </w:pPr>
          </w:p>
        </w:tc>
        <w:tc>
          <w:tcPr>
            <w:tcW w:w="200" w:type="dxa"/>
            <w:vAlign w:val="bottom"/>
            <w:tcBorders>
              <w:bottom w:val="single" w:sz="8" w:color="auto"/>
            </w:tcBorders>
            <w:shd w:val="clear" w:color="auto" w:fill="D2DCE5"/>
          </w:tcPr>
          <w:p>
            <w:pPr>
              <w:spacing w:after="0"/>
              <w:rPr>
                <w:sz w:val="17"/>
                <w:szCs w:val="17"/>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(221)</w:t>
            </w:r>
          </w:p>
        </w:tc>
        <w:tc>
          <w:tcPr>
            <w:tcW w:w="80" w:type="dxa"/>
            <w:vAlign w:val="bottom"/>
            <w:tcBorders>
              <w:bottom w:val="single" w:sz="8" w:color="auto"/>
            </w:tcBorders>
            <w:shd w:val="clear" w:color="auto" w:fill="D2DCE5"/>
          </w:tcPr>
          <w:p>
            <w:pPr>
              <w:spacing w:after="0"/>
              <w:rPr>
                <w:sz w:val="17"/>
                <w:szCs w:val="17"/>
                <w:color w:val="auto"/>
              </w:rPr>
            </w:pPr>
          </w:p>
        </w:tc>
        <w:tc>
          <w:tcPr>
            <w:tcW w:w="100" w:type="dxa"/>
            <w:vAlign w:val="bottom"/>
            <w:tcBorders>
              <w:bottom w:val="single" w:sz="8" w:color="auto"/>
            </w:tcBorders>
            <w:shd w:val="clear" w:color="auto" w:fill="D2DCE5"/>
          </w:tcPr>
          <w:p>
            <w:pPr>
              <w:spacing w:after="0"/>
              <w:rPr>
                <w:sz w:val="17"/>
                <w:szCs w:val="17"/>
                <w:color w:val="auto"/>
              </w:rPr>
            </w:pPr>
          </w:p>
        </w:tc>
        <w:tc>
          <w:tcPr>
            <w:tcW w:w="1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w:t>
            </w:r>
          </w:p>
        </w:tc>
      </w:tr>
      <w:tr>
        <w:trPr>
          <w:trHeight w:val="212"/>
        </w:trPr>
        <w:tc>
          <w:tcPr>
            <w:tcW w:w="4160" w:type="dxa"/>
            <w:vAlign w:val="bottom"/>
            <w:gridSpan w:val="2"/>
          </w:tcPr>
          <w:p>
            <w:pPr>
              <w:ind w:left="160"/>
              <w:spacing w:after="0"/>
              <w:rPr>
                <w:sz w:val="20"/>
                <w:szCs w:val="20"/>
                <w:color w:val="auto"/>
              </w:rPr>
            </w:pPr>
            <w:r>
              <w:rPr>
                <w:rFonts w:ascii="Arial" w:cs="Arial" w:eastAsia="Arial" w:hAnsi="Arial"/>
                <w:sz w:val="14"/>
                <w:szCs w:val="14"/>
                <w:color w:val="131E29"/>
              </w:rPr>
              <w:t>Totals</w:t>
            </w:r>
          </w:p>
        </w:tc>
        <w:tc>
          <w:tcPr>
            <w:tcW w:w="8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720" w:type="dxa"/>
            <w:vAlign w:val="bottom"/>
            <w:gridSpan w:val="2"/>
          </w:tcPr>
          <w:p>
            <w:pPr>
              <w:ind w:left="1440"/>
              <w:spacing w:after="0"/>
              <w:rPr>
                <w:sz w:val="20"/>
                <w:szCs w:val="20"/>
                <w:color w:val="auto"/>
              </w:rPr>
            </w:pPr>
            <w:r>
              <w:rPr>
                <w:rFonts w:ascii="Arial" w:cs="Arial" w:eastAsia="Arial" w:hAnsi="Arial"/>
                <w:sz w:val="14"/>
                <w:szCs w:val="14"/>
                <w:color w:val="131E29"/>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131E29"/>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131E29"/>
              </w:rPr>
              <w:t>13,510</w:t>
            </w:r>
          </w:p>
        </w:tc>
        <w:tc>
          <w:tcPr>
            <w:tcW w:w="8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131E29"/>
              </w:rPr>
              <w:t>$</w:t>
            </w:r>
          </w:p>
        </w:tc>
        <w:tc>
          <w:tcPr>
            <w:tcW w:w="1480" w:type="dxa"/>
            <w:vAlign w:val="bottom"/>
          </w:tcPr>
          <w:p>
            <w:pPr>
              <w:jc w:val="right"/>
              <w:spacing w:after="0"/>
              <w:rPr>
                <w:sz w:val="20"/>
                <w:szCs w:val="20"/>
                <w:color w:val="auto"/>
              </w:rPr>
            </w:pPr>
            <w:r>
              <w:rPr>
                <w:rFonts w:ascii="Arial" w:cs="Arial" w:eastAsia="Arial" w:hAnsi="Arial"/>
                <w:sz w:val="14"/>
                <w:szCs w:val="14"/>
                <w:color w:val="131E29"/>
              </w:rPr>
              <w:t>(9,806)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131E29"/>
              </w:rPr>
              <w:t>$</w:t>
            </w:r>
          </w:p>
        </w:tc>
        <w:tc>
          <w:tcPr>
            <w:tcW w:w="1700" w:type="dxa"/>
            <w:vAlign w:val="bottom"/>
          </w:tcPr>
          <w:p>
            <w:pPr>
              <w:jc w:val="right"/>
              <w:spacing w:after="0"/>
              <w:rPr>
                <w:sz w:val="20"/>
                <w:szCs w:val="20"/>
                <w:color w:val="auto"/>
              </w:rPr>
            </w:pPr>
            <w:r>
              <w:rPr>
                <w:rFonts w:ascii="Arial" w:cs="Arial" w:eastAsia="Arial" w:hAnsi="Arial"/>
                <w:sz w:val="14"/>
                <w:szCs w:val="14"/>
                <w:color w:val="131E29"/>
              </w:rPr>
              <w:t>3,704</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 w:name="page21"/>
    <w:bookmarkEnd w:id="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5 — Inventories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2"/>
          </w:tcPr>
          <w:p>
            <w:pPr>
              <w:spacing w:after="0"/>
              <w:rPr>
                <w:sz w:val="20"/>
                <w:szCs w:val="20"/>
                <w:color w:val="auto"/>
              </w:rPr>
            </w:pPr>
            <w:r>
              <w:rPr>
                <w:rFonts w:ascii="Arial" w:cs="Arial" w:eastAsia="Arial" w:hAnsi="Arial"/>
                <w:sz w:val="14"/>
                <w:szCs w:val="14"/>
                <w:color w:val="131E29"/>
              </w:rPr>
              <w:t>Inventories, net consist of the following:</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26"/>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131E29"/>
              </w:rPr>
              <w:t>September 30, 2024</w:t>
            </w:r>
          </w:p>
        </w:tc>
        <w:tc>
          <w:tcPr>
            <w:tcW w:w="80" w:type="dxa"/>
            <w:vAlign w:val="bottom"/>
            <w:tcBorders>
              <w:bottom w:val="single" w:sz="8" w:color="D2DC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7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Raw materials</w:t>
            </w:r>
          </w:p>
        </w:tc>
        <w:tc>
          <w:tcPr>
            <w:tcW w:w="16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19,965</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28,523</w:t>
            </w:r>
          </w:p>
        </w:tc>
      </w:tr>
      <w:tr>
        <w:trPr>
          <w:trHeight w:val="203"/>
        </w:trPr>
        <w:tc>
          <w:tcPr>
            <w:tcW w:w="76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Finished goods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18,416</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18,430</w:t>
            </w:r>
          </w:p>
        </w:tc>
      </w:tr>
      <w:tr>
        <w:trPr>
          <w:trHeight w:val="237"/>
        </w:trPr>
        <w:tc>
          <w:tcPr>
            <w:tcW w:w="768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Total inventories</w:t>
            </w:r>
          </w:p>
        </w:tc>
        <w:tc>
          <w:tcPr>
            <w:tcW w:w="16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38,381</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46,953</w:t>
            </w:r>
          </w:p>
        </w:tc>
      </w:tr>
      <w:tr>
        <w:trPr>
          <w:trHeight w:val="20"/>
        </w:trPr>
        <w:tc>
          <w:tcPr>
            <w:tcW w:w="76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6 —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Property and equipment, net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rPr>
              <w:t xml:space="preserve">Useful Life </w:t>
            </w:r>
            <w:r>
              <w:rPr>
                <w:rFonts w:ascii="Arial" w:cs="Arial" w:eastAsia="Arial" w:hAnsi="Arial"/>
                <w:sz w:val="11"/>
                <w:szCs w:val="11"/>
                <w:color w:val="131E29"/>
              </w:rPr>
              <w:t>(Years)</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131E29"/>
              </w:rPr>
              <w:t>September 30, 2024</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December 31, 2023</w:t>
            </w:r>
          </w:p>
        </w:tc>
        <w:tc>
          <w:tcPr>
            <w:tcW w:w="0" w:type="dxa"/>
            <w:vAlign w:val="bottom"/>
          </w:tcPr>
          <w:p>
            <w:pPr>
              <w:spacing w:after="0"/>
              <w:rPr>
                <w:sz w:val="1"/>
                <w:szCs w:val="1"/>
                <w:color w:val="auto"/>
              </w:rPr>
            </w:pPr>
          </w:p>
        </w:tc>
      </w:tr>
      <w:tr>
        <w:trPr>
          <w:trHeight w:val="209"/>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3</w:t>
            </w:r>
          </w:p>
        </w:tc>
        <w:tc>
          <w:tcPr>
            <w:tcW w:w="84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10,252</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7,212</w:t>
            </w:r>
          </w:p>
        </w:tc>
        <w:tc>
          <w:tcPr>
            <w:tcW w:w="0" w:type="dxa"/>
            <w:vAlign w:val="bottom"/>
          </w:tcPr>
          <w:p>
            <w:pPr>
              <w:spacing w:after="0"/>
              <w:rPr>
                <w:sz w:val="1"/>
                <w:szCs w:val="1"/>
                <w:color w:val="auto"/>
              </w:rPr>
            </w:pPr>
          </w:p>
        </w:tc>
      </w:tr>
      <w:tr>
        <w:trPr>
          <w:trHeight w:val="202"/>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580" w:type="dxa"/>
            <w:vAlign w:val="bottom"/>
          </w:tcPr>
          <w:p>
            <w:pPr>
              <w:jc w:val="center"/>
              <w:ind w:left="69"/>
              <w:spacing w:after="0"/>
              <w:rPr>
                <w:sz w:val="20"/>
                <w:szCs w:val="20"/>
                <w:color w:val="auto"/>
              </w:rPr>
            </w:pPr>
            <w:r>
              <w:rPr>
                <w:rFonts w:ascii="Arial" w:cs="Arial" w:eastAsia="Arial" w:hAnsi="Arial"/>
                <w:sz w:val="14"/>
                <w:szCs w:val="14"/>
                <w:color w:val="131E29"/>
              </w:rPr>
              <w:t>3</w:t>
            </w:r>
          </w:p>
        </w:tc>
        <w:tc>
          <w:tcPr>
            <w:tcW w:w="52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600" w:type="dxa"/>
            <w:vAlign w:val="bottom"/>
          </w:tcPr>
          <w:p>
            <w:pPr>
              <w:jc w:val="center"/>
              <w:ind w:right="69"/>
              <w:spacing w:after="0"/>
              <w:rPr>
                <w:sz w:val="20"/>
                <w:szCs w:val="20"/>
                <w:color w:val="auto"/>
              </w:rPr>
            </w:pPr>
            <w:r>
              <w:rPr>
                <w:rFonts w:ascii="Arial" w:cs="Arial" w:eastAsia="Arial" w:hAnsi="Arial"/>
                <w:sz w:val="14"/>
                <w:szCs w:val="14"/>
                <w:color w:val="131E29"/>
                <w:w w:val="76"/>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199,155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157,352</w:t>
            </w:r>
          </w:p>
        </w:tc>
        <w:tc>
          <w:tcPr>
            <w:tcW w:w="0" w:type="dxa"/>
            <w:vAlign w:val="bottom"/>
          </w:tcPr>
          <w:p>
            <w:pPr>
              <w:spacing w:after="0"/>
              <w:rPr>
                <w:sz w:val="1"/>
                <w:szCs w:val="1"/>
                <w:color w:val="auto"/>
              </w:rPr>
            </w:pPr>
          </w:p>
        </w:tc>
      </w:tr>
      <w:tr>
        <w:trPr>
          <w:trHeight w:val="222"/>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580" w:type="dxa"/>
            <w:vAlign w:val="bottom"/>
            <w:shd w:val="clear" w:color="auto" w:fill="D2DCE5"/>
          </w:tcPr>
          <w:p>
            <w:pPr>
              <w:jc w:val="center"/>
              <w:ind w:left="69"/>
              <w:spacing w:after="0"/>
              <w:rPr>
                <w:sz w:val="20"/>
                <w:szCs w:val="20"/>
                <w:color w:val="auto"/>
              </w:rPr>
            </w:pPr>
            <w:r>
              <w:rPr>
                <w:rFonts w:ascii="Arial" w:cs="Arial" w:eastAsia="Arial" w:hAnsi="Arial"/>
                <w:sz w:val="14"/>
                <w:szCs w:val="14"/>
                <w:color w:val="131E29"/>
              </w:rPr>
              <w:t>5</w:t>
            </w:r>
          </w:p>
        </w:tc>
        <w:tc>
          <w:tcPr>
            <w:tcW w:w="520" w:type="dxa"/>
            <w:vAlign w:val="bottom"/>
            <w:shd w:val="clear" w:color="auto" w:fill="D2DCE5"/>
          </w:tcPr>
          <w:p>
            <w:pPr>
              <w:jc w:val="center"/>
              <w:spacing w:after="0"/>
              <w:rPr>
                <w:sz w:val="20"/>
                <w:szCs w:val="20"/>
                <w:color w:val="auto"/>
              </w:rPr>
            </w:pPr>
            <w:r>
              <w:rPr>
                <w:rFonts w:ascii="Arial" w:cs="Arial" w:eastAsia="Arial" w:hAnsi="Arial"/>
                <w:sz w:val="8"/>
                <w:szCs w:val="8"/>
                <w:color w:val="131E29"/>
                <w:w w:val="99"/>
              </w:rPr>
              <w:t>—</w:t>
            </w:r>
          </w:p>
        </w:tc>
        <w:tc>
          <w:tcPr>
            <w:tcW w:w="600" w:type="dxa"/>
            <w:vAlign w:val="bottom"/>
            <w:shd w:val="clear" w:color="auto" w:fill="D2DCE5"/>
          </w:tcPr>
          <w:p>
            <w:pPr>
              <w:jc w:val="center"/>
              <w:ind w:right="69"/>
              <w:spacing w:after="0"/>
              <w:rPr>
                <w:sz w:val="20"/>
                <w:szCs w:val="20"/>
                <w:color w:val="auto"/>
              </w:rPr>
            </w:pPr>
            <w:r>
              <w:rPr>
                <w:rFonts w:ascii="Arial" w:cs="Arial" w:eastAsia="Arial" w:hAnsi="Arial"/>
                <w:sz w:val="14"/>
                <w:szCs w:val="14"/>
                <w:color w:val="131E29"/>
                <w:w w:val="89"/>
              </w:rPr>
              <w:t>15</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51,308</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42,441</w:t>
            </w:r>
          </w:p>
        </w:tc>
        <w:tc>
          <w:tcPr>
            <w:tcW w:w="0" w:type="dxa"/>
            <w:vAlign w:val="bottom"/>
          </w:tcPr>
          <w:p>
            <w:pPr>
              <w:spacing w:after="0"/>
              <w:rPr>
                <w:sz w:val="1"/>
                <w:szCs w:val="1"/>
                <w:color w:val="auto"/>
              </w:rPr>
            </w:pPr>
          </w:p>
        </w:tc>
      </w:tr>
      <w:tr>
        <w:trPr>
          <w:trHeight w:val="202"/>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580" w:type="dxa"/>
            <w:vAlign w:val="bottom"/>
          </w:tcPr>
          <w:p>
            <w:pPr>
              <w:jc w:val="center"/>
              <w:ind w:left="69"/>
              <w:spacing w:after="0"/>
              <w:rPr>
                <w:sz w:val="20"/>
                <w:szCs w:val="20"/>
                <w:color w:val="auto"/>
              </w:rPr>
            </w:pPr>
            <w:r>
              <w:rPr>
                <w:rFonts w:ascii="Arial" w:cs="Arial" w:eastAsia="Arial" w:hAnsi="Arial"/>
                <w:sz w:val="14"/>
                <w:szCs w:val="14"/>
                <w:color w:val="131E29"/>
              </w:rPr>
              <w:t>10</w:t>
            </w:r>
          </w:p>
        </w:tc>
        <w:tc>
          <w:tcPr>
            <w:tcW w:w="52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600" w:type="dxa"/>
            <w:vAlign w:val="bottom"/>
          </w:tcPr>
          <w:p>
            <w:pPr>
              <w:jc w:val="center"/>
              <w:ind w:right="69"/>
              <w:spacing w:after="0"/>
              <w:rPr>
                <w:sz w:val="20"/>
                <w:szCs w:val="20"/>
                <w:color w:val="auto"/>
              </w:rPr>
            </w:pPr>
            <w:r>
              <w:rPr>
                <w:rFonts w:ascii="Arial" w:cs="Arial" w:eastAsia="Arial" w:hAnsi="Arial"/>
                <w:sz w:val="14"/>
                <w:szCs w:val="14"/>
                <w:color w:val="131E29"/>
                <w:w w:val="89"/>
              </w:rPr>
              <w:t>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386,500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269,186</w:t>
            </w:r>
          </w:p>
        </w:tc>
        <w:tc>
          <w:tcPr>
            <w:tcW w:w="0" w:type="dxa"/>
            <w:vAlign w:val="bottom"/>
          </w:tcPr>
          <w:p>
            <w:pPr>
              <w:spacing w:after="0"/>
              <w:rPr>
                <w:sz w:val="1"/>
                <w:szCs w:val="1"/>
                <w:color w:val="auto"/>
              </w:rPr>
            </w:pPr>
          </w:p>
        </w:tc>
      </w:tr>
      <w:tr>
        <w:trPr>
          <w:trHeight w:val="222"/>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Land</w:t>
            </w:r>
          </w:p>
        </w:tc>
        <w:tc>
          <w:tcPr>
            <w:tcW w:w="580" w:type="dxa"/>
            <w:vAlign w:val="bottom"/>
            <w:shd w:val="clear" w:color="auto" w:fill="D2DCE5"/>
          </w:tcPr>
          <w:p>
            <w:pPr>
              <w:spacing w:after="0"/>
              <w:rPr>
                <w:sz w:val="19"/>
                <w:szCs w:val="19"/>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6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7,781</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7,338</w:t>
            </w:r>
          </w:p>
        </w:tc>
        <w:tc>
          <w:tcPr>
            <w:tcW w:w="0" w:type="dxa"/>
            <w:vAlign w:val="bottom"/>
          </w:tcPr>
          <w:p>
            <w:pPr>
              <w:spacing w:after="0"/>
              <w:rPr>
                <w:sz w:val="1"/>
                <w:szCs w:val="1"/>
                <w:color w:val="auto"/>
              </w:rPr>
            </w:pPr>
          </w:p>
        </w:tc>
      </w:tr>
      <w:tr>
        <w:trPr>
          <w:trHeight w:val="212"/>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 xml:space="preserve">Aircraft </w:t>
            </w:r>
            <w:r>
              <w:rPr>
                <w:rFonts w:ascii="Arial" w:cs="Arial" w:eastAsia="Arial" w:hAnsi="Arial"/>
                <w:sz w:val="18"/>
                <w:szCs w:val="18"/>
                <w:color w:val="131E29"/>
                <w:vertAlign w:val="superscript"/>
              </w:rPr>
              <w:t>1</w:t>
            </w:r>
          </w:p>
        </w:tc>
        <w:tc>
          <w:tcPr>
            <w:tcW w:w="5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131E29"/>
              </w:rPr>
              <w:t>N/A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9,195</w:t>
            </w:r>
          </w:p>
        </w:tc>
        <w:tc>
          <w:tcPr>
            <w:tcW w:w="0" w:type="dxa"/>
            <w:vAlign w:val="bottom"/>
          </w:tcPr>
          <w:p>
            <w:pPr>
              <w:spacing w:after="0"/>
              <w:rPr>
                <w:sz w:val="1"/>
                <w:szCs w:val="1"/>
                <w:color w:val="auto"/>
              </w:rPr>
            </w:pPr>
          </w:p>
        </w:tc>
      </w:tr>
      <w:tr>
        <w:trPr>
          <w:trHeight w:val="212"/>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Construction-in-progress </w:t>
            </w:r>
            <w:r>
              <w:rPr>
                <w:rFonts w:ascii="Arial" w:cs="Arial" w:eastAsia="Arial" w:hAnsi="Arial"/>
                <w:sz w:val="18"/>
                <w:szCs w:val="18"/>
                <w:color w:val="131E29"/>
                <w:vertAlign w:val="superscript"/>
              </w:rPr>
              <w:t>2</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6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167,962</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166,054</w:t>
            </w:r>
          </w:p>
        </w:tc>
        <w:tc>
          <w:tcPr>
            <w:tcW w:w="0" w:type="dxa"/>
            <w:vAlign w:val="bottom"/>
          </w:tcPr>
          <w:p>
            <w:pPr>
              <w:spacing w:after="0"/>
              <w:rPr>
                <w:sz w:val="1"/>
                <w:szCs w:val="1"/>
                <w:color w:val="auto"/>
              </w:rPr>
            </w:pPr>
          </w:p>
        </w:tc>
      </w:tr>
      <w:tr>
        <w:trPr>
          <w:trHeight w:val="193"/>
        </w:trPr>
        <w:tc>
          <w:tcPr>
            <w:tcW w:w="5900" w:type="dxa"/>
            <w:vAlign w:val="bottom"/>
            <w:gridSpan w:val="2"/>
          </w:tcPr>
          <w:p>
            <w:pPr>
              <w:ind w:left="20"/>
              <w:spacing w:after="0"/>
              <w:rPr>
                <w:sz w:val="20"/>
                <w:szCs w:val="20"/>
                <w:color w:val="auto"/>
              </w:rPr>
            </w:pPr>
            <w:r>
              <w:rPr>
                <w:rFonts w:ascii="Arial" w:cs="Arial" w:eastAsia="Arial" w:hAnsi="Arial"/>
                <w:sz w:val="14"/>
                <w:szCs w:val="14"/>
                <w:color w:val="131E29"/>
              </w:rPr>
              <w:t>Property and equipment, gross</w:t>
            </w: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822,958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131E29"/>
              </w:rPr>
              <w:t>658,778</w:t>
            </w:r>
          </w:p>
        </w:tc>
        <w:tc>
          <w:tcPr>
            <w:tcW w:w="0" w:type="dxa"/>
            <w:vAlign w:val="bottom"/>
          </w:tcPr>
          <w:p>
            <w:pPr>
              <w:spacing w:after="0"/>
              <w:rPr>
                <w:sz w:val="1"/>
                <w:szCs w:val="1"/>
                <w:color w:val="auto"/>
              </w:rPr>
            </w:pPr>
          </w:p>
        </w:tc>
      </w:tr>
      <w:tr>
        <w:trPr>
          <w:trHeight w:val="213"/>
        </w:trPr>
        <w:tc>
          <w:tcPr>
            <w:tcW w:w="59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accumulated depreciation</w:t>
            </w:r>
          </w:p>
        </w:tc>
        <w:tc>
          <w:tcPr>
            <w:tcW w:w="580" w:type="dxa"/>
            <w:vAlign w:val="bottom"/>
            <w:shd w:val="clear" w:color="auto" w:fill="D2DCE5"/>
          </w:tcPr>
          <w:p>
            <w:pPr>
              <w:spacing w:after="0"/>
              <w:rPr>
                <w:sz w:val="18"/>
                <w:szCs w:val="18"/>
                <w:color w:val="auto"/>
              </w:rPr>
            </w:pPr>
          </w:p>
        </w:tc>
        <w:tc>
          <w:tcPr>
            <w:tcW w:w="520" w:type="dxa"/>
            <w:vAlign w:val="bottom"/>
            <w:shd w:val="clear" w:color="auto" w:fill="D2DCE5"/>
          </w:tcPr>
          <w:p>
            <w:pPr>
              <w:spacing w:after="0"/>
              <w:rPr>
                <w:sz w:val="18"/>
                <w:szCs w:val="18"/>
                <w:color w:val="auto"/>
              </w:rPr>
            </w:pPr>
          </w:p>
        </w:tc>
        <w:tc>
          <w:tcPr>
            <w:tcW w:w="6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(160,199)</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(116,338)</w:t>
            </w:r>
          </w:p>
        </w:tc>
        <w:tc>
          <w:tcPr>
            <w:tcW w:w="0" w:type="dxa"/>
            <w:vAlign w:val="bottom"/>
          </w:tcPr>
          <w:p>
            <w:pPr>
              <w:spacing w:after="0"/>
              <w:rPr>
                <w:sz w:val="1"/>
                <w:szCs w:val="1"/>
                <w:color w:val="auto"/>
              </w:rPr>
            </w:pPr>
          </w:p>
        </w:tc>
      </w:tr>
      <w:tr>
        <w:trPr>
          <w:trHeight w:val="212"/>
        </w:trPr>
        <w:tc>
          <w:tcPr>
            <w:tcW w:w="5900" w:type="dxa"/>
            <w:vAlign w:val="bottom"/>
            <w:gridSpan w:val="2"/>
          </w:tcPr>
          <w:p>
            <w:pPr>
              <w:ind w:left="100"/>
              <w:spacing w:after="0"/>
              <w:rPr>
                <w:sz w:val="20"/>
                <w:szCs w:val="20"/>
                <w:color w:val="auto"/>
              </w:rPr>
            </w:pPr>
            <w:r>
              <w:rPr>
                <w:rFonts w:ascii="Arial" w:cs="Arial" w:eastAsia="Arial" w:hAnsi="Arial"/>
                <w:sz w:val="14"/>
                <w:szCs w:val="14"/>
                <w:color w:val="131E29"/>
              </w:rPr>
              <w:t>Property and equipment, net</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131E29"/>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662,759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560" w:type="dxa"/>
            <w:vAlign w:val="bottom"/>
          </w:tcPr>
          <w:p>
            <w:pPr>
              <w:jc w:val="right"/>
              <w:spacing w:after="0"/>
              <w:rPr>
                <w:sz w:val="20"/>
                <w:szCs w:val="20"/>
                <w:color w:val="auto"/>
              </w:rPr>
            </w:pPr>
            <w:r>
              <w:rPr>
                <w:rFonts w:ascii="Arial" w:cs="Arial" w:eastAsia="Arial" w:hAnsi="Arial"/>
                <w:sz w:val="14"/>
                <w:szCs w:val="14"/>
                <w:color w:val="131E29"/>
              </w:rPr>
              <w:t>542,440</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4"/>
                <w:szCs w:val="14"/>
                <w:color w:val="131E29"/>
              </w:rPr>
              <w:t>_______________</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5"/>
        <w:spacing w:after="0"/>
        <w:tabs>
          <w:tab w:leader="none" w:pos="140" w:val="left"/>
        </w:tabs>
        <w:numPr>
          <w:ilvl w:val="0"/>
          <w:numId w:val="3"/>
        </w:numPr>
        <w:rPr>
          <w:rFonts w:ascii="Arial" w:cs="Arial" w:eastAsia="Arial" w:hAnsi="Arial"/>
          <w:sz w:val="15"/>
          <w:szCs w:val="15"/>
          <w:color w:val="131E29"/>
          <w:vertAlign w:val="superscript"/>
        </w:rPr>
      </w:pPr>
      <w:r>
        <w:rPr>
          <w:rFonts w:ascii="Arial" w:cs="Arial" w:eastAsia="Arial" w:hAnsi="Arial"/>
          <w:sz w:val="11"/>
          <w:szCs w:val="11"/>
          <w:color w:val="131E29"/>
        </w:rPr>
        <w:t>Airplane, and hangar and related equipment, were sold to the Company’s Co-Founder in June 2024 and July 2024, respectively. See NOTE 16 — Related Party Transactions for additional information.</w:t>
      </w:r>
    </w:p>
    <w:p>
      <w:pPr>
        <w:spacing w:after="0" w:line="31" w:lineRule="exact"/>
        <w:rPr>
          <w:rFonts w:ascii="Arial" w:cs="Arial" w:eastAsia="Arial" w:hAnsi="Arial"/>
          <w:sz w:val="15"/>
          <w:szCs w:val="15"/>
          <w:color w:val="131E29"/>
          <w:vertAlign w:val="superscript"/>
        </w:rPr>
      </w:pPr>
    </w:p>
    <w:p>
      <w:pPr>
        <w:spacing w:after="0"/>
        <w:rPr>
          <w:rFonts w:ascii="Arial" w:cs="Arial" w:eastAsia="Arial" w:hAnsi="Arial"/>
          <w:sz w:val="15"/>
          <w:szCs w:val="15"/>
          <w:color w:val="131E29"/>
          <w:vertAlign w:val="superscript"/>
        </w:rPr>
      </w:pPr>
      <w:r>
        <w:rPr>
          <w:rFonts w:ascii="Arial" w:cs="Arial" w:eastAsia="Arial" w:hAnsi="Arial"/>
          <w:sz w:val="7"/>
          <w:szCs w:val="7"/>
          <w:color w:val="131E29"/>
        </w:rPr>
        <w:t xml:space="preserve">2  </w:t>
      </w:r>
      <w:r>
        <w:rPr>
          <w:rFonts w:ascii="Arial" w:cs="Arial" w:eastAsia="Arial" w:hAnsi="Arial"/>
          <w:sz w:val="11"/>
          <w:szCs w:val="11"/>
          <w:color w:val="131E29"/>
        </w:rPr>
        <w:t>Construction-in-progress primarily consists of construction and equipment costs for new and existing shops, as well as our new roasting facility in Texas.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131E29"/>
        </w:rPr>
        <w:t>Depreciation expense included in the Company’s condensed consolidated statements of operations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16,556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11,157</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45,579</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30,403</w:t>
            </w:r>
          </w:p>
        </w:tc>
      </w:tr>
      <w:tr>
        <w:trPr>
          <w:trHeight w:val="203"/>
        </w:trPr>
        <w:tc>
          <w:tcPr>
            <w:tcW w:w="57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373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408</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841</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1,235</w:t>
            </w:r>
          </w:p>
        </w:tc>
      </w:tr>
      <w:tr>
        <w:trPr>
          <w:trHeight w:val="237"/>
        </w:trPr>
        <w:tc>
          <w:tcPr>
            <w:tcW w:w="57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depreciation expense</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16,929</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11,565</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46,420</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31,638</w:t>
            </w:r>
          </w:p>
        </w:tc>
      </w:tr>
      <w:tr>
        <w:trPr>
          <w:trHeight w:val="20"/>
        </w:trPr>
        <w:tc>
          <w:tcPr>
            <w:tcW w:w="56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7 —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details of the intangible assets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6"/>
          </w:tcPr>
          <w:p>
            <w:pPr>
              <w:jc w:val="center"/>
              <w:spacing w:after="0"/>
              <w:rPr>
                <w:sz w:val="20"/>
                <w:szCs w:val="20"/>
                <w:color w:val="auto"/>
              </w:rPr>
            </w:pPr>
            <w:r>
              <w:rPr>
                <w:rFonts w:ascii="Arial" w:cs="Arial" w:eastAsia="Arial" w:hAnsi="Arial"/>
                <w:sz w:val="14"/>
                <w:szCs w:val="14"/>
                <w:b w:val="1"/>
                <w:bCs w:val="1"/>
                <w:color w:val="131E29"/>
              </w:rPr>
              <w:t>Weighted-average amortization</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131E29"/>
              </w:rPr>
              <w:t xml:space="preserve">period </w:t>
            </w:r>
            <w:r>
              <w:rPr>
                <w:rFonts w:ascii="Arial" w:cs="Arial" w:eastAsia="Arial" w:hAnsi="Arial"/>
                <w:sz w:val="11"/>
                <w:szCs w:val="11"/>
                <w:color w:val="131E29"/>
              </w:rPr>
              <w:t>(in years)</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760" w:type="dxa"/>
            <w:vAlign w:val="bottom"/>
            <w:tcBorders>
              <w:bottom w:val="single" w:sz="8" w:color="131E29"/>
            </w:tcBorders>
            <w:gridSpan w:val="3"/>
          </w:tcPr>
          <w:p>
            <w:pPr>
              <w:jc w:val="right"/>
              <w:ind w:right="149"/>
              <w:spacing w:after="0"/>
              <w:rPr>
                <w:sz w:val="20"/>
                <w:szCs w:val="20"/>
                <w:color w:val="auto"/>
              </w:rPr>
            </w:pPr>
            <w:r>
              <w:rPr>
                <w:rFonts w:ascii="Arial" w:cs="Arial" w:eastAsia="Arial" w:hAnsi="Arial"/>
                <w:sz w:val="14"/>
                <w:szCs w:val="14"/>
                <w:b w:val="1"/>
                <w:bCs w:val="1"/>
                <w:color w:val="131E29"/>
              </w:rPr>
              <w:t>September 30, 2024</w:t>
            </w:r>
          </w:p>
        </w:tc>
        <w:tc>
          <w:tcPr>
            <w:tcW w:w="2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720" w:type="dxa"/>
            <w:vAlign w:val="bottom"/>
            <w:tcBorders>
              <w:bottom w:val="single" w:sz="8" w:color="131E29"/>
            </w:tcBorders>
            <w:gridSpan w:val="4"/>
          </w:tcPr>
          <w:p>
            <w:pPr>
              <w:jc w:val="right"/>
              <w:ind w:right="149"/>
              <w:spacing w:after="0"/>
              <w:rPr>
                <w:sz w:val="20"/>
                <w:szCs w:val="20"/>
                <w:color w:val="auto"/>
              </w:rPr>
            </w:pPr>
            <w:r>
              <w:rPr>
                <w:rFonts w:ascii="Arial" w:cs="Arial" w:eastAsia="Arial" w:hAnsi="Arial"/>
                <w:sz w:val="14"/>
                <w:szCs w:val="14"/>
                <w:b w:val="1"/>
                <w:bCs w:val="1"/>
                <w:color w:val="131E29"/>
              </w:rPr>
              <w:t>December 31, 2023</w:t>
            </w: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Reacquired franchise rights</w:t>
            </w:r>
          </w:p>
        </w:tc>
        <w:tc>
          <w:tcPr>
            <w:tcW w:w="5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200" w:type="dxa"/>
            <w:vAlign w:val="bottom"/>
            <w:shd w:val="clear" w:color="auto" w:fill="D2DCE5"/>
          </w:tcPr>
          <w:p>
            <w:pPr>
              <w:jc w:val="center"/>
              <w:ind w:right="169"/>
              <w:spacing w:after="0"/>
              <w:rPr>
                <w:sz w:val="20"/>
                <w:szCs w:val="20"/>
                <w:color w:val="auto"/>
              </w:rPr>
            </w:pPr>
            <w:r>
              <w:rPr>
                <w:rFonts w:ascii="Arial" w:cs="Arial" w:eastAsia="Arial" w:hAnsi="Arial"/>
                <w:sz w:val="14"/>
                <w:szCs w:val="14"/>
                <w:color w:val="131E29"/>
              </w:rPr>
              <w:t>2.97</w:t>
            </w:r>
          </w:p>
        </w:tc>
        <w:tc>
          <w:tcPr>
            <w:tcW w:w="80" w:type="dxa"/>
            <w:vAlign w:val="bottom"/>
            <w:shd w:val="clear" w:color="auto" w:fill="D2DCE5"/>
          </w:tcPr>
          <w:p>
            <w:pPr>
              <w:spacing w:after="0"/>
              <w:rPr>
                <w:sz w:val="18"/>
                <w:szCs w:val="18"/>
                <w:color w:val="auto"/>
              </w:rPr>
            </w:pPr>
          </w:p>
        </w:tc>
        <w:tc>
          <w:tcPr>
            <w:tcW w:w="460" w:type="dxa"/>
            <w:vAlign w:val="bottom"/>
            <w:shd w:val="clear" w:color="auto" w:fill="D2DCE5"/>
          </w:tcPr>
          <w:p>
            <w:pPr>
              <w:spacing w:after="0"/>
              <w:rPr>
                <w:sz w:val="18"/>
                <w:szCs w:val="18"/>
                <w:color w:val="auto"/>
              </w:rPr>
            </w:pPr>
          </w:p>
        </w:tc>
        <w:tc>
          <w:tcPr>
            <w:tcW w:w="860" w:type="dxa"/>
            <w:vAlign w:val="bottom"/>
            <w:gridSpan w:val="2"/>
            <w:shd w:val="clear" w:color="auto" w:fill="D2DCE5"/>
          </w:tcPr>
          <w:p>
            <w:pPr>
              <w:jc w:val="right"/>
              <w:ind w:right="62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9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27,049</w:t>
            </w:r>
          </w:p>
        </w:tc>
        <w:tc>
          <w:tcPr>
            <w:tcW w:w="420" w:type="dxa"/>
            <w:vAlign w:val="bottom"/>
            <w:gridSpan w:val="3"/>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27,049</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accumulated amortization</w:t>
            </w:r>
          </w:p>
        </w:tc>
        <w:tc>
          <w:tcPr>
            <w:tcW w:w="5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D2DCE5"/>
            </w:tcBorders>
          </w:tcPr>
          <w:p>
            <w:pPr>
              <w:spacing w:after="0"/>
              <w:rPr>
                <w:sz w:val="17"/>
                <w:szCs w:val="17"/>
                <w:color w:val="auto"/>
              </w:rPr>
            </w:pPr>
          </w:p>
        </w:tc>
        <w:tc>
          <w:tcPr>
            <w:tcW w:w="120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4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(23,594)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(21,634)</w:t>
            </w:r>
          </w:p>
        </w:tc>
        <w:tc>
          <w:tcPr>
            <w:tcW w:w="0" w:type="dxa"/>
            <w:vAlign w:val="bottom"/>
          </w:tcPr>
          <w:p>
            <w:pPr>
              <w:spacing w:after="0"/>
              <w:rPr>
                <w:sz w:val="1"/>
                <w:szCs w:val="1"/>
                <w:color w:val="auto"/>
              </w:rPr>
            </w:pPr>
          </w:p>
        </w:tc>
      </w:tr>
      <w:tr>
        <w:trPr>
          <w:trHeight w:val="232"/>
        </w:trPr>
        <w:tc>
          <w:tcPr>
            <w:tcW w:w="510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Intangibles, net</w:t>
            </w:r>
          </w:p>
        </w:tc>
        <w:tc>
          <w:tcPr>
            <w:tcW w:w="5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120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460" w:type="dxa"/>
            <w:vAlign w:val="bottom"/>
            <w:shd w:val="clear" w:color="auto" w:fill="D2DCE5"/>
          </w:tcPr>
          <w:p>
            <w:pPr>
              <w:spacing w:after="0"/>
              <w:rPr>
                <w:sz w:val="20"/>
                <w:szCs w:val="20"/>
                <w:color w:val="auto"/>
              </w:rPr>
            </w:pPr>
          </w:p>
        </w:tc>
        <w:tc>
          <w:tcPr>
            <w:tcW w:w="860" w:type="dxa"/>
            <w:vAlign w:val="bottom"/>
            <w:gridSpan w:val="2"/>
            <w:shd w:val="clear" w:color="auto" w:fill="D2DCE5"/>
          </w:tcPr>
          <w:p>
            <w:pPr>
              <w:jc w:val="right"/>
              <w:ind w:right="62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20"/>
                <w:szCs w:val="20"/>
                <w:color w:val="auto"/>
              </w:rPr>
            </w:pPr>
          </w:p>
        </w:tc>
        <w:tc>
          <w:tcPr>
            <w:tcW w:w="9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3,455</w:t>
            </w:r>
          </w:p>
        </w:tc>
        <w:tc>
          <w:tcPr>
            <w:tcW w:w="420" w:type="dxa"/>
            <w:vAlign w:val="bottom"/>
            <w:gridSpan w:val="3"/>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20"/>
                <w:szCs w:val="20"/>
                <w:color w:val="auto"/>
              </w:rPr>
            </w:pPr>
          </w:p>
        </w:tc>
        <w:tc>
          <w:tcPr>
            <w:tcW w:w="300" w:type="dxa"/>
            <w:vAlign w:val="bottom"/>
            <w:shd w:val="clear" w:color="auto" w:fill="D2DCE5"/>
          </w:tcPr>
          <w:p>
            <w:pPr>
              <w:spacing w:after="0"/>
              <w:rPr>
                <w:sz w:val="20"/>
                <w:szCs w:val="20"/>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5,415</w:t>
            </w:r>
          </w:p>
        </w:tc>
        <w:tc>
          <w:tcPr>
            <w:tcW w:w="0" w:type="dxa"/>
            <w:vAlign w:val="bottom"/>
          </w:tcPr>
          <w:p>
            <w:pPr>
              <w:spacing w:after="0"/>
              <w:rPr>
                <w:sz w:val="1"/>
                <w:szCs w:val="1"/>
                <w:color w:val="auto"/>
              </w:rPr>
            </w:pPr>
          </w:p>
        </w:tc>
      </w:tr>
      <w:tr>
        <w:trPr>
          <w:trHeight w:val="20"/>
        </w:trPr>
        <w:tc>
          <w:tcPr>
            <w:tcW w:w="7620" w:type="dxa"/>
            <w:vAlign w:val="bottom"/>
            <w:tcBorders>
              <w:top w:val="single" w:sz="8" w:color="D2DCE5"/>
              <w:bottom w:val="single" w:sz="8" w:color="D2DCE5"/>
            </w:tcBorders>
            <w:gridSpan w:val="8"/>
            <w:vMerge w:val="restart"/>
          </w:tcPr>
          <w:p>
            <w:pPr>
              <w:spacing w:after="0"/>
              <w:rPr>
                <w:sz w:val="20"/>
                <w:szCs w:val="20"/>
                <w:color w:val="auto"/>
              </w:rPr>
            </w:pPr>
            <w:r>
              <w:rPr>
                <w:rFonts w:ascii="Arial" w:cs="Arial" w:eastAsia="Arial" w:hAnsi="Arial"/>
                <w:sz w:val="14"/>
                <w:szCs w:val="14"/>
                <w:color w:val="131E29"/>
              </w:rPr>
              <w:t>Amortization expense included in the Company’s condensed consolidated statements of operations was as follows:</w:t>
            </w:r>
          </w:p>
        </w:tc>
        <w:tc>
          <w:tcPr>
            <w:tcW w:w="80" w:type="dxa"/>
            <w:vAlign w:val="bottom"/>
            <w:tcBorders>
              <w:top w:val="single" w:sz="8" w:color="D2DCE5"/>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62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ind w:left="40"/>
              <w:spacing w:after="0"/>
              <w:rPr>
                <w:sz w:val="20"/>
                <w:szCs w:val="20"/>
                <w:color w:val="auto"/>
              </w:rPr>
            </w:pPr>
            <w:r>
              <w:rPr>
                <w:rFonts w:ascii="Arial" w:cs="Arial" w:eastAsia="Arial" w:hAnsi="Arial"/>
                <w:sz w:val="14"/>
                <w:szCs w:val="14"/>
                <w:b w:val="1"/>
                <w:bCs w:val="1"/>
                <w:color w:val="131E29"/>
              </w:rPr>
              <w:t>Three Months Ended September 30,</w:t>
            </w:r>
          </w:p>
        </w:tc>
        <w:tc>
          <w:tcPr>
            <w:tcW w:w="2720" w:type="dxa"/>
            <w:vAlign w:val="bottom"/>
            <w:gridSpan w:val="7"/>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131E29"/>
              </w:rPr>
              <w:t>2024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780" w:type="dxa"/>
            <w:vAlign w:val="bottom"/>
            <w:gridSpan w:val="3"/>
            <w:shd w:val="clear" w:color="auto" w:fill="D2DCE5"/>
          </w:tcPr>
          <w:p>
            <w:pPr>
              <w:jc w:val="right"/>
              <w:ind w:right="2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508</w:t>
            </w:r>
          </w:p>
        </w:tc>
        <w:tc>
          <w:tcPr>
            <w:tcW w:w="80" w:type="dxa"/>
            <w:vAlign w:val="bottom"/>
            <w:shd w:val="clear" w:color="auto" w:fill="D2DCE5"/>
          </w:tcPr>
          <w:p>
            <w:pPr>
              <w:spacing w:after="0"/>
              <w:rPr>
                <w:sz w:val="19"/>
                <w:szCs w:val="19"/>
                <w:color w:val="auto"/>
              </w:rPr>
            </w:pPr>
          </w:p>
        </w:tc>
        <w:tc>
          <w:tcPr>
            <w:tcW w:w="460" w:type="dxa"/>
            <w:vAlign w:val="bottom"/>
            <w:shd w:val="clear" w:color="auto" w:fill="D2DCE5"/>
          </w:tcPr>
          <w:p>
            <w:pPr>
              <w:jc w:val="right"/>
              <w:ind w:right="289"/>
              <w:spacing w:after="0"/>
              <w:rPr>
                <w:sz w:val="20"/>
                <w:szCs w:val="20"/>
                <w:color w:val="auto"/>
              </w:rPr>
            </w:pPr>
            <w:r>
              <w:rPr>
                <w:rFonts w:ascii="Arial" w:cs="Arial" w:eastAsia="Arial" w:hAnsi="Arial"/>
                <w:sz w:val="14"/>
                <w:szCs w:val="14"/>
                <w:color w:val="131E29"/>
              </w:rPr>
              <w:t>$</w:t>
            </w:r>
          </w:p>
        </w:tc>
        <w:tc>
          <w:tcPr>
            <w:tcW w:w="8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820</w:t>
            </w:r>
          </w:p>
        </w:tc>
        <w:tc>
          <w:tcPr>
            <w:tcW w:w="80" w:type="dxa"/>
            <w:vAlign w:val="bottom"/>
            <w:shd w:val="clear" w:color="auto" w:fill="D2DCE5"/>
          </w:tcPr>
          <w:p>
            <w:pPr>
              <w:spacing w:after="0"/>
              <w:rPr>
                <w:sz w:val="19"/>
                <w:szCs w:val="19"/>
                <w:color w:val="auto"/>
              </w:rPr>
            </w:pPr>
          </w:p>
        </w:tc>
        <w:tc>
          <w:tcPr>
            <w:tcW w:w="900" w:type="dxa"/>
            <w:vAlign w:val="bottom"/>
            <w:shd w:val="clear" w:color="auto" w:fill="D2DCE5"/>
          </w:tcPr>
          <w:p>
            <w:pPr>
              <w:jc w:val="right"/>
              <w:ind w:right="729"/>
              <w:spacing w:after="0"/>
              <w:rPr>
                <w:sz w:val="20"/>
                <w:szCs w:val="20"/>
                <w:color w:val="auto"/>
              </w:rPr>
            </w:pPr>
            <w:r>
              <w:rPr>
                <w:rFonts w:ascii="Arial" w:cs="Arial" w:eastAsia="Arial" w:hAnsi="Arial"/>
                <w:sz w:val="14"/>
                <w:szCs w:val="14"/>
                <w:color w:val="131E29"/>
              </w:rPr>
              <w:t>$</w:t>
            </w:r>
          </w:p>
        </w:tc>
        <w:tc>
          <w:tcPr>
            <w:tcW w:w="4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w w:val="96"/>
              </w:rPr>
              <w:t>1,960</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2,589</w:t>
            </w:r>
          </w:p>
        </w:tc>
        <w:tc>
          <w:tcPr>
            <w:tcW w:w="0" w:type="dxa"/>
            <w:vAlign w:val="bottom"/>
          </w:tcPr>
          <w:p>
            <w:pPr>
              <w:spacing w:after="0"/>
              <w:rPr>
                <w:sz w:val="1"/>
                <w:szCs w:val="1"/>
                <w:color w:val="auto"/>
              </w:rPr>
            </w:pPr>
          </w:p>
        </w:tc>
      </w:tr>
      <w:tr>
        <w:trPr>
          <w:trHeight w:val="20"/>
        </w:trPr>
        <w:tc>
          <w:tcPr>
            <w:tcW w:w="50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8 — Leases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A summary of finance and operating lease right-of-use assets and lease liabilities as of September 30, 2024 and December 31, 2023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131E29"/>
              </w:rPr>
              <w:t>September 30,</w:t>
            </w:r>
          </w:p>
        </w:tc>
        <w:tc>
          <w:tcPr>
            <w:tcW w:w="300" w:type="dxa"/>
            <w:vAlign w:val="bottom"/>
          </w:tcPr>
          <w:p>
            <w:pPr>
              <w:spacing w:after="0"/>
              <w:rPr>
                <w:sz w:val="14"/>
                <w:szCs w:val="14"/>
                <w:color w:val="auto"/>
              </w:rPr>
            </w:pPr>
          </w:p>
        </w:tc>
        <w:tc>
          <w:tcPr>
            <w:tcW w:w="1620" w:type="dxa"/>
            <w:vAlign w:val="bottom"/>
          </w:tcPr>
          <w:p>
            <w:pPr>
              <w:jc w:val="right"/>
              <w:ind w:right="429"/>
              <w:spacing w:after="0"/>
              <w:rPr>
                <w:sz w:val="20"/>
                <w:szCs w:val="20"/>
                <w:color w:val="auto"/>
              </w:rPr>
            </w:pPr>
            <w:r>
              <w:rPr>
                <w:rFonts w:ascii="Arial" w:cs="Arial" w:eastAsia="Arial" w:hAnsi="Arial"/>
                <w:sz w:val="14"/>
                <w:szCs w:val="14"/>
                <w:b w:val="1"/>
                <w:bCs w:val="1"/>
                <w:color w:val="131E29"/>
              </w:rPr>
              <w:t>December 31,</w:t>
            </w:r>
          </w:p>
        </w:tc>
      </w:tr>
      <w:tr>
        <w:trPr>
          <w:trHeight w:val="20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41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131E29"/>
              </w:rPr>
              <w:t>Balance Sheet Classification</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31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w:t>
            </w:r>
          </w:p>
        </w:tc>
        <w:tc>
          <w:tcPr>
            <w:tcW w:w="4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20" w:type="dxa"/>
            <w:vAlign w:val="bottom"/>
            <w:shd w:val="clear" w:color="auto" w:fill="D2DCE5"/>
          </w:tcPr>
          <w:p>
            <w:pPr>
              <w:spacing w:after="0"/>
              <w:rPr>
                <w:sz w:val="18"/>
                <w:szCs w:val="18"/>
                <w:color w:val="auto"/>
              </w:rPr>
            </w:pPr>
          </w:p>
        </w:tc>
      </w:tr>
      <w:tr>
        <w:trPr>
          <w:trHeight w:val="202"/>
        </w:trPr>
        <w:tc>
          <w:tcPr>
            <w:tcW w:w="310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4240" w:type="dxa"/>
            <w:vAlign w:val="bottom"/>
            <w:gridSpan w:val="2"/>
          </w:tcPr>
          <w:p>
            <w:pPr>
              <w:spacing w:after="0"/>
              <w:rPr>
                <w:sz w:val="20"/>
                <w:szCs w:val="20"/>
                <w:color w:val="auto"/>
              </w:rPr>
            </w:pPr>
            <w:r>
              <w:rPr>
                <w:rFonts w:ascii="Arial" w:cs="Arial" w:eastAsia="Arial" w:hAnsi="Arial"/>
                <w:sz w:val="14"/>
                <w:szCs w:val="14"/>
                <w:color w:val="131E29"/>
              </w:rPr>
              <w:t>Finance lease right-of-use assets, net</w:t>
            </w:r>
          </w:p>
        </w:tc>
        <w:tc>
          <w:tcPr>
            <w:tcW w:w="280" w:type="dxa"/>
            <w:vAlign w:val="bottom"/>
          </w:tcPr>
          <w:p>
            <w:pPr>
              <w:jc w:val="right"/>
              <w:ind w:right="129"/>
              <w:spacing w:after="0"/>
              <w:rPr>
                <w:sz w:val="20"/>
                <w:szCs w:val="20"/>
                <w:color w:val="auto"/>
              </w:rPr>
            </w:pPr>
            <w:r>
              <w:rPr>
                <w:rFonts w:ascii="Arial" w:cs="Arial" w:eastAsia="Arial" w:hAnsi="Arial"/>
                <w:sz w:val="14"/>
                <w:szCs w:val="14"/>
                <w:color w:val="131E29"/>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377,561</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131E29"/>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382,734</w:t>
            </w:r>
          </w:p>
        </w:tc>
      </w:tr>
      <w:tr>
        <w:trPr>
          <w:trHeight w:val="213"/>
        </w:trPr>
        <w:tc>
          <w:tcPr>
            <w:tcW w:w="3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42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Operating lease right-of-use assets, net</w:t>
            </w:r>
          </w:p>
        </w:tc>
        <w:tc>
          <w:tcPr>
            <w:tcW w:w="28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301,896</w:t>
            </w:r>
          </w:p>
        </w:tc>
        <w:tc>
          <w:tcPr>
            <w:tcW w:w="10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199,673</w:t>
            </w:r>
          </w:p>
        </w:tc>
      </w:tr>
      <w:tr>
        <w:trPr>
          <w:trHeight w:val="212"/>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right-of-use assets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679,457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582,407</w:t>
            </w:r>
          </w:p>
        </w:tc>
      </w:tr>
      <w:tr>
        <w:trPr>
          <w:trHeight w:val="20"/>
        </w:trPr>
        <w:tc>
          <w:tcPr>
            <w:tcW w:w="300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1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3"/>
        </w:trPr>
        <w:tc>
          <w:tcPr>
            <w:tcW w:w="30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41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16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620" w:type="dxa"/>
            <w:vAlign w:val="bottom"/>
            <w:shd w:val="clear" w:color="auto" w:fill="D2DCE5"/>
          </w:tcPr>
          <w:p>
            <w:pPr>
              <w:spacing w:after="0"/>
              <w:rPr>
                <w:sz w:val="15"/>
                <w:szCs w:val="15"/>
                <w:color w:val="auto"/>
              </w:rPr>
            </w:pPr>
          </w:p>
        </w:tc>
      </w:tr>
      <w:tr>
        <w:trPr>
          <w:trHeight w:val="206"/>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131E29"/>
              </w:rPr>
              <w:t>Lease liabilities</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8"/>
        </w:trPr>
        <w:tc>
          <w:tcPr>
            <w:tcW w:w="31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Finance leases</w:t>
            </w:r>
          </w:p>
        </w:tc>
        <w:tc>
          <w:tcPr>
            <w:tcW w:w="42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Current portion of finance lease liabilities</w:t>
            </w:r>
          </w:p>
        </w:tc>
        <w:tc>
          <w:tcPr>
            <w:tcW w:w="28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w w:val="76"/>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12,845</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9,482</w:t>
            </w:r>
          </w:p>
        </w:tc>
      </w:tr>
      <w:tr>
        <w:trPr>
          <w:trHeight w:val="202"/>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131E29"/>
              </w:rPr>
              <w:t>Finance lease liabilities, net of current portion</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369,206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367,775</w:t>
            </w:r>
          </w:p>
        </w:tc>
      </w:tr>
      <w:tr>
        <w:trPr>
          <w:trHeight w:val="222"/>
        </w:trPr>
        <w:tc>
          <w:tcPr>
            <w:tcW w:w="30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1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6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20" w:type="dxa"/>
            <w:vAlign w:val="bottom"/>
            <w:shd w:val="clear" w:color="auto" w:fill="D2DCE5"/>
          </w:tcPr>
          <w:p>
            <w:pPr>
              <w:spacing w:after="0"/>
              <w:rPr>
                <w:sz w:val="19"/>
                <w:szCs w:val="19"/>
                <w:color w:val="auto"/>
              </w:rPr>
            </w:pPr>
          </w:p>
        </w:tc>
      </w:tr>
      <w:tr>
        <w:trPr>
          <w:trHeight w:val="202"/>
        </w:trPr>
        <w:tc>
          <w:tcPr>
            <w:tcW w:w="3100" w:type="dxa"/>
            <w:vAlign w:val="bottom"/>
            <w:gridSpan w:val="2"/>
          </w:tcPr>
          <w:p>
            <w:pPr>
              <w:ind w:left="140"/>
              <w:spacing w:after="0"/>
              <w:rPr>
                <w:sz w:val="20"/>
                <w:szCs w:val="20"/>
                <w:color w:val="auto"/>
              </w:rPr>
            </w:pPr>
            <w:r>
              <w:rPr>
                <w:rFonts w:ascii="Arial" w:cs="Arial" w:eastAsia="Arial" w:hAnsi="Arial"/>
                <w:sz w:val="14"/>
                <w:szCs w:val="14"/>
                <w:color w:val="131E29"/>
              </w:rPr>
              <w:t>Operating leases</w:t>
            </w:r>
          </w:p>
        </w:tc>
        <w:tc>
          <w:tcPr>
            <w:tcW w:w="4240" w:type="dxa"/>
            <w:vAlign w:val="bottom"/>
            <w:gridSpan w:val="2"/>
          </w:tcPr>
          <w:p>
            <w:pPr>
              <w:spacing w:after="0"/>
              <w:rPr>
                <w:sz w:val="20"/>
                <w:szCs w:val="20"/>
                <w:color w:val="auto"/>
              </w:rPr>
            </w:pPr>
            <w:r>
              <w:rPr>
                <w:rFonts w:ascii="Arial" w:cs="Arial" w:eastAsia="Arial" w:hAnsi="Arial"/>
                <w:sz w:val="14"/>
                <w:szCs w:val="14"/>
                <w:color w:val="131E29"/>
              </w:rPr>
              <w:t>Current portion of operating lease liabilities</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12,987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10,239</w:t>
            </w:r>
          </w:p>
        </w:tc>
      </w:tr>
      <w:tr>
        <w:trPr>
          <w:trHeight w:val="213"/>
        </w:trPr>
        <w:tc>
          <w:tcPr>
            <w:tcW w:w="30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2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Operating lease liabilities, net of current portion</w:t>
            </w:r>
          </w:p>
        </w:tc>
        <w:tc>
          <w:tcPr>
            <w:tcW w:w="28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293,474</w:t>
            </w:r>
          </w:p>
        </w:tc>
        <w:tc>
          <w:tcPr>
            <w:tcW w:w="10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191,419</w:t>
            </w:r>
          </w:p>
        </w:tc>
      </w:tr>
      <w:tr>
        <w:trPr>
          <w:trHeight w:val="212"/>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131E29"/>
              </w:rPr>
              <w:t>Total lease liabilities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688,512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578,915</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2" w:name="page23"/>
    <w:bookmarkEnd w:id="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The components of lease costs were as follows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131E29"/>
              </w:rPr>
              <w:t>Three Months Ended September</w:t>
            </w:r>
          </w:p>
        </w:tc>
        <w:tc>
          <w:tcPr>
            <w:tcW w:w="2240" w:type="dxa"/>
            <w:vAlign w:val="bottom"/>
            <w:gridSpan w:val="6"/>
          </w:tcPr>
          <w:p>
            <w:pPr>
              <w:jc w:val="right"/>
              <w:ind w:right="9"/>
              <w:spacing w:after="0"/>
              <w:rPr>
                <w:sz w:val="20"/>
                <w:szCs w:val="20"/>
                <w:color w:val="auto"/>
              </w:rPr>
            </w:pPr>
            <w:r>
              <w:rPr>
                <w:rFonts w:ascii="Arial" w:cs="Arial" w:eastAsia="Arial" w:hAnsi="Arial"/>
                <w:sz w:val="14"/>
                <w:szCs w:val="14"/>
                <w:b w:val="1"/>
                <w:bCs w:val="1"/>
                <w:color w:val="131E29"/>
              </w:rPr>
              <w:t>Nine Months Ended September</w:t>
            </w:r>
          </w:p>
        </w:tc>
      </w:tr>
      <w:tr>
        <w:trPr>
          <w:trHeight w:val="200"/>
        </w:trPr>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131E29"/>
              </w:rPr>
              <w:t>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131E29"/>
                <w:w w:val="92"/>
              </w:rPr>
              <w:t>30,</w:t>
            </w:r>
          </w:p>
        </w:tc>
        <w:tc>
          <w:tcPr>
            <w:tcW w:w="840" w:type="dxa"/>
            <w:vAlign w:val="bottom"/>
            <w:tcBorders>
              <w:bottom w:val="single" w:sz="8" w:color="auto"/>
            </w:tcBorders>
          </w:tcPr>
          <w:p>
            <w:pPr>
              <w:spacing w:after="0"/>
              <w:rPr>
                <w:sz w:val="17"/>
                <w:szCs w:val="17"/>
                <w:color w:val="auto"/>
              </w:rPr>
            </w:pPr>
          </w:p>
        </w:tc>
      </w:tr>
      <w:tr>
        <w:trPr>
          <w:trHeight w:val="20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131E29"/>
              </w:rPr>
              <w:t>Statements of Operations Classification</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131E29"/>
              </w:rPr>
              <w:t>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131E29"/>
              </w:rPr>
              <w:t>2023</w:t>
            </w:r>
          </w:p>
        </w:tc>
      </w:tr>
      <w:tr>
        <w:trPr>
          <w:trHeight w:val="209"/>
        </w:trPr>
        <w:tc>
          <w:tcPr>
            <w:tcW w:w="3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Finance lease costs</w:t>
            </w:r>
          </w:p>
        </w:tc>
        <w:tc>
          <w:tcPr>
            <w:tcW w:w="3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r>
      <w:tr>
        <w:trPr>
          <w:trHeight w:val="202"/>
        </w:trPr>
        <w:tc>
          <w:tcPr>
            <w:tcW w:w="3500" w:type="dxa"/>
            <w:vAlign w:val="bottom"/>
            <w:gridSpan w:val="2"/>
          </w:tcPr>
          <w:p>
            <w:pPr>
              <w:ind w:left="140"/>
              <w:spacing w:after="0"/>
              <w:rPr>
                <w:sz w:val="20"/>
                <w:szCs w:val="20"/>
                <w:color w:val="auto"/>
              </w:rPr>
            </w:pPr>
            <w:r>
              <w:rPr>
                <w:rFonts w:ascii="Arial" w:cs="Arial" w:eastAsia="Arial" w:hAnsi="Arial"/>
                <w:sz w:val="14"/>
                <w:szCs w:val="14"/>
                <w:color w:val="131E29"/>
              </w:rPr>
              <w:t>Amortization of right-of-use assets</w:t>
            </w:r>
          </w:p>
        </w:tc>
        <w:tc>
          <w:tcPr>
            <w:tcW w:w="322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240" w:type="dxa"/>
            <w:vAlign w:val="bottom"/>
          </w:tcPr>
          <w:p>
            <w:pPr>
              <w:ind w:left="2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6,429</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131E29"/>
              </w:rPr>
              <w:t>$</w:t>
            </w:r>
          </w:p>
        </w:tc>
        <w:tc>
          <w:tcPr>
            <w:tcW w:w="820" w:type="dxa"/>
            <w:vAlign w:val="bottom"/>
          </w:tcPr>
          <w:p>
            <w:pPr>
              <w:jc w:val="right"/>
              <w:spacing w:after="0"/>
              <w:rPr>
                <w:sz w:val="20"/>
                <w:szCs w:val="20"/>
                <w:color w:val="auto"/>
              </w:rPr>
            </w:pPr>
            <w:r>
              <w:rPr>
                <w:rFonts w:ascii="Arial" w:cs="Arial" w:eastAsia="Arial" w:hAnsi="Arial"/>
                <w:sz w:val="14"/>
                <w:szCs w:val="14"/>
                <w:color w:val="131E29"/>
              </w:rPr>
              <w:t>5,726</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131E29"/>
                <w:w w:val="76"/>
              </w:rPr>
              <w:t>$</w:t>
            </w:r>
          </w:p>
        </w:tc>
        <w:tc>
          <w:tcPr>
            <w:tcW w:w="780" w:type="dxa"/>
            <w:vAlign w:val="bottom"/>
          </w:tcPr>
          <w:p>
            <w:pPr>
              <w:jc w:val="right"/>
              <w:spacing w:after="0"/>
              <w:rPr>
                <w:sz w:val="20"/>
                <w:szCs w:val="20"/>
                <w:color w:val="auto"/>
              </w:rPr>
            </w:pPr>
            <w:r>
              <w:rPr>
                <w:rFonts w:ascii="Arial" w:cs="Arial" w:eastAsia="Arial" w:hAnsi="Arial"/>
                <w:sz w:val="14"/>
                <w:szCs w:val="14"/>
                <w:color w:val="131E29"/>
              </w:rPr>
              <w:t>19,059</w:t>
            </w:r>
          </w:p>
        </w:tc>
        <w:tc>
          <w:tcPr>
            <w:tcW w:w="380" w:type="dxa"/>
            <w:vAlign w:val="bottom"/>
            <w:gridSpan w:val="3"/>
          </w:tcPr>
          <w:p>
            <w:pPr>
              <w:jc w:val="right"/>
              <w:ind w:right="14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15,169</w:t>
            </w:r>
          </w:p>
        </w:tc>
      </w:tr>
      <w:tr>
        <w:trPr>
          <w:trHeight w:val="222"/>
        </w:trPr>
        <w:tc>
          <w:tcPr>
            <w:tcW w:w="35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Amortization of right-of-use assets</w:t>
            </w:r>
          </w:p>
        </w:tc>
        <w:tc>
          <w:tcPr>
            <w:tcW w:w="32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24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w:t>
            </w: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w:t>
            </w: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w:t>
            </w:r>
          </w:p>
        </w:tc>
        <w:tc>
          <w:tcPr>
            <w:tcW w:w="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w:t>
            </w:r>
          </w:p>
        </w:tc>
      </w:tr>
      <w:tr>
        <w:trPr>
          <w:trHeight w:val="203"/>
        </w:trPr>
        <w:tc>
          <w:tcPr>
            <w:tcW w:w="35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Interest on lease liabilities</w:t>
            </w:r>
          </w:p>
        </w:tc>
        <w:tc>
          <w:tcPr>
            <w:tcW w:w="32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5,541</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4,755</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16,499</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12,344</w:t>
            </w:r>
          </w:p>
        </w:tc>
      </w:tr>
      <w:tr>
        <w:trPr>
          <w:trHeight w:val="212"/>
        </w:trPr>
        <w:tc>
          <w:tcPr>
            <w:tcW w:w="35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Total finance lease costs</w:t>
            </w:r>
          </w:p>
        </w:tc>
        <w:tc>
          <w:tcPr>
            <w:tcW w:w="3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11,985</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10,486</w:t>
            </w: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35,603</w:t>
            </w:r>
          </w:p>
        </w:tc>
        <w:tc>
          <w:tcPr>
            <w:tcW w:w="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27,528</w:t>
            </w:r>
          </w:p>
        </w:tc>
      </w:tr>
      <w:tr>
        <w:trPr>
          <w:trHeight w:val="212"/>
        </w:trPr>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35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Operating lease costs</w:t>
            </w:r>
          </w:p>
        </w:tc>
        <w:tc>
          <w:tcPr>
            <w:tcW w:w="3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r>
      <w:tr>
        <w:trPr>
          <w:trHeight w:val="202"/>
        </w:trPr>
        <w:tc>
          <w:tcPr>
            <w:tcW w:w="3500" w:type="dxa"/>
            <w:vAlign w:val="bottom"/>
            <w:gridSpan w:val="2"/>
          </w:tcPr>
          <w:p>
            <w:pPr>
              <w:ind w:left="140"/>
              <w:spacing w:after="0"/>
              <w:rPr>
                <w:sz w:val="20"/>
                <w:szCs w:val="20"/>
                <w:color w:val="auto"/>
              </w:rPr>
            </w:pPr>
            <w:r>
              <w:rPr>
                <w:rFonts w:ascii="Arial" w:cs="Arial" w:eastAsia="Arial" w:hAnsi="Arial"/>
                <w:sz w:val="14"/>
                <w:szCs w:val="14"/>
                <w:color w:val="131E29"/>
              </w:rPr>
              <w:t>Lease expenses</w:t>
            </w:r>
          </w:p>
        </w:tc>
        <w:tc>
          <w:tcPr>
            <w:tcW w:w="3220" w:type="dxa"/>
            <w:vAlign w:val="bottom"/>
            <w:gridSpan w:val="2"/>
          </w:tcPr>
          <w:p>
            <w:pPr>
              <w:ind w:left="20"/>
              <w:spacing w:after="0"/>
              <w:rPr>
                <w:sz w:val="20"/>
                <w:szCs w:val="20"/>
                <w:color w:val="auto"/>
              </w:rPr>
            </w:pPr>
            <w:r>
              <w:rPr>
                <w:rFonts w:ascii="Arial" w:cs="Arial" w:eastAsia="Arial" w:hAnsi="Arial"/>
                <w:sz w:val="14"/>
                <w:szCs w:val="14"/>
                <w:color w:val="131E29"/>
              </w:rPr>
              <w:t>Cost of sales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7,656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31E29"/>
              </w:rPr>
              <w:t>4,887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20,568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14,061</w:t>
            </w:r>
          </w:p>
        </w:tc>
      </w:tr>
      <w:tr>
        <w:trPr>
          <w:trHeight w:val="222"/>
        </w:trPr>
        <w:tc>
          <w:tcPr>
            <w:tcW w:w="35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Lease expenses</w:t>
            </w:r>
          </w:p>
        </w:tc>
        <w:tc>
          <w:tcPr>
            <w:tcW w:w="32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240" w:type="dxa"/>
            <w:vAlign w:val="bottom"/>
            <w:tcBorders>
              <w:bottom w:val="single" w:sz="8" w:color="auto"/>
            </w:tcBorders>
            <w:shd w:val="clear" w:color="auto" w:fill="D2DCE5"/>
          </w:tcPr>
          <w:p>
            <w:pPr>
              <w:spacing w:after="0"/>
              <w:rPr>
                <w:sz w:val="19"/>
                <w:szCs w:val="19"/>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680</w:t>
            </w:r>
          </w:p>
        </w:tc>
        <w:tc>
          <w:tcPr>
            <w:tcW w:w="80" w:type="dxa"/>
            <w:vAlign w:val="bottom"/>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spacing w:after="0"/>
              <w:rPr>
                <w:sz w:val="19"/>
                <w:szCs w:val="19"/>
                <w:color w:val="auto"/>
              </w:rPr>
            </w:pPr>
          </w:p>
        </w:tc>
        <w:tc>
          <w:tcPr>
            <w:tcW w:w="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w:t>
            </w:r>
          </w:p>
        </w:tc>
        <w:tc>
          <w:tcPr>
            <w:tcW w:w="100" w:type="dxa"/>
            <w:vAlign w:val="bottom"/>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spacing w:after="0"/>
              <w:rPr>
                <w:sz w:val="19"/>
                <w:szCs w:val="19"/>
                <w:color w:val="auto"/>
              </w:rPr>
            </w:pP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959</w:t>
            </w:r>
          </w:p>
        </w:tc>
        <w:tc>
          <w:tcPr>
            <w:tcW w:w="60" w:type="dxa"/>
            <w:vAlign w:val="bottom"/>
            <w:tcBorders>
              <w:bottom w:val="single" w:sz="8" w:color="auto"/>
            </w:tcBorders>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spacing w:after="0"/>
              <w:rPr>
                <w:sz w:val="19"/>
                <w:szCs w:val="19"/>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w:t>
            </w:r>
          </w:p>
        </w:tc>
      </w:tr>
      <w:tr>
        <w:trPr>
          <w:trHeight w:val="193"/>
        </w:trPr>
        <w:tc>
          <w:tcPr>
            <w:tcW w:w="3500" w:type="dxa"/>
            <w:vAlign w:val="bottom"/>
            <w:gridSpan w:val="2"/>
          </w:tcPr>
          <w:p>
            <w:pPr>
              <w:ind w:left="280"/>
              <w:spacing w:after="0"/>
              <w:rPr>
                <w:sz w:val="20"/>
                <w:szCs w:val="20"/>
                <w:color w:val="auto"/>
              </w:rPr>
            </w:pPr>
            <w:r>
              <w:rPr>
                <w:rFonts w:ascii="Arial" w:cs="Arial" w:eastAsia="Arial" w:hAnsi="Arial"/>
                <w:sz w:val="14"/>
                <w:szCs w:val="14"/>
                <w:color w:val="131E29"/>
              </w:rPr>
              <w:t>Total operating lease costs</w:t>
            </w: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8,336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131E29"/>
              </w:rPr>
              <w:t>4,899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21,527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14,097</w:t>
            </w:r>
          </w:p>
        </w:tc>
      </w:tr>
      <w:tr>
        <w:trPr>
          <w:trHeight w:val="222"/>
        </w:trPr>
        <w:tc>
          <w:tcPr>
            <w:tcW w:w="34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1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r>
      <w:tr>
        <w:trPr>
          <w:trHeight w:val="203"/>
        </w:trPr>
        <w:tc>
          <w:tcPr>
            <w:tcW w:w="35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Variable lease costs</w:t>
            </w:r>
          </w:p>
        </w:tc>
        <w:tc>
          <w:tcPr>
            <w:tcW w:w="32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Cost of sales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1,747</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990</w:t>
            </w:r>
          </w:p>
        </w:tc>
        <w:tc>
          <w:tcPr>
            <w:tcW w:w="10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4,871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3,434</w:t>
            </w:r>
          </w:p>
        </w:tc>
      </w:tr>
      <w:tr>
        <w:trPr>
          <w:trHeight w:val="232"/>
        </w:trPr>
        <w:tc>
          <w:tcPr>
            <w:tcW w:w="35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Total lease costs</w:t>
            </w:r>
          </w:p>
        </w:tc>
        <w:tc>
          <w:tcPr>
            <w:tcW w:w="31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22,068</w:t>
            </w:r>
          </w:p>
        </w:tc>
        <w:tc>
          <w:tcPr>
            <w:tcW w:w="80" w:type="dxa"/>
            <w:vAlign w:val="bottom"/>
            <w:shd w:val="clear" w:color="auto" w:fill="D2DCE5"/>
          </w:tcPr>
          <w:p>
            <w:pPr>
              <w:spacing w:after="0"/>
              <w:rPr>
                <w:sz w:val="20"/>
                <w:szCs w:val="20"/>
                <w:color w:val="auto"/>
              </w:rPr>
            </w:pPr>
          </w:p>
        </w:tc>
        <w:tc>
          <w:tcPr>
            <w:tcW w:w="24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16,375</w:t>
            </w: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62,001</w:t>
            </w:r>
          </w:p>
        </w:tc>
        <w:tc>
          <w:tcPr>
            <w:tcW w:w="380" w:type="dxa"/>
            <w:vAlign w:val="bottom"/>
            <w:gridSpan w:val="3"/>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45,059</w:t>
            </w:r>
          </w:p>
        </w:tc>
      </w:tr>
      <w:tr>
        <w:trPr>
          <w:trHeight w:val="20"/>
        </w:trPr>
        <w:tc>
          <w:tcPr>
            <w:tcW w:w="34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1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131E29"/>
        </w:rPr>
        <w:t>Supplemental cash flow information related to leases is as follows for the periods presented:</w:t>
      </w:r>
    </w:p>
    <w:p>
      <w:pPr>
        <w:spacing w:after="0" w:line="17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28575</wp:posOffset>
            </wp:positionV>
            <wp:extent cx="17246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Cash paid for amounts included in the measurement of lease liabilities:</w:t>
            </w: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r>
      <w:tr>
        <w:trPr>
          <w:trHeight w:val="202"/>
        </w:trPr>
        <w:tc>
          <w:tcPr>
            <w:tcW w:w="8560" w:type="dxa"/>
            <w:vAlign w:val="bottom"/>
            <w:gridSpan w:val="2"/>
          </w:tcPr>
          <w:p>
            <w:pPr>
              <w:ind w:left="140"/>
              <w:spacing w:after="0"/>
              <w:rPr>
                <w:sz w:val="20"/>
                <w:szCs w:val="20"/>
                <w:color w:val="auto"/>
              </w:rPr>
            </w:pPr>
            <w:r>
              <w:rPr>
                <w:rFonts w:ascii="Arial" w:cs="Arial" w:eastAsia="Arial" w:hAnsi="Arial"/>
                <w:sz w:val="14"/>
                <w:szCs w:val="14"/>
                <w:color w:val="131E29"/>
              </w:rPr>
              <w:t>Operating cash flows from finance leases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16,499</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12,344</w:t>
            </w:r>
          </w:p>
        </w:tc>
      </w:tr>
      <w:tr>
        <w:trPr>
          <w:trHeight w:val="222"/>
        </w:trPr>
        <w:tc>
          <w:tcPr>
            <w:tcW w:w="85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cash flows from operating leases</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17,086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13,378</w:t>
            </w:r>
          </w:p>
        </w:tc>
      </w:tr>
      <w:tr>
        <w:trPr>
          <w:trHeight w:val="202"/>
        </w:trPr>
        <w:tc>
          <w:tcPr>
            <w:tcW w:w="8560" w:type="dxa"/>
            <w:vAlign w:val="bottom"/>
            <w:gridSpan w:val="2"/>
          </w:tcPr>
          <w:p>
            <w:pPr>
              <w:ind w:left="140"/>
              <w:spacing w:after="0"/>
              <w:rPr>
                <w:sz w:val="20"/>
                <w:szCs w:val="20"/>
                <w:color w:val="auto"/>
              </w:rPr>
            </w:pPr>
            <w:r>
              <w:rPr>
                <w:rFonts w:ascii="Arial" w:cs="Arial" w:eastAsia="Arial" w:hAnsi="Arial"/>
                <w:sz w:val="14"/>
                <w:szCs w:val="14"/>
                <w:color w:val="131E29"/>
              </w:rPr>
              <w:t>Financing cash flows from finance leases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7,726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10,556</w:t>
            </w:r>
          </w:p>
        </w:tc>
      </w:tr>
      <w:tr>
        <w:trPr>
          <w:trHeight w:val="222"/>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 obtained in exchange for lease obligations:</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r>
      <w:tr>
        <w:trPr>
          <w:trHeight w:val="202"/>
        </w:trPr>
        <w:tc>
          <w:tcPr>
            <w:tcW w:w="856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12,520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122,990</w:t>
            </w:r>
          </w:p>
        </w:tc>
      </w:tr>
      <w:tr>
        <w:trPr>
          <w:trHeight w:val="222"/>
        </w:trPr>
        <w:tc>
          <w:tcPr>
            <w:tcW w:w="85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112,579</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28,626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9 — Debt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On February 20, 2024, the Company drew $150 million on its delayed draw term loan facility before this portion expired on February 28, 2024. The remaining $50 million of the delayed draw term loan is available until February 2025.</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condensed consolidated statements of operations.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September 30, 2024, no amounts were outstanding on the Company’s revolving credit facility, and $ 347.2 million was available for borrowing, net of $2.8 million in letters of credit, and approximately $237.8 million of principal was outstanding on the term loan facilities. The term loans bear interest at approximately 6.70% as of September 30, 2024, excluding the impact from the Company’s interest rate swap. The Company was in compliance with its financial covenants as of that date.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4" w:name="page25"/>
    <w:bookmarkEnd w:id="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Long-Term Debt</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640" w:type="dxa"/>
            <w:vAlign w:val="bottom"/>
            <w:gridSpan w:val="2"/>
          </w:tcPr>
          <w:p>
            <w:pPr>
              <w:spacing w:after="0"/>
              <w:rPr>
                <w:sz w:val="20"/>
                <w:szCs w:val="20"/>
                <w:color w:val="auto"/>
              </w:rPr>
            </w:pPr>
            <w:r>
              <w:rPr>
                <w:rFonts w:ascii="Arial" w:cs="Arial" w:eastAsia="Arial" w:hAnsi="Arial"/>
                <w:sz w:val="14"/>
                <w:szCs w:val="14"/>
                <w:color w:val="131E29"/>
              </w:rPr>
              <w:t>The Company’s long-term debt consisted of the following for the periods presented:</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24"/>
                <w:szCs w:val="24"/>
                <w:color w:val="auto"/>
              </w:rPr>
            </w:pPr>
          </w:p>
        </w:tc>
        <w:tc>
          <w:tcPr>
            <w:tcW w:w="180" w:type="dxa"/>
            <w:vAlign w:val="bottom"/>
            <w:tcBorders>
              <w:bottom w:val="single" w:sz="8" w:color="131E29"/>
            </w:tcBorders>
          </w:tcPr>
          <w:p>
            <w:pPr>
              <w:spacing w:after="0"/>
              <w:rPr>
                <w:sz w:val="24"/>
                <w:szCs w:val="24"/>
                <w:color w:val="auto"/>
              </w:rPr>
            </w:pPr>
          </w:p>
        </w:tc>
        <w:tc>
          <w:tcPr>
            <w:tcW w:w="1660" w:type="dxa"/>
            <w:vAlign w:val="bottom"/>
            <w:tcBorders>
              <w:bottom w:val="single" w:sz="8" w:color="131E29"/>
            </w:tcBorders>
          </w:tcPr>
          <w:p>
            <w:pPr>
              <w:jc w:val="right"/>
              <w:ind w:right="189"/>
              <w:spacing w:after="0"/>
              <w:rPr>
                <w:sz w:val="20"/>
                <w:szCs w:val="20"/>
                <w:color w:val="auto"/>
              </w:rPr>
            </w:pPr>
            <w:r>
              <w:rPr>
                <w:rFonts w:ascii="Arial" w:cs="Arial" w:eastAsia="Arial" w:hAnsi="Arial"/>
                <w:sz w:val="14"/>
                <w:szCs w:val="14"/>
                <w:b w:val="1"/>
                <w:bCs w:val="1"/>
                <w:color w:val="131E29"/>
              </w:rPr>
              <w:t>September 30, 2024</w:t>
            </w:r>
          </w:p>
        </w:tc>
        <w:tc>
          <w:tcPr>
            <w:tcW w:w="80" w:type="dxa"/>
            <w:vAlign w:val="bottom"/>
            <w:tcBorders>
              <w:bottom w:val="single" w:sz="8" w:color="D2DCE5"/>
            </w:tcBorders>
          </w:tcPr>
          <w:p>
            <w:pPr>
              <w:spacing w:after="0"/>
              <w:rPr>
                <w:sz w:val="24"/>
                <w:szCs w:val="24"/>
                <w:color w:val="auto"/>
              </w:rPr>
            </w:pPr>
          </w:p>
        </w:tc>
        <w:tc>
          <w:tcPr>
            <w:tcW w:w="6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1560" w:type="dxa"/>
            <w:vAlign w:val="bottom"/>
            <w:tcBorders>
              <w:bottom w:val="single" w:sz="8" w:color="131E29"/>
            </w:tcBorders>
            <w:gridSpan w:val="2"/>
          </w:tcPr>
          <w:p>
            <w:pPr>
              <w:jc w:val="right"/>
              <w:ind w:right="149"/>
              <w:spacing w:after="0"/>
              <w:rPr>
                <w:sz w:val="20"/>
                <w:szCs w:val="20"/>
                <w:color w:val="auto"/>
              </w:rPr>
            </w:pPr>
            <w:r>
              <w:rPr>
                <w:rFonts w:ascii="Arial" w:cs="Arial" w:eastAsia="Arial" w:hAnsi="Arial"/>
                <w:sz w:val="14"/>
                <w:szCs w:val="14"/>
                <w:b w:val="1"/>
                <w:bCs w:val="1"/>
                <w:color w:val="131E29"/>
              </w:rPr>
              <w:t>December 31, 2023</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Term loans under credit facility</w:t>
            </w:r>
          </w:p>
        </w:tc>
        <w:tc>
          <w:tcPr>
            <w:tcW w:w="1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w w:val="76"/>
              </w:rPr>
              <w:t>$</w:t>
            </w:r>
          </w:p>
        </w:tc>
        <w:tc>
          <w:tcPr>
            <w:tcW w:w="1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237,813</w:t>
            </w:r>
          </w:p>
        </w:tc>
        <w:tc>
          <w:tcPr>
            <w:tcW w:w="80" w:type="dxa"/>
            <w:vAlign w:val="bottom"/>
            <w:shd w:val="clear" w:color="auto" w:fill="D2DCE5"/>
          </w:tcPr>
          <w:p>
            <w:pPr>
              <w:spacing w:after="0"/>
              <w:rPr>
                <w:sz w:val="18"/>
                <w:szCs w:val="18"/>
                <w:color w:val="auto"/>
              </w:rPr>
            </w:pPr>
          </w:p>
        </w:tc>
        <w:tc>
          <w:tcPr>
            <w:tcW w:w="160" w:type="dxa"/>
            <w:vAlign w:val="bottom"/>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w:t>
            </w:r>
          </w:p>
        </w:tc>
        <w:tc>
          <w:tcPr>
            <w:tcW w:w="54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95,625</w:t>
            </w:r>
          </w:p>
        </w:tc>
        <w:tc>
          <w:tcPr>
            <w:tcW w:w="0" w:type="dxa"/>
            <w:vAlign w:val="bottom"/>
          </w:tcPr>
          <w:p>
            <w:pPr>
              <w:spacing w:after="0"/>
              <w:rPr>
                <w:sz w:val="1"/>
                <w:szCs w:val="1"/>
                <w:color w:val="auto"/>
              </w:rPr>
            </w:pPr>
          </w:p>
        </w:tc>
      </w:tr>
      <w:tr>
        <w:trPr>
          <w:trHeight w:val="212"/>
        </w:trPr>
        <w:tc>
          <w:tcPr>
            <w:tcW w:w="7640" w:type="dxa"/>
            <w:vAlign w:val="bottom"/>
            <w:gridSpan w:val="2"/>
          </w:tcPr>
          <w:p>
            <w:pPr>
              <w:ind w:left="20"/>
              <w:spacing w:after="0"/>
              <w:rPr>
                <w:sz w:val="20"/>
                <w:szCs w:val="20"/>
                <w:color w:val="auto"/>
              </w:rPr>
            </w:pPr>
            <w:r>
              <w:rPr>
                <w:rFonts w:ascii="Arial" w:cs="Arial" w:eastAsia="Arial" w:hAnsi="Arial"/>
                <w:sz w:val="14"/>
                <w:szCs w:val="14"/>
                <w:color w:val="131E29"/>
              </w:rPr>
              <w:t>Finance obligation</w:t>
            </w:r>
            <w:r>
              <w:rPr>
                <w:rFonts w:ascii="Arial" w:cs="Arial" w:eastAsia="Arial" w:hAnsi="Arial"/>
                <w:sz w:val="18"/>
                <w:szCs w:val="18"/>
                <w:color w:val="131E29"/>
                <w:vertAlign w:val="superscript"/>
              </w:rPr>
              <w:t>1</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3,022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3,022</w:t>
            </w:r>
          </w:p>
        </w:tc>
        <w:tc>
          <w:tcPr>
            <w:tcW w:w="0" w:type="dxa"/>
            <w:vAlign w:val="bottom"/>
          </w:tcPr>
          <w:p>
            <w:pPr>
              <w:spacing w:after="0"/>
              <w:rPr>
                <w:sz w:val="1"/>
                <w:szCs w:val="1"/>
                <w:color w:val="auto"/>
              </w:rPr>
            </w:pPr>
          </w:p>
        </w:tc>
      </w:tr>
      <w:tr>
        <w:trPr>
          <w:trHeight w:val="212"/>
        </w:trPr>
        <w:tc>
          <w:tcPr>
            <w:tcW w:w="76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Unsecured note payable</w:t>
            </w:r>
          </w:p>
        </w:tc>
        <w:tc>
          <w:tcPr>
            <w:tcW w:w="180" w:type="dxa"/>
            <w:vAlign w:val="bottom"/>
            <w:tcBorders>
              <w:bottom w:val="single" w:sz="8" w:color="auto"/>
            </w:tcBorders>
            <w:shd w:val="clear" w:color="auto" w:fill="D2DCE5"/>
          </w:tcPr>
          <w:p>
            <w:pPr>
              <w:spacing w:after="0"/>
              <w:rPr>
                <w:sz w:val="18"/>
                <w:szCs w:val="18"/>
                <w:color w:val="auto"/>
              </w:rPr>
            </w:pP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329</w:t>
            </w:r>
          </w:p>
        </w:tc>
        <w:tc>
          <w:tcPr>
            <w:tcW w:w="80" w:type="dxa"/>
            <w:vAlign w:val="bottom"/>
            <w:shd w:val="clear" w:color="auto" w:fill="D2DCE5"/>
          </w:tcPr>
          <w:p>
            <w:pPr>
              <w:spacing w:after="0"/>
              <w:rPr>
                <w:sz w:val="18"/>
                <w:szCs w:val="18"/>
                <w:color w:val="auto"/>
              </w:rPr>
            </w:pPr>
          </w:p>
        </w:tc>
        <w:tc>
          <w:tcPr>
            <w:tcW w:w="60" w:type="dxa"/>
            <w:vAlign w:val="bottom"/>
            <w:tcBorders>
              <w:bottom w:val="single" w:sz="8" w:color="auto"/>
            </w:tcBorders>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54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415</w:t>
            </w:r>
          </w:p>
        </w:tc>
        <w:tc>
          <w:tcPr>
            <w:tcW w:w="0" w:type="dxa"/>
            <w:vAlign w:val="bottom"/>
          </w:tcPr>
          <w:p>
            <w:pPr>
              <w:spacing w:after="0"/>
              <w:rPr>
                <w:sz w:val="1"/>
                <w:szCs w:val="1"/>
                <w:color w:val="auto"/>
              </w:rPr>
            </w:pPr>
          </w:p>
        </w:tc>
      </w:tr>
      <w:tr>
        <w:trPr>
          <w:trHeight w:val="193"/>
        </w:trPr>
        <w:tc>
          <w:tcPr>
            <w:tcW w:w="7640" w:type="dxa"/>
            <w:vAlign w:val="bottom"/>
            <w:gridSpan w:val="2"/>
          </w:tcPr>
          <w:p>
            <w:pPr>
              <w:ind w:left="140"/>
              <w:spacing w:after="0"/>
              <w:rPr>
                <w:sz w:val="20"/>
                <w:szCs w:val="20"/>
                <w:color w:val="auto"/>
              </w:rPr>
            </w:pPr>
            <w:r>
              <w:rPr>
                <w:rFonts w:ascii="Arial" w:cs="Arial" w:eastAsia="Arial" w:hAnsi="Arial"/>
                <w:sz w:val="14"/>
                <w:szCs w:val="14"/>
                <w:color w:val="131E29"/>
              </w:rPr>
              <w:t>Total debt</w:t>
            </w: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241,164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99,062</w:t>
            </w:r>
          </w:p>
        </w:tc>
        <w:tc>
          <w:tcPr>
            <w:tcW w:w="0" w:type="dxa"/>
            <w:vAlign w:val="bottom"/>
          </w:tcPr>
          <w:p>
            <w:pPr>
              <w:spacing w:after="0"/>
              <w:rPr>
                <w:sz w:val="1"/>
                <w:szCs w:val="1"/>
                <w:color w:val="auto"/>
              </w:rPr>
            </w:pPr>
          </w:p>
        </w:tc>
      </w:tr>
      <w:tr>
        <w:trPr>
          <w:trHeight w:val="222"/>
        </w:trPr>
        <w:tc>
          <w:tcPr>
            <w:tcW w:w="76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loan origination fees</w:t>
            </w:r>
          </w:p>
        </w:tc>
        <w:tc>
          <w:tcPr>
            <w:tcW w:w="180" w:type="dxa"/>
            <w:vAlign w:val="bottom"/>
            <w:shd w:val="clear" w:color="auto" w:fill="D2DCE5"/>
          </w:tcPr>
          <w:p>
            <w:pPr>
              <w:spacing w:after="0"/>
              <w:rPr>
                <w:sz w:val="19"/>
                <w:szCs w:val="19"/>
                <w:color w:val="auto"/>
              </w:rPr>
            </w:pPr>
          </w:p>
        </w:tc>
        <w:tc>
          <w:tcPr>
            <w:tcW w:w="1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(1,057)</w:t>
            </w:r>
          </w:p>
        </w:tc>
        <w:tc>
          <w:tcPr>
            <w:tcW w:w="8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(1,396)</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(15,746)</w:t>
            </w:r>
          </w:p>
        </w:tc>
        <w:tc>
          <w:tcPr>
            <w:tcW w:w="80" w:type="dxa"/>
            <w:vAlign w:val="bottom"/>
            <w:tcBorders>
              <w:bottom w:val="single" w:sz="8" w:color="D2DCE5"/>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(4,491)</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long-term debt, net of current portion</w:t>
            </w:r>
          </w:p>
        </w:tc>
        <w:tc>
          <w:tcPr>
            <w:tcW w:w="18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w w:val="76"/>
              </w:rPr>
              <w:t>$</w:t>
            </w: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224,361</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w:t>
            </w:r>
          </w:p>
        </w:tc>
        <w:tc>
          <w:tcPr>
            <w:tcW w:w="540" w:type="dxa"/>
            <w:vAlign w:val="bottom"/>
            <w:tcBorders>
              <w:bottom w:val="single" w:sz="8" w:color="auto"/>
            </w:tcBorders>
            <w:shd w:val="clear" w:color="auto" w:fill="D2DCE5"/>
          </w:tcPr>
          <w:p>
            <w:pPr>
              <w:spacing w:after="0"/>
              <w:rPr>
                <w:sz w:val="20"/>
                <w:szCs w:val="20"/>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93,175</w:t>
            </w:r>
          </w:p>
        </w:tc>
        <w:tc>
          <w:tcPr>
            <w:tcW w:w="0" w:type="dxa"/>
            <w:vAlign w:val="bottom"/>
          </w:tcPr>
          <w:p>
            <w:pPr>
              <w:spacing w:after="0"/>
              <w:rPr>
                <w:sz w:val="1"/>
                <w:szCs w:val="1"/>
                <w:color w:val="auto"/>
              </w:rPr>
            </w:pPr>
          </w:p>
        </w:tc>
      </w:tr>
      <w:tr>
        <w:trPr>
          <w:trHeight w:val="20"/>
        </w:trPr>
        <w:tc>
          <w:tcPr>
            <w:tcW w:w="754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w:t>
            </w: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640" w:type="dxa"/>
            <w:vAlign w:val="bottom"/>
            <w:gridSpan w:val="2"/>
          </w:tcPr>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Represents failed sale-leaseback arrangements.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40" w:type="dxa"/>
            <w:vAlign w:val="bottom"/>
            <w:gridSpan w:val="2"/>
          </w:tcPr>
          <w:p>
            <w:pPr>
              <w:spacing w:after="0"/>
              <w:rPr>
                <w:sz w:val="20"/>
                <w:szCs w:val="20"/>
                <w:color w:val="auto"/>
              </w:rPr>
            </w:pPr>
            <w:r>
              <w:rPr>
                <w:rFonts w:ascii="Arial" w:cs="Arial" w:eastAsia="Arial" w:hAnsi="Arial"/>
                <w:sz w:val="14"/>
                <w:szCs w:val="14"/>
                <w:color w:val="131E29"/>
              </w:rPr>
              <w:t>Future annual maturities of long-term debt as of September 30, 2024 are as follows: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Remainder of 2024</w:t>
            </w:r>
          </w:p>
        </w:tc>
        <w:tc>
          <w:tcPr>
            <w:tcW w:w="180" w:type="dxa"/>
            <w:vAlign w:val="bottom"/>
            <w:shd w:val="clear" w:color="auto" w:fill="D2DCE5"/>
          </w:tcPr>
          <w:p>
            <w:pPr>
              <w:spacing w:after="0"/>
              <w:rPr>
                <w:sz w:val="18"/>
                <w:szCs w:val="18"/>
                <w:color w:val="auto"/>
              </w:rPr>
            </w:pPr>
          </w:p>
        </w:tc>
        <w:tc>
          <w:tcPr>
            <w:tcW w:w="16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700" w:type="dxa"/>
            <w:vAlign w:val="bottom"/>
            <w:gridSpan w:val="3"/>
            <w:shd w:val="clear" w:color="auto" w:fill="D2DCE5"/>
          </w:tcPr>
          <w:p>
            <w:pPr>
              <w:jc w:val="right"/>
              <w:ind w:right="38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3,155</w:t>
            </w: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17,311</w:t>
            </w:r>
          </w:p>
        </w:tc>
        <w:tc>
          <w:tcPr>
            <w:tcW w:w="0" w:type="dxa"/>
            <w:vAlign w:val="bottom"/>
          </w:tcPr>
          <w:p>
            <w:pPr>
              <w:spacing w:after="0"/>
              <w:rPr>
                <w:sz w:val="1"/>
                <w:szCs w:val="1"/>
                <w:color w:val="auto"/>
              </w:rPr>
            </w:pPr>
          </w:p>
        </w:tc>
      </w:tr>
      <w:tr>
        <w:trPr>
          <w:trHeight w:val="222"/>
        </w:trPr>
        <w:tc>
          <w:tcPr>
            <w:tcW w:w="754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32,943</w:t>
            </w: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184,733</w:t>
            </w:r>
          </w:p>
        </w:tc>
        <w:tc>
          <w:tcPr>
            <w:tcW w:w="0" w:type="dxa"/>
            <w:vAlign w:val="bottom"/>
          </w:tcPr>
          <w:p>
            <w:pPr>
              <w:spacing w:after="0"/>
              <w:rPr>
                <w:sz w:val="1"/>
                <w:szCs w:val="1"/>
                <w:color w:val="auto"/>
              </w:rPr>
            </w:pPr>
          </w:p>
        </w:tc>
      </w:tr>
      <w:tr>
        <w:trPr>
          <w:trHeight w:val="222"/>
        </w:trPr>
        <w:tc>
          <w:tcPr>
            <w:tcW w:w="754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2028</w:t>
            </w:r>
          </w:p>
        </w:tc>
        <w:tc>
          <w:tcPr>
            <w:tcW w:w="10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180" w:type="dxa"/>
            <w:vAlign w:val="bottom"/>
            <w:tcBorders>
              <w:bottom w:val="single" w:sz="8" w:color="D2DCE5"/>
            </w:tcBorders>
          </w:tcPr>
          <w:p>
            <w:pPr>
              <w:spacing w:after="0"/>
              <w:rPr>
                <w:sz w:val="17"/>
                <w:szCs w:val="17"/>
                <w:color w:val="auto"/>
              </w:rPr>
            </w:pPr>
          </w:p>
        </w:tc>
        <w:tc>
          <w:tcPr>
            <w:tcW w:w="166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6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3,022</w:t>
            </w:r>
          </w:p>
        </w:tc>
        <w:tc>
          <w:tcPr>
            <w:tcW w:w="0" w:type="dxa"/>
            <w:vAlign w:val="bottom"/>
          </w:tcPr>
          <w:p>
            <w:pPr>
              <w:spacing w:after="0"/>
              <w:rPr>
                <w:sz w:val="1"/>
                <w:szCs w:val="1"/>
                <w:color w:val="auto"/>
              </w:rPr>
            </w:pPr>
          </w:p>
        </w:tc>
      </w:tr>
      <w:tr>
        <w:trPr>
          <w:trHeight w:val="232"/>
        </w:trPr>
        <w:tc>
          <w:tcPr>
            <w:tcW w:w="76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w:t>
            </w:r>
          </w:p>
        </w:tc>
        <w:tc>
          <w:tcPr>
            <w:tcW w:w="180" w:type="dxa"/>
            <w:vAlign w:val="bottom"/>
            <w:shd w:val="clear" w:color="auto" w:fill="D2DCE5"/>
          </w:tcPr>
          <w:p>
            <w:pPr>
              <w:spacing w:after="0"/>
              <w:rPr>
                <w:sz w:val="20"/>
                <w:szCs w:val="20"/>
                <w:color w:val="auto"/>
              </w:rPr>
            </w:pPr>
          </w:p>
        </w:tc>
        <w:tc>
          <w:tcPr>
            <w:tcW w:w="166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700" w:type="dxa"/>
            <w:vAlign w:val="bottom"/>
            <w:gridSpan w:val="3"/>
            <w:shd w:val="clear" w:color="auto" w:fill="D2DCE5"/>
          </w:tcPr>
          <w:p>
            <w:pPr>
              <w:jc w:val="right"/>
              <w:ind w:right="38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241,164</w:t>
            </w:r>
          </w:p>
        </w:tc>
        <w:tc>
          <w:tcPr>
            <w:tcW w:w="0" w:type="dxa"/>
            <w:vAlign w:val="bottom"/>
          </w:tcPr>
          <w:p>
            <w:pPr>
              <w:spacing w:after="0"/>
              <w:rPr>
                <w:sz w:val="1"/>
                <w:szCs w:val="1"/>
                <w:color w:val="auto"/>
              </w:rPr>
            </w:pPr>
          </w:p>
        </w:tc>
      </w:tr>
      <w:tr>
        <w:trPr>
          <w:trHeight w:val="20"/>
        </w:trPr>
        <w:tc>
          <w:tcPr>
            <w:tcW w:w="75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tcBorders>
          </w:tcPr>
          <w:p>
            <w:pPr>
              <w:spacing w:after="0" w:line="20" w:lineRule="exact"/>
              <w:rPr>
                <w:sz w:val="1"/>
                <w:szCs w:val="1"/>
                <w:color w:val="auto"/>
              </w:rPr>
            </w:pPr>
          </w:p>
        </w:tc>
        <w:tc>
          <w:tcPr>
            <w:tcW w:w="166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10 — Derivative Financial Instruments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Company has a receive-variable (Receive Leg), pay-fixed (Pay Leg) interest rate swap with JPMorgan Chase Bank, N.A. As of September 30, 2024, the interest rate swap had a notional amount of approximately $64.8 million and hedges interest rate risk on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September 30, 2024, the one-month adjusted term SOFR was 4.85%.</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September 30, 2024, the Company expects to reclassify a gain of approximately $0.8 million from AOCI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5" w:name="page26"/>
    <w:bookmarkEnd w:id="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Designated as a Level 2 instrument within the fair value hierarchy, the fair value and effect of the derivative instrument included in the Company’s consolidated financial statements was as follows:</w:t>
      </w:r>
    </w:p>
    <w:p>
      <w:pPr>
        <w:sectPr>
          <w:pgSz w:w="11900" w:h="16838" w:orient="portrait"/>
          <w:cols w:equalWidth="0" w:num="1">
            <w:col w:w="11280"/>
          </w:cols>
          <w:pgMar w:left="300" w:top="133" w:right="319" w:bottom="1440" w:gutter="0" w:footer="0" w:header="0"/>
        </w:sect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131E29"/>
        </w:rPr>
        <w:t>Balance Sheets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28575</wp:posOffset>
            </wp:positionV>
            <wp:extent cx="7161530" cy="141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131E29"/>
        </w:rPr>
        <w:t>September 30,</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131E29"/>
        </w:rPr>
        <w:t>2024</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131E29"/>
        </w:rPr>
        <w:t>December 31,</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131E29"/>
        </w:rPr>
        <w:t>2023</w:t>
      </w:r>
    </w:p>
    <w:p>
      <w:pPr>
        <w:spacing w:after="0" w:line="48" w:lineRule="exact"/>
        <w:rPr>
          <w:sz w:val="20"/>
          <w:szCs w:val="20"/>
          <w:color w:val="auto"/>
        </w:rPr>
      </w:pPr>
    </w:p>
    <w:p>
      <w:pPr>
        <w:sectPr>
          <w:pgSz w:w="11900" w:h="16838" w:orient="portrait"/>
          <w:cols w:equalWidth="0" w:num="4">
            <w:col w:w="3420" w:space="720"/>
            <w:col w:w="2360" w:space="720"/>
            <w:col w:w="1680" w:space="720"/>
            <w:col w:w="1660"/>
          </w:cols>
          <w:pgMar w:left="300" w:top="133" w:right="319" w:bottom="1440" w:gutter="0" w:footer="0" w:header="0"/>
          <w:type w:val="continuous"/>
        </w:sectPr>
      </w:pPr>
    </w:p>
    <w:p>
      <w:pPr>
        <w:ind w:left="20"/>
        <w:spacing w:after="0"/>
        <w:rPr>
          <w:sz w:val="20"/>
          <w:szCs w:val="20"/>
          <w:color w:val="auto"/>
        </w:rPr>
      </w:pPr>
      <w:r>
        <w:rPr>
          <w:rFonts w:ascii="Arial" w:cs="Arial" w:eastAsia="Arial" w:hAnsi="Arial"/>
          <w:sz w:val="14"/>
          <w:szCs w:val="14"/>
          <w:color w:val="131E29"/>
        </w:rPr>
        <w:t>Derivative instrument designated as cash flow hedge: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gridSpan w:val="2"/>
          </w:tcPr>
          <w:p>
            <w:pPr>
              <w:ind w:left="100"/>
              <w:spacing w:after="0"/>
              <w:rPr>
                <w:sz w:val="20"/>
                <w:szCs w:val="20"/>
                <w:color w:val="auto"/>
              </w:rPr>
            </w:pPr>
            <w:r>
              <w:rPr>
                <w:rFonts w:ascii="Arial" w:cs="Arial" w:eastAsia="Arial" w:hAnsi="Arial"/>
                <w:sz w:val="14"/>
                <w:szCs w:val="14"/>
                <w:color w:val="131E29"/>
              </w:rPr>
              <w:t>Interest rate swap contract</w:t>
            </w:r>
          </w:p>
        </w:tc>
        <w:tc>
          <w:tcPr>
            <w:tcW w:w="3800" w:type="dxa"/>
            <w:vAlign w:val="bottom"/>
            <w:gridSpan w:val="7"/>
          </w:tcPr>
          <w:p>
            <w:pPr>
              <w:ind w:left="720"/>
              <w:spacing w:after="0"/>
              <w:rPr>
                <w:sz w:val="20"/>
                <w:szCs w:val="20"/>
                <w:color w:val="auto"/>
              </w:rPr>
            </w:pPr>
            <w:r>
              <w:rPr>
                <w:rFonts w:ascii="Arial" w:cs="Arial" w:eastAsia="Arial" w:hAnsi="Arial"/>
                <w:sz w:val="14"/>
                <w:szCs w:val="14"/>
                <w:color w:val="131E29"/>
              </w:rPr>
              <w:t>Prepaid expenses and other current assets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131E29"/>
              </w:rPr>
              <w:t>796</w:t>
            </w:r>
          </w:p>
        </w:tc>
        <w:tc>
          <w:tcPr>
            <w:tcW w:w="880" w:type="dxa"/>
            <w:vAlign w:val="bottom"/>
            <w:gridSpan w:val="2"/>
          </w:tcPr>
          <w:p>
            <w:pPr>
              <w:jc w:val="right"/>
              <w:ind w:right="629"/>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1,371</w:t>
            </w:r>
          </w:p>
        </w:tc>
      </w:tr>
      <w:tr>
        <w:trPr>
          <w:trHeight w:val="213"/>
        </w:trPr>
        <w:tc>
          <w:tcPr>
            <w:tcW w:w="30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Interest rate swap contract</w:t>
            </w:r>
          </w:p>
        </w:tc>
        <w:tc>
          <w:tcPr>
            <w:tcW w:w="2620" w:type="dxa"/>
            <w:vAlign w:val="bottom"/>
            <w:gridSpan w:val="3"/>
            <w:shd w:val="clear" w:color="auto" w:fill="D2DCE5"/>
          </w:tcPr>
          <w:p>
            <w:pPr>
              <w:ind w:left="720"/>
              <w:spacing w:after="0"/>
              <w:rPr>
                <w:sz w:val="20"/>
                <w:szCs w:val="20"/>
                <w:color w:val="auto"/>
              </w:rPr>
            </w:pPr>
            <w:r>
              <w:rPr>
                <w:rFonts w:ascii="Arial" w:cs="Arial" w:eastAsia="Arial" w:hAnsi="Arial"/>
                <w:sz w:val="14"/>
                <w:szCs w:val="14"/>
                <w:color w:val="131E29"/>
              </w:rPr>
              <w:t>Other long-term assets</w:t>
            </w:r>
          </w:p>
        </w:tc>
        <w:tc>
          <w:tcPr>
            <w:tcW w:w="2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640" w:type="dxa"/>
            <w:vAlign w:val="bottom"/>
            <w:shd w:val="clear" w:color="auto" w:fill="D2DCE5"/>
          </w:tcPr>
          <w:p>
            <w:pPr>
              <w:spacing w:after="0"/>
              <w:rPr>
                <w:sz w:val="18"/>
                <w:szCs w:val="18"/>
                <w:color w:val="auto"/>
              </w:rPr>
            </w:pPr>
          </w:p>
        </w:tc>
        <w:tc>
          <w:tcPr>
            <w:tcW w:w="220" w:type="dxa"/>
            <w:vAlign w:val="bottom"/>
            <w:tcBorders>
              <w:bottom w:val="single" w:sz="8" w:color="auto"/>
            </w:tcBorders>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380" w:type="dxa"/>
            <w:vAlign w:val="bottom"/>
            <w:tcBorders>
              <w:bottom w:val="single" w:sz="8" w:color="auto"/>
            </w:tcBorders>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spacing w:after="0"/>
              <w:rPr>
                <w:sz w:val="18"/>
                <w:szCs w:val="18"/>
                <w:color w:val="auto"/>
              </w:rPr>
            </w:pPr>
          </w:p>
        </w:tc>
        <w:tc>
          <w:tcPr>
            <w:tcW w:w="46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364</w:t>
            </w:r>
          </w:p>
        </w:tc>
        <w:tc>
          <w:tcPr>
            <w:tcW w:w="80" w:type="dxa"/>
            <w:vAlign w:val="bottom"/>
            <w:shd w:val="clear" w:color="auto" w:fill="D2DCE5"/>
          </w:tcPr>
          <w:p>
            <w:pPr>
              <w:spacing w:after="0"/>
              <w:rPr>
                <w:sz w:val="18"/>
                <w:szCs w:val="18"/>
                <w:color w:val="auto"/>
              </w:rPr>
            </w:pPr>
          </w:p>
        </w:tc>
        <w:tc>
          <w:tcPr>
            <w:tcW w:w="800" w:type="dxa"/>
            <w:vAlign w:val="bottom"/>
            <w:tcBorders>
              <w:bottom w:val="single" w:sz="8" w:color="auto"/>
            </w:tcBorders>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220" w:type="dxa"/>
            <w:vAlign w:val="bottom"/>
            <w:tcBorders>
              <w:bottom w:val="single" w:sz="8" w:color="auto"/>
            </w:tcBorders>
            <w:shd w:val="clear" w:color="auto" w:fill="D2DCE5"/>
          </w:tcPr>
          <w:p>
            <w:pPr>
              <w:spacing w:after="0"/>
              <w:rPr>
                <w:sz w:val="18"/>
                <w:szCs w:val="18"/>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837</w:t>
            </w:r>
          </w:p>
        </w:tc>
      </w:tr>
      <w:tr>
        <w:trPr>
          <w:trHeight w:val="212"/>
        </w:trPr>
        <w:tc>
          <w:tcPr>
            <w:tcW w:w="5660" w:type="dxa"/>
            <w:vAlign w:val="bottom"/>
            <w:gridSpan w:val="5"/>
          </w:tcPr>
          <w:p>
            <w:pPr>
              <w:ind w:left="20"/>
              <w:spacing w:after="0"/>
              <w:rPr>
                <w:sz w:val="20"/>
                <w:szCs w:val="20"/>
                <w:color w:val="auto"/>
              </w:rPr>
            </w:pPr>
            <w:r>
              <w:rPr>
                <w:rFonts w:ascii="Arial" w:cs="Arial" w:eastAsia="Arial" w:hAnsi="Arial"/>
                <w:sz w:val="14"/>
                <w:szCs w:val="14"/>
                <w:color w:val="131E29"/>
              </w:rPr>
              <w:t>Total derivative instrument designated as cash flow hedge</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131E29"/>
              </w:rPr>
              <w:t>1,160</w:t>
            </w:r>
          </w:p>
        </w:tc>
        <w:tc>
          <w:tcPr>
            <w:tcW w:w="880" w:type="dxa"/>
            <w:vAlign w:val="bottom"/>
            <w:gridSpan w:val="2"/>
          </w:tcPr>
          <w:p>
            <w:pPr>
              <w:jc w:val="right"/>
              <w:ind w:right="629"/>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2,208</w:t>
            </w: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3"/>
          </w:tcPr>
          <w:p>
            <w:pPr>
              <w:spacing w:after="0" w:line="20" w:lineRule="exact"/>
              <w:rPr>
                <w:sz w:val="1"/>
                <w:szCs w:val="1"/>
                <w:color w:val="auto"/>
              </w:rPr>
            </w:pPr>
          </w:p>
        </w:tc>
      </w:tr>
      <w:tr>
        <w:trPr>
          <w:trHeight w:val="390"/>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Borders>
              <w:bottom w:val="single" w:sz="8" w:color="auto"/>
            </w:tcBorders>
            <w:gridSpan w:val="8"/>
          </w:tcPr>
          <w:p>
            <w:pPr>
              <w:jc w:val="right"/>
              <w:ind w:right="89"/>
              <w:spacing w:after="0"/>
              <w:rPr>
                <w:sz w:val="20"/>
                <w:szCs w:val="20"/>
                <w:color w:val="auto"/>
              </w:rPr>
            </w:pPr>
            <w:r>
              <w:rPr>
                <w:rFonts w:ascii="Arial" w:cs="Arial" w:eastAsia="Arial" w:hAnsi="Arial"/>
                <w:sz w:val="14"/>
                <w:szCs w:val="14"/>
                <w:b w:val="1"/>
                <w:bCs w:val="1"/>
                <w:color w:val="131E29"/>
              </w:rPr>
              <w:t>Three Months Ended September 30,</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6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131E29"/>
              </w:rPr>
              <w:t>Financial Statements Classification</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8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131E29"/>
              </w:rPr>
              <w:t>2024</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r>
      <w:tr>
        <w:trPr>
          <w:trHeight w:val="173"/>
        </w:trPr>
        <w:tc>
          <w:tcPr>
            <w:tcW w:w="30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instrument designated as cash flow</w:t>
            </w:r>
          </w:p>
        </w:tc>
        <w:tc>
          <w:tcPr>
            <w:tcW w:w="23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2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40" w:type="dxa"/>
            <w:vAlign w:val="bottom"/>
            <w:shd w:val="clear" w:color="auto" w:fill="D2DCE5"/>
          </w:tcPr>
          <w:p>
            <w:pPr>
              <w:spacing w:after="0"/>
              <w:rPr>
                <w:sz w:val="15"/>
                <w:szCs w:val="15"/>
                <w:color w:val="auto"/>
              </w:rPr>
            </w:pPr>
          </w:p>
        </w:tc>
        <w:tc>
          <w:tcPr>
            <w:tcW w:w="2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80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20" w:type="dxa"/>
            <w:vAlign w:val="bottom"/>
            <w:shd w:val="clear" w:color="auto" w:fill="D2DCE5"/>
          </w:tcPr>
          <w:p>
            <w:pPr>
              <w:spacing w:after="0"/>
              <w:rPr>
                <w:sz w:val="15"/>
                <w:szCs w:val="15"/>
                <w:color w:val="auto"/>
              </w:rPr>
            </w:pPr>
          </w:p>
        </w:tc>
        <w:tc>
          <w:tcPr>
            <w:tcW w:w="980" w:type="dxa"/>
            <w:vAlign w:val="bottom"/>
            <w:shd w:val="clear" w:color="auto" w:fill="D2DCE5"/>
          </w:tcPr>
          <w:p>
            <w:pPr>
              <w:spacing w:after="0"/>
              <w:rPr>
                <w:sz w:val="15"/>
                <w:szCs w:val="15"/>
                <w:color w:val="auto"/>
              </w:rPr>
            </w:pPr>
          </w:p>
        </w:tc>
      </w:tr>
      <w:tr>
        <w:trPr>
          <w:trHeight w:val="206"/>
        </w:trPr>
        <w:tc>
          <w:tcPr>
            <w:tcW w:w="30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hedge:</w:t>
            </w:r>
          </w:p>
        </w:tc>
        <w:tc>
          <w:tcPr>
            <w:tcW w:w="23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4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80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980" w:type="dxa"/>
            <w:vAlign w:val="bottom"/>
            <w:shd w:val="clear" w:color="auto" w:fill="D2DCE5"/>
          </w:tcPr>
          <w:p>
            <w:pPr>
              <w:spacing w:after="0"/>
              <w:rPr>
                <w:sz w:val="17"/>
                <w:szCs w:val="17"/>
                <w:color w:val="auto"/>
              </w:rPr>
            </w:pPr>
          </w:p>
        </w:tc>
      </w:tr>
      <w:tr>
        <w:trPr>
          <w:trHeight w:val="176"/>
        </w:trPr>
        <w:tc>
          <w:tcPr>
            <w:tcW w:w="3040" w:type="dxa"/>
            <w:vAlign w:val="bottom"/>
            <w:gridSpan w:val="2"/>
          </w:tcPr>
          <w:p>
            <w:pPr>
              <w:ind w:left="100"/>
              <w:spacing w:after="0"/>
              <w:rPr>
                <w:sz w:val="20"/>
                <w:szCs w:val="20"/>
                <w:color w:val="auto"/>
              </w:rPr>
            </w:pPr>
            <w:r>
              <w:rPr>
                <w:rFonts w:ascii="Arial" w:cs="Arial" w:eastAsia="Arial" w:hAnsi="Arial"/>
                <w:sz w:val="14"/>
                <w:szCs w:val="14"/>
                <w:color w:val="131E29"/>
              </w:rPr>
              <w:t>Income (loss) recognized in other</w:t>
            </w: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0"/>
        </w:trPr>
        <w:tc>
          <w:tcPr>
            <w:tcW w:w="3040" w:type="dxa"/>
            <w:vAlign w:val="bottom"/>
            <w:gridSpan w:val="2"/>
          </w:tcPr>
          <w:p>
            <w:pPr>
              <w:ind w:left="100"/>
              <w:spacing w:after="0"/>
              <w:rPr>
                <w:sz w:val="20"/>
                <w:szCs w:val="20"/>
                <w:color w:val="auto"/>
              </w:rPr>
            </w:pPr>
            <w:r>
              <w:rPr>
                <w:rFonts w:ascii="Arial" w:cs="Arial" w:eastAsia="Arial" w:hAnsi="Arial"/>
                <w:sz w:val="14"/>
                <w:szCs w:val="14"/>
                <w:color w:val="131E29"/>
              </w:rPr>
              <w:t>comprehensive income before</w:t>
            </w: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3040" w:type="dxa"/>
            <w:vAlign w:val="bottom"/>
            <w:gridSpan w:val="2"/>
          </w:tcPr>
          <w:p>
            <w:pPr>
              <w:ind w:left="100"/>
              <w:spacing w:after="0"/>
              <w:rPr>
                <w:sz w:val="20"/>
                <w:szCs w:val="20"/>
                <w:color w:val="auto"/>
              </w:rPr>
            </w:pPr>
            <w:r>
              <w:rPr>
                <w:rFonts w:ascii="Arial" w:cs="Arial" w:eastAsia="Arial" w:hAnsi="Arial"/>
                <w:sz w:val="14"/>
                <w:szCs w:val="14"/>
                <w:color w:val="131E29"/>
              </w:rPr>
              <w:t>reclassifications</w:t>
            </w:r>
          </w:p>
        </w:tc>
        <w:tc>
          <w:tcPr>
            <w:tcW w:w="2620" w:type="dxa"/>
            <w:vAlign w:val="bottom"/>
            <w:gridSpan w:val="3"/>
          </w:tcPr>
          <w:p>
            <w:pPr>
              <w:ind w:left="20"/>
              <w:spacing w:after="0"/>
              <w:rPr>
                <w:sz w:val="20"/>
                <w:szCs w:val="20"/>
                <w:color w:val="auto"/>
              </w:rPr>
            </w:pPr>
            <w:r>
              <w:rPr>
                <w:rFonts w:ascii="Arial" w:cs="Arial" w:eastAsia="Arial" w:hAnsi="Arial"/>
                <w:sz w:val="14"/>
                <w:szCs w:val="14"/>
                <w:color w:val="131E29"/>
              </w:rPr>
              <w:t>Statements of Comprehensive Income</w:t>
            </w:r>
          </w:p>
        </w:tc>
        <w:tc>
          <w:tcPr>
            <w:tcW w:w="960" w:type="dxa"/>
            <w:vAlign w:val="bottom"/>
            <w:gridSpan w:val="3"/>
          </w:tcPr>
          <w:p>
            <w:pPr>
              <w:ind w:left="340"/>
              <w:spacing w:after="0"/>
              <w:rPr>
                <w:sz w:val="20"/>
                <w:szCs w:val="20"/>
                <w:color w:val="auto"/>
              </w:rPr>
            </w:pPr>
            <w:r>
              <w:rPr>
                <w:rFonts w:ascii="Arial" w:cs="Arial" w:eastAsia="Arial" w:hAnsi="Arial"/>
                <w:sz w:val="14"/>
                <w:szCs w:val="14"/>
                <w:color w:val="131E29"/>
              </w:rPr>
              <w:t>$</w:t>
            </w:r>
          </w:p>
        </w:tc>
        <w:tc>
          <w:tcPr>
            <w:tcW w:w="2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131E29"/>
                <w:w w:val="94"/>
              </w:rPr>
              <w:t>(1,111)</w:t>
            </w:r>
          </w:p>
        </w:tc>
        <w:tc>
          <w:tcPr>
            <w:tcW w:w="80" w:type="dxa"/>
            <w:vAlign w:val="bottom"/>
          </w:tcPr>
          <w:p>
            <w:pPr>
              <w:spacing w:after="0"/>
              <w:rPr>
                <w:sz w:val="17"/>
                <w:szCs w:val="17"/>
                <w:color w:val="auto"/>
              </w:rPr>
            </w:pPr>
          </w:p>
        </w:tc>
        <w:tc>
          <w:tcPr>
            <w:tcW w:w="940" w:type="dxa"/>
            <w:vAlign w:val="bottom"/>
          </w:tcPr>
          <w:p>
            <w:pPr>
              <w:jc w:val="right"/>
              <w:ind w:right="769"/>
              <w:spacing w:after="0"/>
              <w:rPr>
                <w:sz w:val="20"/>
                <w:szCs w:val="20"/>
                <w:color w:val="auto"/>
              </w:rPr>
            </w:pPr>
            <w:r>
              <w:rPr>
                <w:rFonts w:ascii="Arial" w:cs="Arial" w:eastAsia="Arial" w:hAnsi="Arial"/>
                <w:sz w:val="14"/>
                <w:szCs w:val="14"/>
                <w:color w:val="131E29"/>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131E29"/>
              </w:rPr>
              <w:t>962</w:t>
            </w:r>
          </w:p>
        </w:tc>
        <w:tc>
          <w:tcPr>
            <w:tcW w:w="80" w:type="dxa"/>
            <w:vAlign w:val="bottom"/>
          </w:tcPr>
          <w:p>
            <w:pPr>
              <w:spacing w:after="0"/>
              <w:rPr>
                <w:sz w:val="17"/>
                <w:szCs w:val="17"/>
                <w:color w:val="auto"/>
              </w:rPr>
            </w:pPr>
          </w:p>
        </w:tc>
        <w:tc>
          <w:tcPr>
            <w:tcW w:w="880" w:type="dxa"/>
            <w:vAlign w:val="bottom"/>
            <w:gridSpan w:val="2"/>
          </w:tcPr>
          <w:p>
            <w:pPr>
              <w:jc w:val="right"/>
              <w:ind w:right="709"/>
              <w:spacing w:after="0"/>
              <w:rPr>
                <w:sz w:val="20"/>
                <w:szCs w:val="20"/>
                <w:color w:val="auto"/>
              </w:rPr>
            </w:pPr>
            <w:r>
              <w:rPr>
                <w:rFonts w:ascii="Arial" w:cs="Arial" w:eastAsia="Arial" w:hAnsi="Arial"/>
                <w:sz w:val="14"/>
                <w:szCs w:val="14"/>
                <w:color w:val="131E29"/>
              </w:rPr>
              <w:t>$</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131E29"/>
              </w:rPr>
              <w:t>673</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131E29"/>
                <w:w w:val="76"/>
              </w:rPr>
              <w:t>$</w:t>
            </w:r>
          </w:p>
        </w:tc>
        <w:tc>
          <w:tcPr>
            <w:tcW w:w="980" w:type="dxa"/>
            <w:vAlign w:val="bottom"/>
          </w:tcPr>
          <w:p>
            <w:pPr>
              <w:jc w:val="right"/>
              <w:spacing w:after="0"/>
              <w:rPr>
                <w:sz w:val="20"/>
                <w:szCs w:val="20"/>
                <w:color w:val="auto"/>
              </w:rPr>
            </w:pPr>
            <w:r>
              <w:rPr>
                <w:rFonts w:ascii="Arial" w:cs="Arial" w:eastAsia="Arial" w:hAnsi="Arial"/>
                <w:sz w:val="14"/>
                <w:szCs w:val="14"/>
                <w:color w:val="131E29"/>
              </w:rPr>
              <w:t>2,012</w:t>
            </w:r>
          </w:p>
        </w:tc>
      </w:tr>
      <w:tr>
        <w:trPr>
          <w:trHeight w:val="186"/>
        </w:trPr>
        <w:tc>
          <w:tcPr>
            <w:tcW w:w="30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Reclassification from accumulated other</w:t>
            </w:r>
          </w:p>
        </w:tc>
        <w:tc>
          <w:tcPr>
            <w:tcW w:w="23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2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40" w:type="dxa"/>
            <w:vAlign w:val="bottom"/>
            <w:shd w:val="clear" w:color="auto" w:fill="D2DCE5"/>
          </w:tcPr>
          <w:p>
            <w:pPr>
              <w:spacing w:after="0"/>
              <w:rPr>
                <w:sz w:val="16"/>
                <w:szCs w:val="16"/>
                <w:color w:val="auto"/>
              </w:rPr>
            </w:pPr>
          </w:p>
        </w:tc>
        <w:tc>
          <w:tcPr>
            <w:tcW w:w="2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80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20" w:type="dxa"/>
            <w:vAlign w:val="bottom"/>
            <w:shd w:val="clear" w:color="auto" w:fill="D2DCE5"/>
          </w:tcPr>
          <w:p>
            <w:pPr>
              <w:spacing w:after="0"/>
              <w:rPr>
                <w:sz w:val="16"/>
                <w:szCs w:val="16"/>
                <w:color w:val="auto"/>
              </w:rPr>
            </w:pPr>
          </w:p>
        </w:tc>
        <w:tc>
          <w:tcPr>
            <w:tcW w:w="980" w:type="dxa"/>
            <w:vAlign w:val="bottom"/>
            <w:shd w:val="clear" w:color="auto" w:fill="D2DCE5"/>
          </w:tcPr>
          <w:p>
            <w:pPr>
              <w:spacing w:after="0"/>
              <w:rPr>
                <w:sz w:val="16"/>
                <w:szCs w:val="16"/>
                <w:color w:val="auto"/>
              </w:rPr>
            </w:pPr>
          </w:p>
        </w:tc>
      </w:tr>
      <w:tr>
        <w:trPr>
          <w:trHeight w:val="170"/>
        </w:trPr>
        <w:tc>
          <w:tcPr>
            <w:tcW w:w="30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comprehensive income to earnings for the</w:t>
            </w:r>
          </w:p>
        </w:tc>
        <w:tc>
          <w:tcPr>
            <w:tcW w:w="3800" w:type="dxa"/>
            <w:vAlign w:val="bottom"/>
            <w:gridSpan w:val="7"/>
            <w:shd w:val="clear" w:color="auto" w:fill="D2DCE5"/>
          </w:tcPr>
          <w:p>
            <w:pPr>
              <w:ind w:left="20"/>
              <w:spacing w:after="0"/>
              <w:rPr>
                <w:sz w:val="20"/>
                <w:szCs w:val="20"/>
                <w:color w:val="auto"/>
              </w:rPr>
            </w:pPr>
            <w:r>
              <w:rPr>
                <w:rFonts w:ascii="Arial" w:cs="Arial" w:eastAsia="Arial" w:hAnsi="Arial"/>
                <w:sz w:val="14"/>
                <w:szCs w:val="14"/>
                <w:color w:val="131E29"/>
              </w:rPr>
              <w:t>Statements of Operations - Interest expense,</w:t>
            </w:r>
          </w:p>
        </w:tc>
        <w:tc>
          <w:tcPr>
            <w:tcW w:w="80" w:type="dxa"/>
            <w:vAlign w:val="bottom"/>
            <w:shd w:val="clear" w:color="auto" w:fill="D2DCE5"/>
          </w:tcPr>
          <w:p>
            <w:pPr>
              <w:spacing w:after="0"/>
              <w:rPr>
                <w:sz w:val="14"/>
                <w:szCs w:val="14"/>
                <w:color w:val="auto"/>
              </w:rPr>
            </w:pPr>
          </w:p>
        </w:tc>
        <w:tc>
          <w:tcPr>
            <w:tcW w:w="3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220" w:type="dxa"/>
            <w:vAlign w:val="bottom"/>
            <w:shd w:val="clear" w:color="auto" w:fill="D2DCE5"/>
          </w:tcPr>
          <w:p>
            <w:pPr>
              <w:spacing w:after="0"/>
              <w:rPr>
                <w:sz w:val="14"/>
                <w:szCs w:val="14"/>
                <w:color w:val="auto"/>
              </w:rPr>
            </w:pPr>
          </w:p>
        </w:tc>
        <w:tc>
          <w:tcPr>
            <w:tcW w:w="980" w:type="dxa"/>
            <w:vAlign w:val="bottom"/>
            <w:shd w:val="clear" w:color="auto" w:fill="D2DCE5"/>
          </w:tcPr>
          <w:p>
            <w:pPr>
              <w:spacing w:after="0"/>
              <w:rPr>
                <w:sz w:val="14"/>
                <w:szCs w:val="14"/>
                <w:color w:val="auto"/>
              </w:rPr>
            </w:pPr>
          </w:p>
        </w:tc>
      </w:tr>
      <w:tr>
        <w:trPr>
          <w:trHeight w:val="206"/>
        </w:trPr>
        <w:tc>
          <w:tcPr>
            <w:tcW w:w="304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effective portion</w:t>
            </w:r>
          </w:p>
        </w:tc>
        <w:tc>
          <w:tcPr>
            <w:tcW w:w="2620" w:type="dxa"/>
            <w:vAlign w:val="bottom"/>
            <w:gridSpan w:val="3"/>
            <w:shd w:val="clear" w:color="auto" w:fill="D2DCE5"/>
          </w:tcPr>
          <w:p>
            <w:pPr>
              <w:ind w:left="20"/>
              <w:spacing w:after="0"/>
              <w:rPr>
                <w:sz w:val="20"/>
                <w:szCs w:val="20"/>
                <w:color w:val="auto"/>
              </w:rPr>
            </w:pPr>
            <w:r>
              <w:rPr>
                <w:rFonts w:ascii="Arial" w:cs="Arial" w:eastAsia="Arial" w:hAnsi="Arial"/>
                <w:sz w:val="14"/>
                <w:szCs w:val="14"/>
                <w:color w:val="131E29"/>
              </w:rPr>
              <w:t>net</w:t>
            </w:r>
          </w:p>
        </w:tc>
        <w:tc>
          <w:tcPr>
            <w:tcW w:w="2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4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460" w:type="dxa"/>
            <w:vAlign w:val="bottom"/>
            <w:gridSpan w:val="2"/>
            <w:shd w:val="clear" w:color="auto" w:fill="D2DCE5"/>
          </w:tcPr>
          <w:p>
            <w:pPr>
              <w:jc w:val="right"/>
              <w:ind w:right="20"/>
              <w:spacing w:after="0"/>
              <w:rPr>
                <w:sz w:val="20"/>
                <w:szCs w:val="20"/>
                <w:color w:val="auto"/>
              </w:rPr>
            </w:pPr>
            <w:r>
              <w:rPr>
                <w:rFonts w:ascii="Arial" w:cs="Arial" w:eastAsia="Arial" w:hAnsi="Arial"/>
                <w:sz w:val="14"/>
                <w:szCs w:val="14"/>
                <w:color w:val="131E29"/>
              </w:rPr>
              <w:t>(460)</w:t>
            </w:r>
          </w:p>
        </w:tc>
        <w:tc>
          <w:tcPr>
            <w:tcW w:w="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3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(465)</w:t>
            </w:r>
          </w:p>
        </w:tc>
        <w:tc>
          <w:tcPr>
            <w:tcW w:w="80" w:type="dxa"/>
            <w:vAlign w:val="bottom"/>
            <w:shd w:val="clear" w:color="auto" w:fill="D2DCE5"/>
          </w:tcPr>
          <w:p>
            <w:pPr>
              <w:spacing w:after="0"/>
              <w:rPr>
                <w:sz w:val="17"/>
                <w:szCs w:val="17"/>
                <w:color w:val="auto"/>
              </w:rPr>
            </w:pPr>
          </w:p>
        </w:tc>
        <w:tc>
          <w:tcPr>
            <w:tcW w:w="1200" w:type="dxa"/>
            <w:vAlign w:val="bottom"/>
            <w:gridSpan w:val="5"/>
            <w:shd w:val="clear" w:color="auto" w:fill="D2DCE5"/>
          </w:tcPr>
          <w:p>
            <w:pPr>
              <w:jc w:val="right"/>
              <w:ind w:right="20"/>
              <w:spacing w:after="0"/>
              <w:rPr>
                <w:sz w:val="20"/>
                <w:szCs w:val="20"/>
                <w:color w:val="auto"/>
              </w:rPr>
            </w:pPr>
            <w:r>
              <w:rPr>
                <w:rFonts w:ascii="Arial" w:cs="Arial" w:eastAsia="Arial" w:hAnsi="Arial"/>
                <w:sz w:val="14"/>
                <w:szCs w:val="14"/>
                <w:color w:val="131E29"/>
              </w:rPr>
              <w:t>(1,393)</w:t>
            </w:r>
          </w:p>
        </w:tc>
        <w:tc>
          <w:tcPr>
            <w:tcW w:w="100" w:type="dxa"/>
            <w:vAlign w:val="bottom"/>
            <w:shd w:val="clear" w:color="auto" w:fill="D2DCE5"/>
          </w:tcPr>
          <w:p>
            <w:pPr>
              <w:spacing w:after="0"/>
              <w:rPr>
                <w:sz w:val="17"/>
                <w:szCs w:val="17"/>
                <w:color w:val="auto"/>
              </w:rPr>
            </w:pPr>
          </w:p>
        </w:tc>
        <w:tc>
          <w:tcPr>
            <w:tcW w:w="220" w:type="dxa"/>
            <w:vAlign w:val="bottom"/>
            <w:shd w:val="clear" w:color="auto" w:fill="D2DCE5"/>
          </w:tcPr>
          <w:p>
            <w:pPr>
              <w:spacing w:after="0"/>
              <w:rPr>
                <w:sz w:val="17"/>
                <w:szCs w:val="17"/>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(1,216)</w:t>
            </w:r>
          </w:p>
        </w:tc>
      </w:tr>
      <w:tr>
        <w:trPr>
          <w:trHeight w:val="176"/>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3"/>
          </w:tcPr>
          <w:p>
            <w:pPr>
              <w:ind w:left="20"/>
              <w:spacing w:after="0"/>
              <w:rPr>
                <w:sz w:val="20"/>
                <w:szCs w:val="20"/>
                <w:color w:val="auto"/>
              </w:rPr>
            </w:pPr>
            <w:r>
              <w:rPr>
                <w:rFonts w:ascii="Arial" w:cs="Arial" w:eastAsia="Arial" w:hAnsi="Arial"/>
                <w:sz w:val="14"/>
                <w:szCs w:val="14"/>
                <w:color w:val="131E29"/>
              </w:rPr>
              <w:t>Statements of Operations - Income tax</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3040" w:type="dxa"/>
            <w:vAlign w:val="bottom"/>
            <w:gridSpan w:val="2"/>
          </w:tcPr>
          <w:p>
            <w:pPr>
              <w:ind w:left="100"/>
              <w:spacing w:after="0"/>
              <w:rPr>
                <w:sz w:val="20"/>
                <w:szCs w:val="20"/>
                <w:color w:val="auto"/>
              </w:rPr>
            </w:pPr>
            <w:r>
              <w:rPr>
                <w:rFonts w:ascii="Arial" w:cs="Arial" w:eastAsia="Arial" w:hAnsi="Arial"/>
                <w:sz w:val="14"/>
                <w:szCs w:val="14"/>
                <w:color w:val="131E29"/>
              </w:rPr>
              <w:t>Income tax benefit (expense)</w:t>
            </w:r>
          </w:p>
        </w:tc>
        <w:tc>
          <w:tcPr>
            <w:tcW w:w="2620" w:type="dxa"/>
            <w:vAlign w:val="bottom"/>
            <w:gridSpan w:val="3"/>
          </w:tcPr>
          <w:p>
            <w:pPr>
              <w:ind w:left="20"/>
              <w:spacing w:after="0"/>
              <w:rPr>
                <w:sz w:val="20"/>
                <w:szCs w:val="20"/>
                <w:color w:val="auto"/>
              </w:rPr>
            </w:pPr>
            <w:r>
              <w:rPr>
                <w:rFonts w:ascii="Arial" w:cs="Arial" w:eastAsia="Arial" w:hAnsi="Arial"/>
                <w:sz w:val="14"/>
                <w:szCs w:val="14"/>
                <w:color w:val="131E29"/>
              </w:rPr>
              <w:t>expense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131E29"/>
              </w:rPr>
              <w:t>247</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131E29"/>
              </w:rPr>
              <w:t>(112)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131E29"/>
              </w:rPr>
              <w:t>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(137)</w:t>
            </w:r>
          </w:p>
        </w:tc>
      </w:tr>
      <w:tr>
        <w:trPr>
          <w:trHeight w:val="432"/>
        </w:trPr>
        <w:tc>
          <w:tcPr>
            <w:tcW w:w="3040" w:type="dxa"/>
            <w:vAlign w:val="bottom"/>
            <w:gridSpan w:val="2"/>
          </w:tcPr>
          <w:p>
            <w:pPr>
              <w:spacing w:after="0"/>
              <w:rPr>
                <w:sz w:val="20"/>
                <w:szCs w:val="20"/>
                <w:color w:val="auto"/>
              </w:rPr>
            </w:pPr>
            <w:r>
              <w:rPr>
                <w:rFonts w:ascii="Arial" w:cs="Arial" w:eastAsia="Arial" w:hAnsi="Arial"/>
                <w:sz w:val="17"/>
                <w:szCs w:val="17"/>
                <w:b w:val="1"/>
                <w:bCs w:val="1"/>
                <w:color w:val="00416B"/>
              </w:rPr>
              <w:t>NOTE 11 — Income Taxes</w:t>
            </w: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6"/>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169"/>
              <w:spacing w:after="0"/>
              <w:rPr>
                <w:sz w:val="20"/>
                <w:szCs w:val="20"/>
                <w:color w:val="auto"/>
              </w:rPr>
            </w:pPr>
            <w:r>
              <w:rPr>
                <w:rFonts w:ascii="Arial" w:cs="Arial" w:eastAsia="Arial" w:hAnsi="Arial"/>
                <w:sz w:val="14"/>
                <w:szCs w:val="14"/>
                <w:b w:val="1"/>
                <w:bCs w:val="1"/>
                <w:color w:val="131E29"/>
              </w:rPr>
              <w:t>Three Months Ended September 30,</w:t>
            </w: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20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23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131E29"/>
              </w:rPr>
              <w:t>2024</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8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940" w:type="dxa"/>
            <w:vAlign w:val="bottom"/>
            <w:tcBorders>
              <w:bottom w:val="single" w:sz="8" w:color="131E29"/>
            </w:tcBorders>
          </w:tcPr>
          <w:p>
            <w:pPr>
              <w:jc w:val="right"/>
              <w:ind w:right="46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80" w:type="dxa"/>
            <w:vAlign w:val="bottom"/>
            <w:tcBorders>
              <w:bottom w:val="single" w:sz="8" w:color="131E29"/>
            </w:tcBorders>
          </w:tcPr>
          <w:p>
            <w:pPr>
              <w:spacing w:after="0"/>
              <w:rPr>
                <w:sz w:val="17"/>
                <w:szCs w:val="17"/>
                <w:color w:val="auto"/>
              </w:rPr>
            </w:pPr>
          </w:p>
        </w:tc>
        <w:tc>
          <w:tcPr>
            <w:tcW w:w="880" w:type="dxa"/>
            <w:vAlign w:val="bottom"/>
            <w:tcBorders>
              <w:bottom w:val="single" w:sz="8" w:color="131E29"/>
            </w:tcBorders>
            <w:gridSpan w:val="2"/>
          </w:tcPr>
          <w:p>
            <w:pPr>
              <w:jc w:val="right"/>
              <w:ind w:right="329"/>
              <w:spacing w:after="0"/>
              <w:rPr>
                <w:sz w:val="20"/>
                <w:szCs w:val="20"/>
                <w:color w:val="auto"/>
              </w:rPr>
            </w:pPr>
            <w:r>
              <w:rPr>
                <w:rFonts w:ascii="Arial" w:cs="Arial" w:eastAsia="Arial" w:hAnsi="Arial"/>
                <w:sz w:val="14"/>
                <w:szCs w:val="14"/>
                <w:b w:val="1"/>
                <w:bCs w:val="1"/>
                <w:color w:val="131E29"/>
              </w:rPr>
              <w:t>2024</w:t>
            </w:r>
          </w:p>
        </w:tc>
        <w:tc>
          <w:tcPr>
            <w:tcW w:w="1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131E29"/>
            </w:tcBorders>
          </w:tcPr>
          <w:p>
            <w:pPr>
              <w:spacing w:after="0"/>
              <w:rPr>
                <w:sz w:val="17"/>
                <w:szCs w:val="17"/>
                <w:color w:val="auto"/>
              </w:rPr>
            </w:pPr>
          </w:p>
        </w:tc>
        <w:tc>
          <w:tcPr>
            <w:tcW w:w="100" w:type="dxa"/>
            <w:vAlign w:val="bottom"/>
            <w:tcBorders>
              <w:bottom w:val="single" w:sz="8" w:color="131E29"/>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980" w:type="dxa"/>
            <w:vAlign w:val="bottom"/>
            <w:tcBorders>
              <w:bottom w:val="single" w:sz="8" w:color="131E29"/>
            </w:tcBorders>
          </w:tcPr>
          <w:p>
            <w:pPr>
              <w:jc w:val="right"/>
              <w:ind w:right="469"/>
              <w:spacing w:after="0"/>
              <w:rPr>
                <w:sz w:val="20"/>
                <w:szCs w:val="20"/>
                <w:color w:val="auto"/>
              </w:rPr>
            </w:pPr>
            <w:r>
              <w:rPr>
                <w:rFonts w:ascii="Arial" w:cs="Arial" w:eastAsia="Arial" w:hAnsi="Arial"/>
                <w:sz w:val="14"/>
                <w:szCs w:val="14"/>
                <w:b w:val="1"/>
                <w:bCs w:val="1"/>
                <w:color w:val="131E29"/>
              </w:rPr>
              <w:t>2023</w:t>
            </w:r>
          </w:p>
        </w:tc>
      </w:tr>
      <w:tr>
        <w:trPr>
          <w:trHeight w:val="209"/>
        </w:trPr>
        <w:tc>
          <w:tcPr>
            <w:tcW w:w="30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w:t>
            </w:r>
          </w:p>
        </w:tc>
        <w:tc>
          <w:tcPr>
            <w:tcW w:w="2620" w:type="dxa"/>
            <w:vAlign w:val="bottom"/>
            <w:gridSpan w:val="3"/>
            <w:shd w:val="clear" w:color="auto" w:fill="D2DCE5"/>
          </w:tcPr>
          <w:p>
            <w:pPr>
              <w:ind w:left="2420"/>
              <w:spacing w:after="0"/>
              <w:rPr>
                <w:sz w:val="20"/>
                <w:szCs w:val="20"/>
                <w:color w:val="auto"/>
              </w:rPr>
            </w:pPr>
            <w:r>
              <w:rPr>
                <w:rFonts w:ascii="Arial" w:cs="Arial" w:eastAsia="Arial" w:hAnsi="Arial"/>
                <w:sz w:val="14"/>
                <w:szCs w:val="14"/>
                <w:color w:val="131E29"/>
              </w:rPr>
              <w:t>$</w:t>
            </w:r>
          </w:p>
        </w:tc>
        <w:tc>
          <w:tcPr>
            <w:tcW w:w="1180" w:type="dxa"/>
            <w:vAlign w:val="bottom"/>
            <w:gridSpan w:val="4"/>
            <w:shd w:val="clear" w:color="auto" w:fill="D2DCE5"/>
          </w:tcPr>
          <w:p>
            <w:pPr>
              <w:jc w:val="right"/>
              <w:ind w:right="200"/>
              <w:spacing w:after="0"/>
              <w:rPr>
                <w:sz w:val="20"/>
                <w:szCs w:val="20"/>
                <w:color w:val="auto"/>
              </w:rPr>
            </w:pPr>
            <w:r>
              <w:rPr>
                <w:rFonts w:ascii="Arial" w:cs="Arial" w:eastAsia="Arial" w:hAnsi="Arial"/>
                <w:sz w:val="14"/>
                <w:szCs w:val="14"/>
                <w:color w:val="131E29"/>
              </w:rPr>
              <w:t>4,698</w:t>
            </w:r>
          </w:p>
        </w:tc>
        <w:tc>
          <w:tcPr>
            <w:tcW w:w="460" w:type="dxa"/>
            <w:vAlign w:val="bottom"/>
            <w:gridSpan w:val="2"/>
            <w:shd w:val="clear" w:color="auto" w:fill="D2DCE5"/>
          </w:tcPr>
          <w:p>
            <w:pPr>
              <w:jc w:val="right"/>
              <w:ind w:right="28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94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1,828</w:t>
            </w:r>
          </w:p>
        </w:tc>
        <w:tc>
          <w:tcPr>
            <w:tcW w:w="380" w:type="dxa"/>
            <w:vAlign w:val="bottom"/>
            <w:gridSpan w:val="2"/>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8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17,330</w:t>
            </w:r>
          </w:p>
        </w:tc>
        <w:tc>
          <w:tcPr>
            <w:tcW w:w="3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9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6,259</w:t>
            </w:r>
          </w:p>
        </w:tc>
      </w:tr>
      <w:tr>
        <w:trPr>
          <w:trHeight w:val="193"/>
        </w:trPr>
        <w:tc>
          <w:tcPr>
            <w:tcW w:w="3040" w:type="dxa"/>
            <w:vAlign w:val="bottom"/>
            <w:gridSpan w:val="2"/>
          </w:tcPr>
          <w:p>
            <w:pPr>
              <w:ind w:left="20"/>
              <w:spacing w:after="0"/>
              <w:rPr>
                <w:sz w:val="20"/>
                <w:szCs w:val="20"/>
                <w:color w:val="auto"/>
              </w:rPr>
            </w:pPr>
            <w:r>
              <w:rPr>
                <w:rFonts w:ascii="Arial" w:cs="Arial" w:eastAsia="Arial" w:hAnsi="Arial"/>
                <w:sz w:val="14"/>
                <w:szCs w:val="14"/>
                <w:color w:val="131E29"/>
              </w:rPr>
              <w:t>Effective tax rate</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4"/>
                <w:szCs w:val="14"/>
                <w:color w:val="131E29"/>
              </w:rPr>
              <w:t>17.8 %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12.0 %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131E29"/>
              </w:rPr>
              <w:t>22.4 %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31.3 %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60"/>
        <w:spacing w:after="0"/>
        <w:rPr>
          <w:sz w:val="20"/>
          <w:szCs w:val="20"/>
          <w:color w:val="auto"/>
        </w:rPr>
      </w:pPr>
      <w:r>
        <w:rPr>
          <w:sz w:val="1"/>
          <w:szCs w:val="1"/>
          <w:color w:val="auto"/>
        </w:rPr>
        <w:drawing>
          <wp:inline distT="0" distB="0" distL="0" distR="0">
            <wp:extent cx="134620" cy="1885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416B"/>
        </w:rPr>
        <w:t>NOTE 12 — Equity-Based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Restricted Stock Awards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Activity for the Company’s RSAs was as follows:</w:t>
      </w:r>
    </w:p>
    <w:p>
      <w:pPr>
        <w:spacing w:after="0" w:line="389"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except per share amounts)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Balance, December 31, 2023</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Vested</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Balance, September 30, 2024</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Restricted Stock Units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Activity for the Company’s RSUs was as follows:</w:t>
      </w:r>
    </w:p>
    <w:p>
      <w:pPr>
        <w:spacing w:after="0" w:line="389"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except per share amounts)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Balance, December 31, 2023</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New grants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Vested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Forfeitures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Balance,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131E29"/>
              </w:rPr>
              <w:t>Weighted-average grant date fair</w:t>
            </w:r>
          </w:p>
        </w:tc>
      </w:tr>
      <w:tr>
        <w:trPr>
          <w:trHeight w:val="200"/>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131E29"/>
              </w:rPr>
              <w:t>Restricted Stock Awards</w:t>
            </w:r>
          </w:p>
        </w:tc>
        <w:tc>
          <w:tcPr>
            <w:tcW w:w="100" w:type="dxa"/>
            <w:vAlign w:val="bottom"/>
          </w:tcPr>
          <w:p>
            <w:pPr>
              <w:spacing w:after="0"/>
              <w:rPr>
                <w:sz w:val="17"/>
                <w:szCs w:val="17"/>
                <w:color w:val="auto"/>
              </w:rPr>
            </w:pPr>
          </w:p>
        </w:tc>
        <w:tc>
          <w:tcPr>
            <w:tcW w:w="2300" w:type="dxa"/>
            <w:vAlign w:val="bottom"/>
          </w:tcPr>
          <w:p>
            <w:pPr>
              <w:jc w:val="right"/>
              <w:ind w:right="609"/>
              <w:spacing w:after="0"/>
              <w:rPr>
                <w:sz w:val="20"/>
                <w:szCs w:val="20"/>
                <w:color w:val="auto"/>
              </w:rPr>
            </w:pPr>
            <w:r>
              <w:rPr>
                <w:rFonts w:ascii="Arial" w:cs="Arial" w:eastAsia="Arial" w:hAnsi="Arial"/>
                <w:sz w:val="14"/>
                <w:szCs w:val="14"/>
                <w:b w:val="1"/>
                <w:bCs w:val="1"/>
                <w:color w:val="131E29"/>
              </w:rPr>
              <w:t>value per share</w:t>
            </w:r>
          </w:p>
        </w:tc>
      </w:tr>
      <w:tr>
        <w:trPr>
          <w:trHeight w:val="189"/>
        </w:trPr>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1,283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23.00</w:t>
            </w:r>
          </w:p>
        </w:tc>
      </w:tr>
      <w:tr>
        <w:trPr>
          <w:trHeight w:val="222"/>
        </w:trPr>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(1,283)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23.00</w:t>
            </w:r>
          </w:p>
        </w:tc>
      </w:tr>
      <w:tr>
        <w:trPr>
          <w:trHeight w:val="203"/>
        </w:trPr>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1"/>
        </w:trPr>
        <w:tc>
          <w:tcPr>
            <w:tcW w:w="1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-167640</wp:posOffset>
            </wp:positionV>
            <wp:extent cx="7161530" cy="154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-443865</wp:posOffset>
            </wp:positionV>
            <wp:extent cx="7161530" cy="141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131E29"/>
              </w:rPr>
              <w:t>Weighted-average grant date fair</w:t>
            </w:r>
          </w:p>
        </w:tc>
      </w:tr>
      <w:tr>
        <w:trPr>
          <w:trHeight w:val="200"/>
        </w:trPr>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131E29"/>
              </w:rPr>
              <w:t>Restricted Stock Units</w:t>
            </w:r>
          </w:p>
        </w:tc>
        <w:tc>
          <w:tcPr>
            <w:tcW w:w="100" w:type="dxa"/>
            <w:vAlign w:val="bottom"/>
          </w:tcPr>
          <w:p>
            <w:pPr>
              <w:spacing w:after="0"/>
              <w:rPr>
                <w:sz w:val="17"/>
                <w:szCs w:val="17"/>
                <w:color w:val="auto"/>
              </w:rPr>
            </w:pPr>
          </w:p>
        </w:tc>
        <w:tc>
          <w:tcPr>
            <w:tcW w:w="2300" w:type="dxa"/>
            <w:vAlign w:val="bottom"/>
          </w:tcPr>
          <w:p>
            <w:pPr>
              <w:jc w:val="right"/>
              <w:ind w:right="609"/>
              <w:spacing w:after="0"/>
              <w:rPr>
                <w:sz w:val="20"/>
                <w:szCs w:val="20"/>
                <w:color w:val="auto"/>
              </w:rPr>
            </w:pPr>
            <w:r>
              <w:rPr>
                <w:rFonts w:ascii="Arial" w:cs="Arial" w:eastAsia="Arial" w:hAnsi="Arial"/>
                <w:sz w:val="14"/>
                <w:szCs w:val="14"/>
                <w:b w:val="1"/>
                <w:bCs w:val="1"/>
                <w:color w:val="131E29"/>
              </w:rPr>
              <w:t>value per share</w:t>
            </w:r>
          </w:p>
        </w:tc>
      </w:tr>
      <w:tr>
        <w:trPr>
          <w:trHeight w:val="189"/>
        </w:trPr>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648</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35.99</w:t>
            </w:r>
          </w:p>
        </w:tc>
      </w:tr>
      <w:tr>
        <w:trPr>
          <w:trHeight w:val="212"/>
        </w:trPr>
        <w:tc>
          <w:tcPr>
            <w:tcW w:w="1940" w:type="dxa"/>
            <w:vAlign w:val="bottom"/>
          </w:tcPr>
          <w:p>
            <w:pPr>
              <w:jc w:val="right"/>
              <w:spacing w:after="0"/>
              <w:rPr>
                <w:sz w:val="20"/>
                <w:szCs w:val="20"/>
                <w:color w:val="auto"/>
              </w:rPr>
            </w:pPr>
            <w:r>
              <w:rPr>
                <w:rFonts w:ascii="Arial" w:cs="Arial" w:eastAsia="Arial" w:hAnsi="Arial"/>
                <w:sz w:val="14"/>
                <w:szCs w:val="14"/>
                <w:color w:val="131E29"/>
              </w:rPr>
              <w:t>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31.07</w:t>
            </w:r>
          </w:p>
        </w:tc>
      </w:tr>
      <w:tr>
        <w:trPr>
          <w:trHeight w:val="212"/>
        </w:trPr>
        <w:tc>
          <w:tcPr>
            <w:tcW w:w="1940" w:type="dxa"/>
            <w:vAlign w:val="bottom"/>
          </w:tcPr>
          <w:p>
            <w:pPr>
              <w:jc w:val="right"/>
              <w:spacing w:after="0"/>
              <w:rPr>
                <w:sz w:val="20"/>
                <w:szCs w:val="20"/>
                <w:color w:val="auto"/>
              </w:rPr>
            </w:pPr>
            <w:r>
              <w:rPr>
                <w:rFonts w:ascii="Arial" w:cs="Arial" w:eastAsia="Arial" w:hAnsi="Arial"/>
                <w:sz w:val="14"/>
                <w:szCs w:val="14"/>
                <w:color w:val="131E29"/>
              </w:rPr>
              <w:t>(102)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43.71</w:t>
            </w:r>
          </w:p>
        </w:tc>
      </w:tr>
      <w:tr>
        <w:trPr>
          <w:trHeight w:val="222"/>
        </w:trPr>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(138)</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33.27</w:t>
            </w:r>
          </w:p>
        </w:tc>
      </w:tr>
      <w:tr>
        <w:trPr>
          <w:trHeight w:val="203"/>
        </w:trPr>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1,203</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32.40</w:t>
            </w:r>
          </w:p>
        </w:tc>
      </w:tr>
      <w:tr>
        <w:trPr>
          <w:trHeight w:val="21"/>
        </w:trPr>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-437515</wp:posOffset>
            </wp:positionV>
            <wp:extent cx="716153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-167640</wp:posOffset>
            </wp:positionV>
            <wp:extent cx="7161530" cy="154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-713740</wp:posOffset>
            </wp:positionV>
            <wp:extent cx="7161530" cy="141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140" w:space="720"/>
            <w:col w:w="4420"/>
          </w:cols>
          <w:pgMar w:left="300" w:top="133" w:right="319" w:bottom="1440" w:gutter="0" w:footer="0" w:header="0"/>
        </w:sectPr>
      </w:pPr>
    </w:p>
    <w:p>
      <w:pPr>
        <w:spacing w:after="0"/>
        <w:rPr>
          <w:sz w:val="20"/>
          <w:szCs w:val="20"/>
          <w:color w:val="auto"/>
        </w:rPr>
      </w:pPr>
      <w:r>
        <w:rPr>
          <w:rFonts w:ascii="Arial" w:cs="Arial" w:eastAsia="Arial" w:hAnsi="Arial"/>
          <w:sz w:val="14"/>
          <w:szCs w:val="14"/>
          <w:color w:val="131E29"/>
        </w:rPr>
        <w:t>Total release date fair value of vested RSAs and RSUs for the nine months ended September 30, 2024 and 2023 are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131E29"/>
              </w:rPr>
              <w:t>Weighted-average vest</w:t>
            </w: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131E29"/>
              </w:rPr>
              <w:t>Weighted-average vest</w:t>
            </w:r>
          </w:p>
        </w:tc>
      </w:tr>
      <w:tr>
        <w:trPr>
          <w:trHeight w:val="170"/>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3"/>
          </w:tcPr>
          <w:p>
            <w:pPr>
              <w:ind w:left="40"/>
              <w:spacing w:after="0"/>
              <w:rPr>
                <w:sz w:val="20"/>
                <w:szCs w:val="20"/>
                <w:color w:val="auto"/>
              </w:rPr>
            </w:pPr>
            <w:r>
              <w:rPr>
                <w:rFonts w:ascii="Arial" w:cs="Arial" w:eastAsia="Arial" w:hAnsi="Arial"/>
                <w:sz w:val="14"/>
                <w:szCs w:val="14"/>
                <w:b w:val="1"/>
                <w:bCs w:val="1"/>
                <w:color w:val="131E29"/>
              </w:rPr>
              <w:t>Nine Months Ended September 30,</w:t>
            </w:r>
          </w:p>
        </w:tc>
        <w:tc>
          <w:tcPr>
            <w:tcW w:w="140" w:type="dxa"/>
            <w:vAlign w:val="bottom"/>
          </w:tcPr>
          <w:p>
            <w:pPr>
              <w:spacing w:after="0"/>
              <w:rPr>
                <w:sz w:val="14"/>
                <w:szCs w:val="14"/>
                <w:color w:val="auto"/>
              </w:rPr>
            </w:pPr>
          </w:p>
        </w:tc>
        <w:tc>
          <w:tcPr>
            <w:tcW w:w="1440" w:type="dxa"/>
            <w:vAlign w:val="bottom"/>
          </w:tcPr>
          <w:p>
            <w:pPr>
              <w:jc w:val="center"/>
              <w:ind w:right="69"/>
              <w:spacing w:after="0"/>
              <w:rPr>
                <w:sz w:val="20"/>
                <w:szCs w:val="20"/>
                <w:color w:val="auto"/>
              </w:rPr>
            </w:pPr>
            <w:r>
              <w:rPr>
                <w:rFonts w:ascii="Arial" w:cs="Arial" w:eastAsia="Arial" w:hAnsi="Arial"/>
                <w:sz w:val="14"/>
                <w:szCs w:val="14"/>
                <w:b w:val="1"/>
                <w:bCs w:val="1"/>
                <w:color w:val="131E29"/>
              </w:rPr>
              <w:t>date fair value per</w:t>
            </w: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131E29"/>
              </w:rPr>
              <w:t>Nine Months Ended September 30,</w:t>
            </w:r>
          </w:p>
        </w:tc>
        <w:tc>
          <w:tcPr>
            <w:tcW w:w="140" w:type="dxa"/>
            <w:vAlign w:val="bottom"/>
          </w:tcPr>
          <w:p>
            <w:pPr>
              <w:spacing w:after="0"/>
              <w:rPr>
                <w:sz w:val="14"/>
                <w:szCs w:val="14"/>
                <w:color w:val="auto"/>
              </w:rPr>
            </w:pPr>
          </w:p>
        </w:tc>
        <w:tc>
          <w:tcPr>
            <w:tcW w:w="1440" w:type="dxa"/>
            <w:vAlign w:val="bottom"/>
          </w:tcPr>
          <w:p>
            <w:pPr>
              <w:jc w:val="center"/>
              <w:ind w:right="49"/>
              <w:spacing w:after="0"/>
              <w:rPr>
                <w:sz w:val="20"/>
                <w:szCs w:val="20"/>
                <w:color w:val="auto"/>
              </w:rPr>
            </w:pPr>
            <w:r>
              <w:rPr>
                <w:rFonts w:ascii="Arial" w:cs="Arial" w:eastAsia="Arial" w:hAnsi="Arial"/>
                <w:sz w:val="14"/>
                <w:szCs w:val="14"/>
                <w:b w:val="1"/>
                <w:bCs w:val="1"/>
                <w:color w:val="131E29"/>
              </w:rPr>
              <w:t>date fair value per</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131E29"/>
              </w:rPr>
              <w:t>share</w:t>
            </w: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b w:val="1"/>
                <w:bCs w:val="1"/>
                <w:color w:val="131E29"/>
              </w:rPr>
              <w:t>2023</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131E29"/>
              </w:rPr>
              <w:t>share</w:t>
            </w:r>
          </w:p>
        </w:tc>
      </w:tr>
      <w:tr>
        <w:trPr>
          <w:trHeight w:val="209"/>
        </w:trPr>
        <w:tc>
          <w:tcPr>
            <w:tcW w:w="32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RSAs</w:t>
            </w:r>
          </w:p>
        </w:tc>
        <w:tc>
          <w:tcPr>
            <w:tcW w:w="560" w:type="dxa"/>
            <w:vAlign w:val="bottom"/>
            <w:shd w:val="clear" w:color="auto" w:fill="D2DCE5"/>
          </w:tcPr>
          <w:p>
            <w:pPr>
              <w:jc w:val="right"/>
              <w:ind w:right="389"/>
              <w:spacing w:after="0"/>
              <w:rPr>
                <w:sz w:val="20"/>
                <w:szCs w:val="20"/>
                <w:color w:val="auto"/>
              </w:rPr>
            </w:pPr>
            <w:r>
              <w:rPr>
                <w:rFonts w:ascii="Arial" w:cs="Arial" w:eastAsia="Arial" w:hAnsi="Arial"/>
                <w:sz w:val="14"/>
                <w:szCs w:val="14"/>
                <w:color w:val="131E29"/>
              </w:rPr>
              <w:t>$</w:t>
            </w:r>
          </w:p>
        </w:tc>
        <w:tc>
          <w:tcPr>
            <w:tcW w:w="1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39,752</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30.99</w:t>
            </w:r>
          </w:p>
        </w:tc>
        <w:tc>
          <w:tcPr>
            <w:tcW w:w="560" w:type="dxa"/>
            <w:vAlign w:val="bottom"/>
            <w:shd w:val="clear" w:color="auto" w:fill="D2DCE5"/>
          </w:tcPr>
          <w:p>
            <w:pPr>
              <w:jc w:val="right"/>
              <w:ind w:right="409"/>
              <w:spacing w:after="0"/>
              <w:rPr>
                <w:sz w:val="20"/>
                <w:szCs w:val="20"/>
                <w:color w:val="auto"/>
              </w:rPr>
            </w:pPr>
            <w:r>
              <w:rPr>
                <w:rFonts w:ascii="Arial" w:cs="Arial" w:eastAsia="Arial" w:hAnsi="Arial"/>
                <w:sz w:val="14"/>
                <w:szCs w:val="14"/>
                <w:color w:val="131E29"/>
                <w:w w:val="76"/>
              </w:rPr>
              <w:t>$</w:t>
            </w:r>
          </w:p>
        </w:tc>
        <w:tc>
          <w:tcPr>
            <w:tcW w:w="18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36,451</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27.34</w:t>
            </w:r>
          </w:p>
        </w:tc>
      </w:tr>
      <w:tr>
        <w:trPr>
          <w:trHeight w:val="193"/>
        </w:trPr>
        <w:tc>
          <w:tcPr>
            <w:tcW w:w="3260" w:type="dxa"/>
            <w:vAlign w:val="bottom"/>
            <w:gridSpan w:val="2"/>
          </w:tcPr>
          <w:p>
            <w:pPr>
              <w:ind w:left="20"/>
              <w:spacing w:after="0"/>
              <w:rPr>
                <w:sz w:val="20"/>
                <w:szCs w:val="20"/>
                <w:color w:val="auto"/>
              </w:rPr>
            </w:pPr>
            <w:r>
              <w:rPr>
                <w:rFonts w:ascii="Arial" w:cs="Arial" w:eastAsia="Arial" w:hAnsi="Arial"/>
                <w:sz w:val="14"/>
                <w:szCs w:val="14"/>
                <w:color w:val="131E29"/>
              </w:rPr>
              <w:t>RSUs</w:t>
            </w:r>
          </w:p>
        </w:tc>
        <w:tc>
          <w:tcPr>
            <w:tcW w:w="5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131E29"/>
              </w:rPr>
              <w:t>3,197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131E29"/>
              </w:rPr>
              <w:t>31.34</w:t>
            </w:r>
          </w:p>
        </w:tc>
        <w:tc>
          <w:tcPr>
            <w:tcW w:w="5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131E29"/>
              </w:rPr>
              <w:t>6,039</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131E29"/>
              </w:rPr>
              <w:t>27.08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Equity-Based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Equity-based compensation expense is recognized on a straight-line basis and is included in the Company’s condensed consolidated statements of operations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273</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1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637</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57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2,688</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9,698</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7,583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29,017</w:t>
            </w:r>
          </w:p>
        </w:tc>
      </w:tr>
      <w:tr>
        <w:trPr>
          <w:trHeight w:val="237"/>
        </w:trPr>
        <w:tc>
          <w:tcPr>
            <w:tcW w:w="576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Total stock-based compensation expense</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2,961</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9,698</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8,220</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29,017</w:t>
            </w:r>
          </w:p>
        </w:tc>
      </w:tr>
      <w:tr>
        <w:trPr>
          <w:trHeight w:val="20"/>
        </w:trPr>
        <w:tc>
          <w:tcPr>
            <w:tcW w:w="56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As of September 30, 2024, total unrecognized stock-based compensation related to unvested RSUs was $25.6 million, which will be recognized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3"/>
                <w:szCs w:val="13"/>
                <w:color w:val="auto"/>
              </w:rPr>
            </w:pPr>
          </w:p>
        </w:tc>
        <w:tc>
          <w:tcPr>
            <w:tcW w:w="580" w:type="dxa"/>
            <w:vAlign w:val="bottom"/>
            <w:tcBorders>
              <w:bottom w:val="single" w:sz="8" w:color="131E29"/>
            </w:tcBorders>
          </w:tcPr>
          <w:p>
            <w:pPr>
              <w:spacing w:after="0"/>
              <w:rPr>
                <w:sz w:val="13"/>
                <w:szCs w:val="13"/>
                <w:color w:val="auto"/>
              </w:rPr>
            </w:pPr>
          </w:p>
        </w:tc>
        <w:tc>
          <w:tcPr>
            <w:tcW w:w="980" w:type="dxa"/>
            <w:vAlign w:val="bottom"/>
            <w:tcBorders>
              <w:bottom w:val="single" w:sz="8" w:color="131E29"/>
            </w:tcBorders>
          </w:tcPr>
          <w:p>
            <w:pPr>
              <w:spacing w:after="0"/>
              <w:rPr>
                <w:sz w:val="13"/>
                <w:szCs w:val="13"/>
                <w:color w:val="auto"/>
              </w:rPr>
            </w:pPr>
          </w:p>
        </w:tc>
      </w:tr>
      <w:tr>
        <w:trPr>
          <w:trHeight w:val="211"/>
        </w:trPr>
        <w:tc>
          <w:tcPr>
            <w:tcW w:w="97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Remainder of 2024</w:t>
            </w:r>
          </w:p>
        </w:tc>
        <w:tc>
          <w:tcPr>
            <w:tcW w:w="580" w:type="dxa"/>
            <w:vAlign w:val="bottom"/>
            <w:shd w:val="clear" w:color="auto" w:fill="D2DCE5"/>
          </w:tcPr>
          <w:p>
            <w:pPr>
              <w:jc w:val="right"/>
              <w:ind w:right="429"/>
              <w:spacing w:after="0"/>
              <w:rPr>
                <w:sz w:val="20"/>
                <w:szCs w:val="20"/>
                <w:color w:val="auto"/>
              </w:rPr>
            </w:pPr>
            <w:r>
              <w:rPr>
                <w:rFonts w:ascii="Arial" w:cs="Arial" w:eastAsia="Arial" w:hAnsi="Arial"/>
                <w:sz w:val="14"/>
                <w:szCs w:val="14"/>
                <w:color w:val="131E29"/>
                <w:w w:val="76"/>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3,538</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12,114</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shd w:val="clear" w:color="auto" w:fill="D2DCE5"/>
          </w:tcPr>
          <w:p>
            <w:pPr>
              <w:spacing w:after="0"/>
              <w:rPr>
                <w:sz w:val="19"/>
                <w:szCs w:val="19"/>
                <w:color w:val="auto"/>
              </w:rPr>
            </w:pPr>
          </w:p>
        </w:tc>
        <w:tc>
          <w:tcPr>
            <w:tcW w:w="580" w:type="dxa"/>
            <w:vAlign w:val="bottom"/>
            <w:shd w:val="clear" w:color="auto" w:fill="D2DCE5"/>
          </w:tcPr>
          <w:p>
            <w:pPr>
              <w:spacing w:after="0"/>
              <w:rPr>
                <w:sz w:val="19"/>
                <w:szCs w:val="19"/>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8,363</w:t>
            </w:r>
          </w:p>
        </w:tc>
      </w:tr>
      <w:tr>
        <w:trPr>
          <w:trHeight w:val="203"/>
        </w:trPr>
        <w:tc>
          <w:tcPr>
            <w:tcW w:w="9620" w:type="dxa"/>
            <w:vAlign w:val="bottom"/>
            <w:tcBorders>
              <w:bottom w:val="single" w:sz="8" w:color="D2DCE5"/>
            </w:tcBorders>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tcBorders>
              <w:bottom w:val="single" w:sz="8" w:color="D2DCE5"/>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1,609</w:t>
            </w:r>
          </w:p>
        </w:tc>
      </w:tr>
      <w:tr>
        <w:trPr>
          <w:trHeight w:val="237"/>
        </w:trPr>
        <w:tc>
          <w:tcPr>
            <w:tcW w:w="972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color w:val="131E29"/>
              </w:rPr>
              <w:t>Total unrecognized stock-based compensation</w:t>
            </w:r>
          </w:p>
        </w:tc>
        <w:tc>
          <w:tcPr>
            <w:tcW w:w="580" w:type="dxa"/>
            <w:vAlign w:val="bottom"/>
            <w:tcBorders>
              <w:bottom w:val="single" w:sz="8" w:color="auto"/>
            </w:tcBorders>
            <w:shd w:val="clear" w:color="auto" w:fill="D2DCE5"/>
          </w:tcPr>
          <w:p>
            <w:pPr>
              <w:jc w:val="right"/>
              <w:ind w:right="429"/>
              <w:spacing w:after="0"/>
              <w:rPr>
                <w:sz w:val="20"/>
                <w:szCs w:val="20"/>
                <w:color w:val="auto"/>
              </w:rPr>
            </w:pPr>
            <w:r>
              <w:rPr>
                <w:rFonts w:ascii="Arial" w:cs="Arial" w:eastAsia="Arial" w:hAnsi="Arial"/>
                <w:sz w:val="14"/>
                <w:szCs w:val="14"/>
                <w:color w:val="131E29"/>
                <w:w w:val="76"/>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25,624</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13 — Non-Controlling Interests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Dutch Bros Inc. is the sole managing member of Dutch Bros OpCo, and, as a result, consolidates the financial results of Dutch Bros OpCo. The Company reports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spacing w:after="0"/>
              <w:rPr>
                <w:sz w:val="20"/>
                <w:szCs w:val="20"/>
                <w:color w:val="auto"/>
              </w:rPr>
            </w:pPr>
            <w:r>
              <w:rPr>
                <w:rFonts w:ascii="Arial" w:cs="Arial" w:eastAsia="Arial" w:hAnsi="Arial"/>
                <w:sz w:val="14"/>
                <w:szCs w:val="14"/>
                <w:color w:val="131E29"/>
              </w:rPr>
              <w:t>The following table summarizes the ownership interest in Dutch Bros OpCo:</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53"/>
        </w:trPr>
        <w:tc>
          <w:tcPr>
            <w:tcW w:w="7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Borders>
              <w:bottom w:val="single" w:sz="8" w:color="auto"/>
            </w:tcBorders>
            <w:gridSpan w:val="3"/>
          </w:tcPr>
          <w:p>
            <w:pPr>
              <w:jc w:val="right"/>
              <w:ind w:right="1169"/>
              <w:spacing w:after="0"/>
              <w:rPr>
                <w:sz w:val="20"/>
                <w:szCs w:val="20"/>
                <w:color w:val="auto"/>
              </w:rPr>
            </w:pPr>
            <w:r>
              <w:rPr>
                <w:rFonts w:ascii="Arial" w:cs="Arial" w:eastAsia="Arial" w:hAnsi="Arial"/>
                <w:sz w:val="14"/>
                <w:szCs w:val="14"/>
                <w:b w:val="1"/>
                <w:bCs w:val="1"/>
                <w:color w:val="131E29"/>
              </w:rPr>
              <w:t>September 30, 2024</w:t>
            </w:r>
          </w:p>
        </w:tc>
      </w:tr>
      <w:tr>
        <w:trPr>
          <w:trHeight w:val="20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8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OpCo Units</w:t>
            </w:r>
          </w:p>
        </w:tc>
        <w:tc>
          <w:tcPr>
            <w:tcW w:w="80" w:type="dxa"/>
            <w:vAlign w:val="bottom"/>
            <w:tcBorders>
              <w:bottom w:val="single" w:sz="8" w:color="D2DCE5"/>
            </w:tcBorders>
          </w:tcPr>
          <w:p>
            <w:pPr>
              <w:spacing w:after="0"/>
              <w:rPr>
                <w:sz w:val="17"/>
                <w:szCs w:val="17"/>
                <w:color w:val="auto"/>
              </w:rPr>
            </w:pPr>
          </w:p>
        </w:tc>
        <w:tc>
          <w:tcPr>
            <w:tcW w:w="1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Ownership %</w:t>
            </w:r>
          </w:p>
        </w:tc>
      </w:tr>
      <w:tr>
        <w:trPr>
          <w:trHeight w:val="209"/>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 A common units held by Dutch Bros Inc.</w:t>
            </w:r>
          </w:p>
        </w:tc>
        <w:tc>
          <w:tcPr>
            <w:tcW w:w="18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113,823</w:t>
            </w:r>
          </w:p>
        </w:tc>
        <w:tc>
          <w:tcPr>
            <w:tcW w:w="80" w:type="dxa"/>
            <w:vAlign w:val="bottom"/>
            <w:shd w:val="clear" w:color="auto" w:fill="D2DCE5"/>
          </w:tcPr>
          <w:p>
            <w:pPr>
              <w:spacing w:after="0"/>
              <w:rPr>
                <w:sz w:val="18"/>
                <w:szCs w:val="18"/>
                <w:color w:val="auto"/>
              </w:rPr>
            </w:pPr>
          </w:p>
        </w:tc>
        <w:tc>
          <w:tcPr>
            <w:tcW w:w="19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64.2 %</w:t>
            </w:r>
          </w:p>
        </w:tc>
      </w:tr>
      <w:tr>
        <w:trPr>
          <w:trHeight w:val="203"/>
        </w:trPr>
        <w:tc>
          <w:tcPr>
            <w:tcW w:w="74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Dutch Bros OpCo Class A common units held by non-controlling interest holders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63,369</w:t>
            </w:r>
          </w:p>
        </w:tc>
        <w:tc>
          <w:tcPr>
            <w:tcW w:w="80" w:type="dxa"/>
            <w:vAlign w:val="bottom"/>
            <w:tcBorders>
              <w:bottom w:val="single" w:sz="8" w:color="D2DCE5"/>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35.8 %</w:t>
            </w:r>
          </w:p>
        </w:tc>
      </w:tr>
      <w:tr>
        <w:trPr>
          <w:trHeight w:val="237"/>
        </w:trPr>
        <w:tc>
          <w:tcPr>
            <w:tcW w:w="74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Dutch Bros OpCo Class A common units outstanding</w:t>
            </w:r>
          </w:p>
        </w:tc>
        <w:tc>
          <w:tcPr>
            <w:tcW w:w="1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177,192</w:t>
            </w:r>
          </w:p>
        </w:tc>
        <w:tc>
          <w:tcPr>
            <w:tcW w:w="80" w:type="dxa"/>
            <w:vAlign w:val="bottom"/>
            <w:tcBorders>
              <w:bottom w:val="single" w:sz="8" w:color="D2DCE5"/>
            </w:tcBorders>
            <w:shd w:val="clear" w:color="auto" w:fill="D2DCE5"/>
          </w:tcPr>
          <w:p>
            <w:pPr>
              <w:spacing w:after="0"/>
              <w:rPr>
                <w:sz w:val="20"/>
                <w:szCs w:val="20"/>
                <w:color w:val="auto"/>
              </w:rPr>
            </w:pPr>
          </w:p>
        </w:tc>
        <w:tc>
          <w:tcPr>
            <w:tcW w:w="1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100.0 %</w:t>
            </w:r>
          </w:p>
        </w:tc>
      </w:tr>
      <w:tr>
        <w:trPr>
          <w:trHeight w:val="20"/>
        </w:trPr>
        <w:tc>
          <w:tcPr>
            <w:tcW w:w="74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9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the effect of changes in ownership of Dutch Bros OpCo on the Company’s equity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6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80" w:type="dxa"/>
            <w:vAlign w:val="bottom"/>
            <w:tcBorders>
              <w:top w:val="single" w:sz="8" w:color="auto"/>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attributable to Dutch Bros Inc.</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12,644</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4,210</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31,646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3,120</w:t>
            </w:r>
          </w:p>
        </w:tc>
      </w:tr>
      <w:tr>
        <w:trPr>
          <w:trHeight w:val="202"/>
        </w:trPr>
        <w:tc>
          <w:tcPr>
            <w:tcW w:w="576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 (loss):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6"/>
        </w:trPr>
        <w:tc>
          <w:tcPr>
            <w:tcW w:w="57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Unrealized gain (loss) on derivative securities, effective portion, net of income tax</w:t>
            </w:r>
          </w:p>
        </w:tc>
        <w:tc>
          <w:tcPr>
            <w:tcW w:w="140" w:type="dxa"/>
            <w:vAlign w:val="bottom"/>
            <w:shd w:val="clear" w:color="auto" w:fill="D2DCE5"/>
          </w:tcPr>
          <w:p>
            <w:pPr>
              <w:spacing w:after="0"/>
              <w:rPr>
                <w:sz w:val="16"/>
                <w:szCs w:val="16"/>
                <w:color w:val="auto"/>
              </w:rPr>
            </w:pPr>
          </w:p>
        </w:tc>
        <w:tc>
          <w:tcPr>
            <w:tcW w:w="11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11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spacing w:after="0"/>
              <w:rPr>
                <w:sz w:val="16"/>
                <w:szCs w:val="16"/>
                <w:color w:val="auto"/>
              </w:rPr>
            </w:pPr>
          </w:p>
        </w:tc>
      </w:tr>
      <w:tr>
        <w:trPr>
          <w:trHeight w:val="206"/>
        </w:trPr>
        <w:tc>
          <w:tcPr>
            <w:tcW w:w="57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impacts</w:t>
            </w:r>
          </w:p>
        </w:tc>
        <w:tc>
          <w:tcPr>
            <w:tcW w:w="140" w:type="dxa"/>
            <w:vAlign w:val="bottom"/>
            <w:shd w:val="clear" w:color="auto" w:fill="D2DCE5"/>
          </w:tcPr>
          <w:p>
            <w:pPr>
              <w:spacing w:after="0"/>
              <w:rPr>
                <w:sz w:val="17"/>
                <w:szCs w:val="17"/>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(762)</w:t>
            </w: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188</w:t>
            </w: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(234)</w:t>
            </w: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280</w:t>
            </w:r>
          </w:p>
        </w:tc>
      </w:tr>
      <w:tr>
        <w:trPr>
          <w:trHeight w:val="202"/>
        </w:trPr>
        <w:tc>
          <w:tcPr>
            <w:tcW w:w="5760" w:type="dxa"/>
            <w:vAlign w:val="bottom"/>
            <w:gridSpan w:val="2"/>
          </w:tcPr>
          <w:p>
            <w:pPr>
              <w:ind w:left="20"/>
              <w:spacing w:after="0"/>
              <w:rPr>
                <w:sz w:val="20"/>
                <w:szCs w:val="20"/>
                <w:color w:val="auto"/>
              </w:rPr>
            </w:pPr>
            <w:r>
              <w:rPr>
                <w:rFonts w:ascii="Arial" w:cs="Arial" w:eastAsia="Arial" w:hAnsi="Arial"/>
                <w:sz w:val="14"/>
                <w:szCs w:val="14"/>
                <w:color w:val="131E29"/>
              </w:rPr>
              <w:t>Transfers from (to) non-controlling interests: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Increase in additional paid-in capital as a result of equity-based compensation</w:t>
            </w:r>
          </w:p>
        </w:tc>
        <w:tc>
          <w:tcPr>
            <w:tcW w:w="140" w:type="dxa"/>
            <w:vAlign w:val="bottom"/>
            <w:shd w:val="clear" w:color="auto" w:fill="D2DCE5"/>
          </w:tcPr>
          <w:p>
            <w:pPr>
              <w:spacing w:after="0"/>
              <w:rPr>
                <w:sz w:val="19"/>
                <w:szCs w:val="19"/>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1,902</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3,864</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4,866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10,609</w:t>
            </w:r>
          </w:p>
        </w:tc>
      </w:tr>
      <w:tr>
        <w:trPr>
          <w:trHeight w:val="176"/>
        </w:trPr>
        <w:tc>
          <w:tcPr>
            <w:tcW w:w="5760" w:type="dxa"/>
            <w:vAlign w:val="bottom"/>
            <w:gridSpan w:val="2"/>
          </w:tcPr>
          <w:p>
            <w:pPr>
              <w:ind w:left="140"/>
              <w:spacing w:after="0"/>
              <w:rPr>
                <w:sz w:val="20"/>
                <w:szCs w:val="20"/>
                <w:color w:val="auto"/>
              </w:rPr>
            </w:pPr>
            <w:r>
              <w:rPr>
                <w:rFonts w:ascii="Arial" w:cs="Arial" w:eastAsia="Arial" w:hAnsi="Arial"/>
                <w:sz w:val="14"/>
                <w:szCs w:val="14"/>
                <w:color w:val="131E29"/>
              </w:rPr>
              <w:t>Increase (decrease) in additional paid-in capital as a result of common stock issuances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5760" w:type="dxa"/>
            <w:vAlign w:val="bottom"/>
            <w:gridSpan w:val="2"/>
          </w:tcPr>
          <w:p>
            <w:pPr>
              <w:ind w:left="140"/>
              <w:spacing w:after="0"/>
              <w:rPr>
                <w:sz w:val="20"/>
                <w:szCs w:val="20"/>
                <w:color w:val="auto"/>
              </w:rPr>
            </w:pPr>
            <w:r>
              <w:rPr>
                <w:rFonts w:ascii="Arial" w:cs="Arial" w:eastAsia="Arial" w:hAnsi="Arial"/>
                <w:sz w:val="14"/>
                <w:szCs w:val="14"/>
                <w:color w:val="131E29"/>
              </w:rPr>
              <w:t>pursuant to vesting of equity awards, net of stock withheld for tax</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1,831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(661)</w:t>
            </w:r>
          </w:p>
        </w:tc>
      </w:tr>
      <w:tr>
        <w:trPr>
          <w:trHeight w:val="186"/>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Increase (decrease) in additional paid-in capital as a result of the acquisition of Dutch</w:t>
            </w:r>
          </w:p>
        </w:tc>
        <w:tc>
          <w:tcPr>
            <w:tcW w:w="140" w:type="dxa"/>
            <w:vAlign w:val="bottom"/>
            <w:shd w:val="clear" w:color="auto" w:fill="D2DCE5"/>
          </w:tcPr>
          <w:p>
            <w:pPr>
              <w:spacing w:after="0"/>
              <w:rPr>
                <w:sz w:val="16"/>
                <w:szCs w:val="16"/>
                <w:color w:val="auto"/>
              </w:rPr>
            </w:pPr>
          </w:p>
        </w:tc>
        <w:tc>
          <w:tcPr>
            <w:tcW w:w="11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11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spacing w:after="0"/>
              <w:rPr>
                <w:sz w:val="16"/>
                <w:szCs w:val="16"/>
                <w:color w:val="auto"/>
              </w:rPr>
            </w:pPr>
          </w:p>
        </w:tc>
      </w:tr>
      <w:tr>
        <w:trPr>
          <w:trHeight w:val="196"/>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Bros OpCo Class A common units</w:t>
            </w:r>
          </w:p>
        </w:tc>
        <w:tc>
          <w:tcPr>
            <w:tcW w:w="140" w:type="dxa"/>
            <w:vAlign w:val="bottom"/>
            <w:tcBorders>
              <w:bottom w:val="single" w:sz="8" w:color="auto"/>
            </w:tcBorders>
            <w:shd w:val="clear" w:color="auto" w:fill="D2DCE5"/>
          </w:tcPr>
          <w:p>
            <w:pPr>
              <w:spacing w:after="0"/>
              <w:rPr>
                <w:sz w:val="17"/>
                <w:szCs w:val="17"/>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(189,072)</w:t>
            </w:r>
          </w:p>
        </w:tc>
        <w:tc>
          <w:tcPr>
            <w:tcW w:w="80" w:type="dxa"/>
            <w:vAlign w:val="bottom"/>
            <w:shd w:val="clear" w:color="auto" w:fill="D2DCE5"/>
          </w:tcPr>
          <w:p>
            <w:pPr>
              <w:spacing w:after="0"/>
              <w:rPr>
                <w:sz w:val="17"/>
                <w:szCs w:val="17"/>
                <w:color w:val="auto"/>
              </w:rPr>
            </w:pPr>
          </w:p>
        </w:tc>
        <w:tc>
          <w:tcPr>
            <w:tcW w:w="160" w:type="dxa"/>
            <w:vAlign w:val="bottom"/>
            <w:tcBorders>
              <w:bottom w:val="single" w:sz="8" w:color="auto"/>
            </w:tcBorders>
            <w:shd w:val="clear" w:color="auto" w:fill="D2DCE5"/>
          </w:tcPr>
          <w:p>
            <w:pPr>
              <w:spacing w:after="0"/>
              <w:rPr>
                <w:sz w:val="17"/>
                <w:szCs w:val="17"/>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110,093</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(187,950)</w:t>
            </w:r>
          </w:p>
        </w:tc>
      </w:tr>
      <w:tr>
        <w:trPr>
          <w:trHeight w:val="212"/>
        </w:trPr>
        <w:tc>
          <w:tcPr>
            <w:tcW w:w="5760" w:type="dxa"/>
            <w:vAlign w:val="bottom"/>
            <w:gridSpan w:val="2"/>
          </w:tcPr>
          <w:p>
            <w:pPr>
              <w:ind w:left="20"/>
              <w:spacing w:after="0"/>
              <w:rPr>
                <w:sz w:val="20"/>
                <w:szCs w:val="20"/>
                <w:color w:val="auto"/>
              </w:rPr>
            </w:pPr>
            <w:r>
              <w:rPr>
                <w:rFonts w:ascii="Arial" w:cs="Arial" w:eastAsia="Arial" w:hAnsi="Arial"/>
                <w:sz w:val="14"/>
                <w:szCs w:val="14"/>
                <w:color w:val="131E29"/>
              </w:rPr>
              <w:t>Total effect of changes in ownership interest on equity attributable to Dutch Bros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13,756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(180,810)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148,202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(174,602)</w:t>
            </w:r>
          </w:p>
        </w:tc>
      </w:tr>
      <w:tr>
        <w:trPr>
          <w:trHeight w:val="20"/>
        </w:trPr>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131E29"/>
              </w:rPr>
              <w:t>Three Months Ended September 30,</w:t>
            </w:r>
          </w:p>
        </w:tc>
        <w:tc>
          <w:tcPr>
            <w:tcW w:w="80" w:type="dxa"/>
            <w:vAlign w:val="bottom"/>
          </w:tcPr>
          <w:p>
            <w:pPr>
              <w:spacing w:after="0"/>
              <w:rPr>
                <w:sz w:val="17"/>
                <w:szCs w:val="17"/>
                <w:color w:val="auto"/>
              </w:rPr>
            </w:pPr>
          </w:p>
        </w:tc>
        <w:tc>
          <w:tcPr>
            <w:tcW w:w="28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3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4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3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13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131E29"/>
              </w:rPr>
              <w:t>2023</w:t>
            </w:r>
          </w:p>
        </w:tc>
      </w:tr>
      <w:tr>
        <w:trPr>
          <w:trHeight w:val="209"/>
        </w:trPr>
        <w:tc>
          <w:tcPr>
            <w:tcW w:w="6360" w:type="dxa"/>
            <w:vAlign w:val="bottom"/>
            <w:gridSpan w:val="3"/>
            <w:shd w:val="clear" w:color="auto" w:fill="D2DCE5"/>
          </w:tcPr>
          <w:p>
            <w:pPr>
              <w:jc w:val="right"/>
              <w:ind w:right="3689"/>
              <w:spacing w:after="0"/>
              <w:rPr>
                <w:sz w:val="20"/>
                <w:szCs w:val="20"/>
                <w:color w:val="auto"/>
              </w:rPr>
            </w:pPr>
            <w:r>
              <w:rPr>
                <w:rFonts w:ascii="Arial" w:cs="Arial" w:eastAsia="Arial" w:hAnsi="Arial"/>
                <w:sz w:val="14"/>
                <w:szCs w:val="14"/>
                <w:color w:val="131E29"/>
              </w:rPr>
              <w:t>Weighted-average ownership percentage</w:t>
            </w:r>
          </w:p>
        </w:tc>
        <w:tc>
          <w:tcPr>
            <w:tcW w:w="5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35.8 %</w:t>
            </w:r>
          </w:p>
        </w:tc>
        <w:tc>
          <w:tcPr>
            <w:tcW w:w="80" w:type="dxa"/>
            <w:vAlign w:val="bottom"/>
            <w:shd w:val="clear" w:color="auto" w:fill="D2DCE5"/>
          </w:tcPr>
          <w:p>
            <w:pPr>
              <w:spacing w:after="0"/>
              <w:rPr>
                <w:sz w:val="18"/>
                <w:szCs w:val="18"/>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64.1 %</w:t>
            </w:r>
          </w:p>
        </w:tc>
        <w:tc>
          <w:tcPr>
            <w:tcW w:w="80" w:type="dxa"/>
            <w:vAlign w:val="bottom"/>
            <w:shd w:val="clear" w:color="auto" w:fill="D2DCE5"/>
          </w:tcPr>
          <w:p>
            <w:pPr>
              <w:spacing w:after="0"/>
              <w:rPr>
                <w:sz w:val="18"/>
                <w:szCs w:val="18"/>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43.7 %</w:t>
            </w:r>
          </w:p>
        </w:tc>
        <w:tc>
          <w:tcPr>
            <w:tcW w:w="100" w:type="dxa"/>
            <w:vAlign w:val="bottom"/>
            <w:shd w:val="clear" w:color="auto" w:fill="D2DCE5"/>
          </w:tcPr>
          <w:p>
            <w:pPr>
              <w:spacing w:after="0"/>
              <w:rPr>
                <w:sz w:val="18"/>
                <w:szCs w:val="18"/>
                <w:color w:val="auto"/>
              </w:rPr>
            </w:pPr>
          </w:p>
        </w:tc>
        <w:tc>
          <w:tcPr>
            <w:tcW w:w="13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64.8 %</w:t>
            </w: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Under the OpCo LLC Agreement, Dutch Bros OpCo is required to make certain distributions to its members with regard to tax obligations. Such distributions paid to members were as follows for the periods presented, and no amounts were payable as of the periods then ended.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gridSpan w:val="6"/>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Amounts paid to non-controlling interest holders</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687</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260" w:type="dxa"/>
            <w:vAlign w:val="bottom"/>
            <w:gridSpan w:val="3"/>
            <w:shd w:val="clear" w:color="auto" w:fill="D2DCE5"/>
          </w:tcPr>
          <w:p>
            <w:pPr>
              <w:ind w:left="820"/>
              <w:spacing w:after="0"/>
              <w:rPr>
                <w:sz w:val="20"/>
                <w:szCs w:val="20"/>
                <w:color w:val="auto"/>
              </w:rPr>
            </w:pPr>
            <w:r>
              <w:rPr>
                <w:rFonts w:ascii="Arial" w:cs="Arial" w:eastAsia="Arial" w:hAnsi="Arial"/>
                <w:sz w:val="14"/>
                <w:szCs w:val="14"/>
                <w:color w:val="131E29"/>
              </w:rPr>
              <w:t>—  $</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687</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14 — Income Per Share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tables set forth the numerators and denominators used to compute basic and diluted net income per share of Class A common stock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40" w:type="dxa"/>
            <w:vAlign w:val="bottom"/>
          </w:tcPr>
          <w:p>
            <w:pPr>
              <w:spacing w:after="0"/>
              <w:rPr>
                <w:sz w:val="17"/>
                <w:szCs w:val="17"/>
                <w:color w:val="auto"/>
              </w:rPr>
            </w:pPr>
          </w:p>
        </w:tc>
        <w:tc>
          <w:tcPr>
            <w:tcW w:w="256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Numerator:</w:t>
            </w:r>
          </w:p>
        </w:tc>
        <w:tc>
          <w:tcPr>
            <w:tcW w:w="14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Net income</w:t>
            </w:r>
          </w:p>
        </w:tc>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Pr>
          <w:p>
            <w:pPr>
              <w:jc w:val="right"/>
              <w:spacing w:after="0"/>
              <w:rPr>
                <w:sz w:val="20"/>
                <w:szCs w:val="20"/>
                <w:color w:val="auto"/>
              </w:rPr>
            </w:pPr>
            <w:r>
              <w:rPr>
                <w:rFonts w:ascii="Arial" w:cs="Arial" w:eastAsia="Arial" w:hAnsi="Arial"/>
                <w:sz w:val="14"/>
                <w:szCs w:val="14"/>
                <w:color w:val="131E29"/>
              </w:rPr>
              <w:t>21,712</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13,401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60,083</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13,721</w:t>
            </w:r>
          </w:p>
        </w:tc>
      </w:tr>
      <w:tr>
        <w:trPr>
          <w:trHeight w:val="213"/>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attributable to non-controlling interests</w:t>
            </w:r>
          </w:p>
        </w:tc>
        <w:tc>
          <w:tcPr>
            <w:tcW w:w="140" w:type="dxa"/>
            <w:vAlign w:val="bottom"/>
            <w:tcBorders>
              <w:bottom w:val="single" w:sz="8" w:color="auto"/>
            </w:tcBorders>
            <w:shd w:val="clear" w:color="auto" w:fill="D2DCE5"/>
          </w:tcPr>
          <w:p>
            <w:pPr>
              <w:spacing w:after="0"/>
              <w:rPr>
                <w:sz w:val="18"/>
                <w:szCs w:val="18"/>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9,068</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9,191</w:t>
            </w:r>
          </w:p>
        </w:tc>
        <w:tc>
          <w:tcPr>
            <w:tcW w:w="80" w:type="dxa"/>
            <w:vAlign w:val="bottom"/>
            <w:shd w:val="clear" w:color="auto" w:fill="D2DCE5"/>
          </w:tcPr>
          <w:p>
            <w:pPr>
              <w:spacing w:after="0"/>
              <w:rPr>
                <w:sz w:val="18"/>
                <w:szCs w:val="18"/>
                <w:color w:val="auto"/>
              </w:rPr>
            </w:pPr>
          </w:p>
        </w:tc>
        <w:tc>
          <w:tcPr>
            <w:tcW w:w="140" w:type="dxa"/>
            <w:vAlign w:val="bottom"/>
            <w:tcBorders>
              <w:bottom w:val="single" w:sz="8" w:color="auto"/>
            </w:tcBorders>
            <w:shd w:val="clear" w:color="auto" w:fill="D2DCE5"/>
          </w:tcPr>
          <w:p>
            <w:pPr>
              <w:spacing w:after="0"/>
              <w:rPr>
                <w:sz w:val="18"/>
                <w:szCs w:val="18"/>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28,437</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10,601</w:t>
            </w:r>
          </w:p>
        </w:tc>
      </w:tr>
      <w:tr>
        <w:trPr>
          <w:trHeight w:val="212"/>
        </w:trPr>
        <w:tc>
          <w:tcPr>
            <w:tcW w:w="5780" w:type="dxa"/>
            <w:vAlign w:val="bottom"/>
            <w:gridSpan w:val="2"/>
          </w:tcPr>
          <w:p>
            <w:pPr>
              <w:ind w:left="20"/>
              <w:spacing w:after="0"/>
              <w:rPr>
                <w:sz w:val="20"/>
                <w:szCs w:val="20"/>
                <w:color w:val="auto"/>
              </w:rPr>
            </w:pPr>
            <w:r>
              <w:rPr>
                <w:rFonts w:ascii="Arial" w:cs="Arial" w:eastAsia="Arial" w:hAnsi="Arial"/>
                <w:sz w:val="14"/>
                <w:szCs w:val="14"/>
                <w:color w:val="131E29"/>
              </w:rPr>
              <w:t>Net income attributable to Dutch Bros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12,644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4,210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31,646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3,120</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Basic net income per share attributable to common stockholders</w:t>
            </w:r>
          </w:p>
        </w:tc>
        <w:tc>
          <w:tcPr>
            <w:tcW w:w="14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gridSpan w:val="2"/>
          </w:tcPr>
          <w:p>
            <w:pPr>
              <w:ind w:left="100"/>
              <w:spacing w:after="0"/>
              <w:rPr>
                <w:sz w:val="20"/>
                <w:szCs w:val="20"/>
                <w:color w:val="auto"/>
              </w:rPr>
            </w:pPr>
            <w:r>
              <w:rPr>
                <w:rFonts w:ascii="Arial" w:cs="Arial" w:eastAsia="Arial" w:hAnsi="Arial"/>
                <w:sz w:val="14"/>
                <w:szCs w:val="14"/>
                <w:color w:val="131E29"/>
              </w:rPr>
              <w:t>Numerator:</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Net income attributable to Dutch Bros Inc.</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12,644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4,210</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31,646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3,120</w:t>
            </w:r>
          </w:p>
        </w:tc>
        <w:tc>
          <w:tcPr>
            <w:tcW w:w="0" w:type="dxa"/>
            <w:vAlign w:val="bottom"/>
          </w:tcPr>
          <w:p>
            <w:pPr>
              <w:spacing w:after="0"/>
              <w:rPr>
                <w:sz w:val="1"/>
                <w:szCs w:val="1"/>
                <w:color w:val="auto"/>
              </w:rPr>
            </w:pPr>
          </w:p>
        </w:tc>
      </w:tr>
      <w:tr>
        <w:trPr>
          <w:trHeight w:val="202"/>
        </w:trPr>
        <w:tc>
          <w:tcPr>
            <w:tcW w:w="5760" w:type="dxa"/>
            <w:vAlign w:val="bottom"/>
            <w:gridSpan w:val="2"/>
          </w:tcPr>
          <w:p>
            <w:pPr>
              <w:ind w:left="100"/>
              <w:spacing w:after="0"/>
              <w:rPr>
                <w:sz w:val="20"/>
                <w:szCs w:val="20"/>
                <w:color w:val="auto"/>
              </w:rPr>
            </w:pPr>
            <w:r>
              <w:rPr>
                <w:rFonts w:ascii="Arial" w:cs="Arial" w:eastAsia="Arial" w:hAnsi="Arial"/>
                <w:sz w:val="14"/>
                <w:szCs w:val="14"/>
                <w:color w:val="131E29"/>
              </w:rPr>
              <w:t>Denominator:</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76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Weighted-average number of shares of Class A and Class D common stock</w:t>
            </w:r>
          </w:p>
        </w:tc>
        <w:tc>
          <w:tcPr>
            <w:tcW w:w="140" w:type="dxa"/>
            <w:vAlign w:val="bottom"/>
            <w:shd w:val="clear" w:color="auto" w:fill="D2DCE5"/>
          </w:tcPr>
          <w:p>
            <w:pPr>
              <w:spacing w:after="0"/>
              <w:rPr>
                <w:sz w:val="16"/>
                <w:szCs w:val="16"/>
                <w:color w:val="auto"/>
              </w:rPr>
            </w:pPr>
          </w:p>
        </w:tc>
        <w:tc>
          <w:tcPr>
            <w:tcW w:w="11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60" w:type="dxa"/>
            <w:vAlign w:val="bottom"/>
            <w:shd w:val="clear" w:color="auto" w:fill="D2DCE5"/>
          </w:tcPr>
          <w:p>
            <w:pPr>
              <w:spacing w:after="0"/>
              <w:rPr>
                <w:sz w:val="16"/>
                <w:szCs w:val="16"/>
                <w:color w:val="auto"/>
              </w:rPr>
            </w:pPr>
          </w:p>
        </w:tc>
        <w:tc>
          <w:tcPr>
            <w:tcW w:w="11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02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outstanding - basic ¹</w:t>
            </w:r>
          </w:p>
        </w:tc>
        <w:tc>
          <w:tcPr>
            <w:tcW w:w="140" w:type="dxa"/>
            <w:vAlign w:val="bottom"/>
            <w:tcBorders>
              <w:bottom w:val="single" w:sz="8" w:color="auto"/>
            </w:tcBorders>
            <w:shd w:val="clear" w:color="auto" w:fill="D2DCE5"/>
          </w:tcPr>
          <w:p>
            <w:pPr>
              <w:spacing w:after="0"/>
              <w:rPr>
                <w:sz w:val="17"/>
                <w:szCs w:val="17"/>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113,819</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59,366</w:t>
            </w:r>
          </w:p>
        </w:tc>
        <w:tc>
          <w:tcPr>
            <w:tcW w:w="80" w:type="dxa"/>
            <w:vAlign w:val="bottom"/>
            <w:shd w:val="clear" w:color="auto" w:fill="D2DCE5"/>
          </w:tcPr>
          <w:p>
            <w:pPr>
              <w:spacing w:after="0"/>
              <w:rPr>
                <w:sz w:val="17"/>
                <w:szCs w:val="17"/>
                <w:color w:val="auto"/>
              </w:rPr>
            </w:pPr>
          </w:p>
        </w:tc>
        <w:tc>
          <w:tcPr>
            <w:tcW w:w="160" w:type="dxa"/>
            <w:vAlign w:val="bottom"/>
            <w:tcBorders>
              <w:bottom w:val="single" w:sz="8" w:color="auto"/>
            </w:tcBorders>
            <w:shd w:val="clear" w:color="auto" w:fill="D2DCE5"/>
          </w:tcPr>
          <w:p>
            <w:pPr>
              <w:spacing w:after="0"/>
              <w:rPr>
                <w:sz w:val="17"/>
                <w:szCs w:val="17"/>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99,756</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57,598</w:t>
            </w:r>
          </w:p>
        </w:tc>
        <w:tc>
          <w:tcPr>
            <w:tcW w:w="0" w:type="dxa"/>
            <w:vAlign w:val="bottom"/>
          </w:tcPr>
          <w:p>
            <w:pPr>
              <w:spacing w:after="0"/>
              <w:rPr>
                <w:sz w:val="1"/>
                <w:szCs w:val="1"/>
                <w:color w:val="auto"/>
              </w:rPr>
            </w:pPr>
          </w:p>
        </w:tc>
      </w:tr>
      <w:tr>
        <w:trPr>
          <w:trHeight w:val="74"/>
        </w:trPr>
        <w:tc>
          <w:tcPr>
            <w:tcW w:w="5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Basic net income per share attributable to common stockholders ¹</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0.11</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0.07</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0.32</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0.05</w:t>
            </w:r>
          </w:p>
        </w:tc>
        <w:tc>
          <w:tcPr>
            <w:tcW w:w="0" w:type="dxa"/>
            <w:vAlign w:val="bottom"/>
          </w:tcPr>
          <w:p>
            <w:pPr>
              <w:spacing w:after="0"/>
              <w:rPr>
                <w:sz w:val="1"/>
                <w:szCs w:val="1"/>
                <w:color w:val="auto"/>
              </w:rPr>
            </w:pPr>
          </w:p>
        </w:tc>
      </w:tr>
      <w:tr>
        <w:trPr>
          <w:trHeight w:val="20"/>
        </w:trPr>
        <w:tc>
          <w:tcPr>
            <w:tcW w:w="568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 w:hanging="135"/>
        <w:spacing w:after="0" w:line="221" w:lineRule="auto"/>
        <w:tabs>
          <w:tab w:leader="none" w:pos="74" w:val="left"/>
        </w:tabs>
        <w:numPr>
          <w:ilvl w:val="0"/>
          <w:numId w:val="4"/>
        </w:numPr>
        <w:rPr>
          <w:rFonts w:ascii="Arial" w:cs="Arial" w:eastAsia="Arial" w:hAnsi="Arial"/>
          <w:sz w:val="15"/>
          <w:szCs w:val="15"/>
          <w:color w:val="131E29"/>
          <w:vertAlign w:val="superscript"/>
        </w:rPr>
      </w:pPr>
      <w:r>
        <w:rPr>
          <w:rFonts w:ascii="Arial" w:cs="Arial" w:eastAsia="Arial" w:hAnsi="Arial"/>
          <w:sz w:val="11"/>
          <w:szCs w:val="11"/>
          <w:color w:val="131E29"/>
        </w:rPr>
        <w:t>Class D common shares were included in net income per share and weighted-average number of shares calculations in 2023 and periods prior to June 2024. As of June 2024, all Class D common shares were converted to Class A common shares.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except per share amounts)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Diluted net income per share attributable to common stockholders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Numerator:</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color w:val="131E29"/>
        </w:rPr>
        <w:t>Undistributed net income for basic computation</w:t>
      </w:r>
    </w:p>
    <w:p>
      <w:pPr>
        <w:spacing w:after="0" w:line="51" w:lineRule="exact"/>
        <w:rPr>
          <w:sz w:val="20"/>
          <w:szCs w:val="20"/>
          <w:color w:val="auto"/>
        </w:rPr>
      </w:pPr>
    </w:p>
    <w:p>
      <w:pPr>
        <w:ind w:left="280"/>
        <w:spacing w:after="0" w:line="290" w:lineRule="auto"/>
        <w:rPr>
          <w:sz w:val="20"/>
          <w:szCs w:val="20"/>
          <w:color w:val="auto"/>
        </w:rPr>
      </w:pPr>
      <w:r>
        <w:rPr>
          <w:rFonts w:ascii="Arial" w:cs="Arial" w:eastAsia="Arial" w:hAnsi="Arial"/>
          <w:sz w:val="14"/>
          <w:szCs w:val="14"/>
          <w:color w:val="131E29"/>
        </w:rPr>
        <w:t>Increase in net income attributable to common stockholders upon conversion of potentially dilutive instruments</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131E29"/>
        </w:rPr>
        <w:t>Allocation of undistributed net income</w:t>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4"/>
          <w:szCs w:val="14"/>
          <w:color w:val="131E29"/>
        </w:rPr>
        <w:t>Denominator:</w:t>
      </w:r>
    </w:p>
    <w:p>
      <w:pPr>
        <w:spacing w:after="0" w:line="51" w:lineRule="exact"/>
        <w:rPr>
          <w:sz w:val="20"/>
          <w:szCs w:val="20"/>
          <w:color w:val="auto"/>
        </w:rPr>
      </w:pPr>
    </w:p>
    <w:p>
      <w:pPr>
        <w:ind w:left="280" w:right="1860"/>
        <w:spacing w:after="0" w:line="316" w:lineRule="auto"/>
        <w:rPr>
          <w:sz w:val="20"/>
          <w:szCs w:val="20"/>
          <w:color w:val="auto"/>
        </w:rPr>
      </w:pPr>
      <w:r>
        <w:rPr>
          <w:rFonts w:ascii="Arial" w:cs="Arial" w:eastAsia="Arial" w:hAnsi="Arial"/>
          <w:sz w:val="14"/>
          <w:szCs w:val="14"/>
          <w:color w:val="131E29"/>
        </w:rPr>
        <w:t>Number of shares used in basic computation Add: weighted-average effect of dilutive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131E29"/>
              </w:rPr>
              <w:t>2023</w:t>
            </w:r>
          </w:p>
        </w:tc>
      </w:tr>
      <w:tr>
        <w:trPr>
          <w:trHeight w:val="613"/>
        </w:trPr>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12,644</w:t>
            </w:r>
          </w:p>
        </w:tc>
        <w:tc>
          <w:tcPr>
            <w:tcW w:w="80" w:type="dxa"/>
            <w:vAlign w:val="bottom"/>
          </w:tcPr>
          <w:p>
            <w:pPr>
              <w:spacing w:after="0"/>
              <w:rPr>
                <w:sz w:val="24"/>
                <w:szCs w:val="2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40" w:type="dxa"/>
            <w:vAlign w:val="bottom"/>
          </w:tcPr>
          <w:p>
            <w:pPr>
              <w:jc w:val="right"/>
              <w:spacing w:after="0"/>
              <w:rPr>
                <w:sz w:val="20"/>
                <w:szCs w:val="20"/>
                <w:color w:val="auto"/>
              </w:rPr>
            </w:pPr>
            <w:r>
              <w:rPr>
                <w:rFonts w:ascii="Arial" w:cs="Arial" w:eastAsia="Arial" w:hAnsi="Arial"/>
                <w:sz w:val="14"/>
                <w:szCs w:val="14"/>
                <w:color w:val="131E29"/>
              </w:rPr>
              <w:t>4,210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31,646</w:t>
            </w:r>
          </w:p>
        </w:tc>
        <w:tc>
          <w:tcPr>
            <w:tcW w:w="80" w:type="dxa"/>
            <w:vAlign w:val="bottom"/>
          </w:tcPr>
          <w:p>
            <w:pPr>
              <w:spacing w:after="0"/>
              <w:rPr>
                <w:sz w:val="24"/>
                <w:szCs w:val="2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00" w:type="dxa"/>
            <w:vAlign w:val="bottom"/>
          </w:tcPr>
          <w:p>
            <w:pPr>
              <w:jc w:val="right"/>
              <w:spacing w:after="0"/>
              <w:rPr>
                <w:sz w:val="20"/>
                <w:szCs w:val="20"/>
                <w:color w:val="auto"/>
              </w:rPr>
            </w:pPr>
            <w:r>
              <w:rPr>
                <w:rFonts w:ascii="Arial" w:cs="Arial" w:eastAsia="Arial" w:hAnsi="Arial"/>
                <w:sz w:val="14"/>
                <w:szCs w:val="14"/>
                <w:color w:val="131E29"/>
              </w:rPr>
              <w:t>3,120</w:t>
            </w:r>
          </w:p>
        </w:tc>
      </w:tr>
      <w:tr>
        <w:trPr>
          <w:trHeight w:val="392"/>
        </w:trPr>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12,666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4,254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31,696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3,120</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6"/>
        </w:trPr>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113,819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131E29"/>
              </w:rPr>
              <w:t>59,366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99,756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131E29"/>
              </w:rPr>
              <w:t>57,598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-923290</wp:posOffset>
            </wp:positionV>
            <wp:extent cx="7161530"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-546100</wp:posOffset>
            </wp:positionV>
            <wp:extent cx="7161530" cy="154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-256540</wp:posOffset>
            </wp:positionV>
            <wp:extent cx="7161530"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12700</wp:posOffset>
            </wp:positionV>
            <wp:extent cx="716153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-1199515</wp:posOffset>
            </wp:positionV>
            <wp:extent cx="7161530" cy="141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5240" w:space="560"/>
            <w:col w:w="5480"/>
          </w:cols>
          <w:pgMar w:left="300" w:top="133" w:right="319" w:bottom="1440" w:gutter="0" w:footer="0" w:header="0"/>
        </w:sectPr>
      </w:pPr>
    </w:p>
    <w:tbl>
      <w:tblPr>
        <w:tblLayout w:type="fixed"/>
        <w:tblInd w:w="0" w:type="dxa"/>
        <w:tblCellMar>
          <w:top w:w="0" w:type="dxa"/>
          <w:left w:w="0" w:type="dxa"/>
          <w:bottom w:w="0" w:type="dxa"/>
          <w:right w:w="0" w:type="dxa"/>
        </w:tblCellMar>
      </w:tblPr>
      <w:tr>
        <w:trPr>
          <w:trHeight w:val="196"/>
        </w:trPr>
        <w:tc>
          <w:tcPr>
            <w:tcW w:w="5800" w:type="dxa"/>
            <w:vAlign w:val="bottom"/>
          </w:tcPr>
          <w:p>
            <w:pPr>
              <w:jc w:val="center"/>
              <w:ind w:right="4569"/>
              <w:spacing w:after="0"/>
              <w:rPr>
                <w:sz w:val="20"/>
                <w:szCs w:val="20"/>
                <w:color w:val="auto"/>
              </w:rPr>
            </w:pPr>
            <w:r>
              <w:rPr>
                <w:rFonts w:ascii="Arial" w:cs="Arial" w:eastAsia="Arial" w:hAnsi="Arial"/>
                <w:sz w:val="14"/>
                <w:szCs w:val="14"/>
                <w:color w:val="131E29"/>
              </w:rPr>
              <w:t>RSAs</w:t>
            </w:r>
          </w:p>
        </w:tc>
        <w:tc>
          <w:tcPr>
            <w:tcW w:w="4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31E29"/>
              </w:rPr>
              <w:t>848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31E29"/>
              </w:rPr>
              <w:t>12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2"/>
        </w:trPr>
        <w:tc>
          <w:tcPr>
            <w:tcW w:w="5800" w:type="dxa"/>
            <w:vAlign w:val="bottom"/>
            <w:shd w:val="clear" w:color="auto" w:fill="D2DCE5"/>
          </w:tcPr>
          <w:p>
            <w:pPr>
              <w:jc w:val="center"/>
              <w:ind w:right="4549"/>
              <w:spacing w:after="0"/>
              <w:rPr>
                <w:sz w:val="20"/>
                <w:szCs w:val="20"/>
                <w:color w:val="auto"/>
              </w:rPr>
            </w:pPr>
            <w:r>
              <w:rPr>
                <w:rFonts w:ascii="Arial" w:cs="Arial" w:eastAsia="Arial" w:hAnsi="Arial"/>
                <w:sz w:val="14"/>
                <w:szCs w:val="14"/>
                <w:color w:val="131E29"/>
              </w:rPr>
              <w:t>RSUs</w:t>
            </w:r>
          </w:p>
        </w:tc>
        <w:tc>
          <w:tcPr>
            <w:tcW w:w="420" w:type="dxa"/>
            <w:vAlign w:val="bottom"/>
            <w:shd w:val="clear" w:color="auto" w:fill="D2DCE5"/>
          </w:tcPr>
          <w:p>
            <w:pPr>
              <w:spacing w:after="0"/>
              <w:rPr>
                <w:sz w:val="19"/>
                <w:szCs w:val="19"/>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433</w:t>
            </w:r>
          </w:p>
        </w:tc>
        <w:tc>
          <w:tcPr>
            <w:tcW w:w="80" w:type="dxa"/>
            <w:vAlign w:val="bottom"/>
            <w:shd w:val="clear" w:color="auto" w:fill="D2DCE5"/>
          </w:tcPr>
          <w:p>
            <w:pPr>
              <w:spacing w:after="0"/>
              <w:rPr>
                <w:sz w:val="19"/>
                <w:szCs w:val="19"/>
                <w:color w:val="auto"/>
              </w:rPr>
            </w:pPr>
          </w:p>
        </w:tc>
        <w:tc>
          <w:tcPr>
            <w:tcW w:w="480" w:type="dxa"/>
            <w:vAlign w:val="bottom"/>
            <w:shd w:val="clear" w:color="auto" w:fill="D2DCE5"/>
          </w:tcPr>
          <w:p>
            <w:pPr>
              <w:spacing w:after="0"/>
              <w:rPr>
                <w:sz w:val="19"/>
                <w:szCs w:val="19"/>
                <w:color w:val="auto"/>
              </w:rPr>
            </w:pPr>
          </w:p>
        </w:tc>
        <w:tc>
          <w:tcPr>
            <w:tcW w:w="9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420" w:type="dxa"/>
            <w:vAlign w:val="bottom"/>
            <w:shd w:val="clear" w:color="auto" w:fill="D2DCE5"/>
          </w:tcPr>
          <w:p>
            <w:pPr>
              <w:spacing w:after="0"/>
              <w:rPr>
                <w:sz w:val="19"/>
                <w:szCs w:val="19"/>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302</w:t>
            </w:r>
          </w:p>
        </w:tc>
        <w:tc>
          <w:tcPr>
            <w:tcW w:w="80" w:type="dxa"/>
            <w:vAlign w:val="bottom"/>
            <w:shd w:val="clear" w:color="auto" w:fill="D2DCE5"/>
          </w:tcPr>
          <w:p>
            <w:pPr>
              <w:spacing w:after="0"/>
              <w:rPr>
                <w:sz w:val="19"/>
                <w:szCs w:val="19"/>
                <w:color w:val="auto"/>
              </w:rPr>
            </w:pPr>
          </w:p>
        </w:tc>
        <w:tc>
          <w:tcPr>
            <w:tcW w:w="46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56"/>
        </w:trPr>
        <w:tc>
          <w:tcPr>
            <w:tcW w:w="5800" w:type="dxa"/>
            <w:vAlign w:val="bottom"/>
          </w:tcPr>
          <w:p>
            <w:pPr>
              <w:ind w:left="280"/>
              <w:spacing w:after="0" w:line="157" w:lineRule="exact"/>
              <w:rPr>
                <w:sz w:val="20"/>
                <w:szCs w:val="20"/>
                <w:color w:val="auto"/>
              </w:rPr>
            </w:pPr>
            <w:r>
              <w:rPr>
                <w:rFonts w:ascii="Arial" w:cs="Arial" w:eastAsia="Arial" w:hAnsi="Arial"/>
                <w:sz w:val="14"/>
                <w:szCs w:val="14"/>
                <w:color w:val="131E29"/>
              </w:rPr>
              <w:t>Weighted-average number of shares of Class A and Class D common stock</w:t>
            </w: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0" w:type="dxa"/>
            <w:vAlign w:val="bottom"/>
            <w:tcBorders>
              <w:bottom w:val="single" w:sz="8" w:color="D2DCE5"/>
            </w:tcBorders>
          </w:tcPr>
          <w:p>
            <w:pPr>
              <w:ind w:left="280"/>
              <w:spacing w:after="0"/>
              <w:rPr>
                <w:sz w:val="20"/>
                <w:szCs w:val="20"/>
                <w:color w:val="auto"/>
              </w:rPr>
            </w:pPr>
            <w:r>
              <w:rPr>
                <w:rFonts w:ascii="Arial" w:cs="Arial" w:eastAsia="Arial" w:hAnsi="Arial"/>
                <w:sz w:val="14"/>
                <w:szCs w:val="14"/>
                <w:color w:val="131E29"/>
              </w:rPr>
              <w:t>outstanding used to calculate diluted net income per share ¹</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114,252</w:t>
            </w:r>
          </w:p>
        </w:tc>
        <w:tc>
          <w:tcPr>
            <w:tcW w:w="80" w:type="dxa"/>
            <w:vAlign w:val="bottom"/>
            <w:tcBorders>
              <w:bottom w:val="single" w:sz="8" w:color="D2DCE5"/>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60,214</w:t>
            </w:r>
          </w:p>
        </w:tc>
        <w:tc>
          <w:tcPr>
            <w:tcW w:w="80" w:type="dxa"/>
            <w:vAlign w:val="bottom"/>
            <w:tcBorders>
              <w:bottom w:val="single" w:sz="8" w:color="D2DCE5"/>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100,070</w:t>
            </w:r>
          </w:p>
        </w:tc>
        <w:tc>
          <w:tcPr>
            <w:tcW w:w="80" w:type="dxa"/>
            <w:vAlign w:val="bottom"/>
            <w:tcBorders>
              <w:bottom w:val="single" w:sz="8" w:color="D2DCE5"/>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57,598</w:t>
            </w:r>
          </w:p>
        </w:tc>
        <w:tc>
          <w:tcPr>
            <w:tcW w:w="0" w:type="dxa"/>
            <w:vAlign w:val="bottom"/>
          </w:tcPr>
          <w:p>
            <w:pPr>
              <w:spacing w:after="0"/>
              <w:rPr>
                <w:sz w:val="1"/>
                <w:szCs w:val="1"/>
                <w:color w:val="auto"/>
              </w:rPr>
            </w:pPr>
          </w:p>
        </w:tc>
      </w:tr>
      <w:tr>
        <w:trPr>
          <w:trHeight w:val="237"/>
        </w:trPr>
        <w:tc>
          <w:tcPr>
            <w:tcW w:w="58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Diluted net income per share attributable to common stockholders ¹</w:t>
            </w:r>
          </w:p>
        </w:tc>
        <w:tc>
          <w:tcPr>
            <w:tcW w:w="420" w:type="dxa"/>
            <w:vAlign w:val="bottom"/>
            <w:tcBorders>
              <w:bottom w:val="single" w:sz="8" w:color="auto"/>
            </w:tcBorders>
            <w:shd w:val="clear" w:color="auto" w:fill="D2DCE5"/>
          </w:tcPr>
          <w:p>
            <w:pPr>
              <w:jc w:val="right"/>
              <w:ind w:right="249"/>
              <w:spacing w:after="0"/>
              <w:rPr>
                <w:sz w:val="20"/>
                <w:szCs w:val="20"/>
                <w:color w:val="auto"/>
              </w:rPr>
            </w:pPr>
            <w:r>
              <w:rPr>
                <w:rFonts w:ascii="Arial" w:cs="Arial" w:eastAsia="Arial" w:hAnsi="Arial"/>
                <w:sz w:val="14"/>
                <w:szCs w:val="14"/>
                <w:color w:val="131E29"/>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0.11</w:t>
            </w:r>
          </w:p>
        </w:tc>
        <w:tc>
          <w:tcPr>
            <w:tcW w:w="80" w:type="dxa"/>
            <w:vAlign w:val="bottom"/>
            <w:tcBorders>
              <w:bottom w:val="single" w:sz="8" w:color="D2DCE5"/>
            </w:tcBorders>
            <w:shd w:val="clear" w:color="auto" w:fill="D2DCE5"/>
          </w:tcPr>
          <w:p>
            <w:pPr>
              <w:spacing w:after="0"/>
              <w:rPr>
                <w:sz w:val="20"/>
                <w:szCs w:val="20"/>
                <w:color w:val="auto"/>
              </w:rPr>
            </w:pPr>
          </w:p>
        </w:tc>
        <w:tc>
          <w:tcPr>
            <w:tcW w:w="480" w:type="dxa"/>
            <w:vAlign w:val="bottom"/>
            <w:tcBorders>
              <w:bottom w:val="single" w:sz="8" w:color="auto"/>
            </w:tcBorders>
            <w:shd w:val="clear" w:color="auto" w:fill="D2DCE5"/>
          </w:tcPr>
          <w:p>
            <w:pPr>
              <w:jc w:val="right"/>
              <w:ind w:right="309"/>
              <w:spacing w:after="0"/>
              <w:rPr>
                <w:sz w:val="20"/>
                <w:szCs w:val="20"/>
                <w:color w:val="auto"/>
              </w:rPr>
            </w:pPr>
            <w:r>
              <w:rPr>
                <w:rFonts w:ascii="Arial" w:cs="Arial" w:eastAsia="Arial" w:hAnsi="Arial"/>
                <w:sz w:val="14"/>
                <w:szCs w:val="14"/>
                <w:color w:val="131E29"/>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0.07</w:t>
            </w:r>
          </w:p>
        </w:tc>
        <w:tc>
          <w:tcPr>
            <w:tcW w:w="80" w:type="dxa"/>
            <w:vAlign w:val="bottom"/>
            <w:tcBorders>
              <w:bottom w:val="single" w:sz="8" w:color="D2DCE5"/>
            </w:tcBorders>
            <w:shd w:val="clear" w:color="auto" w:fill="D2DCE5"/>
          </w:tcPr>
          <w:p>
            <w:pPr>
              <w:spacing w:after="0"/>
              <w:rPr>
                <w:sz w:val="20"/>
                <w:szCs w:val="20"/>
                <w:color w:val="auto"/>
              </w:rPr>
            </w:pPr>
          </w:p>
        </w:tc>
        <w:tc>
          <w:tcPr>
            <w:tcW w:w="420" w:type="dxa"/>
            <w:vAlign w:val="bottom"/>
            <w:tcBorders>
              <w:bottom w:val="single" w:sz="8" w:color="auto"/>
            </w:tcBorders>
            <w:shd w:val="clear" w:color="auto" w:fill="D2DCE5"/>
          </w:tcPr>
          <w:p>
            <w:pPr>
              <w:jc w:val="right"/>
              <w:ind w:right="249"/>
              <w:spacing w:after="0"/>
              <w:rPr>
                <w:sz w:val="20"/>
                <w:szCs w:val="20"/>
                <w:color w:val="auto"/>
              </w:rPr>
            </w:pPr>
            <w:r>
              <w:rPr>
                <w:rFonts w:ascii="Arial" w:cs="Arial" w:eastAsia="Arial" w:hAnsi="Arial"/>
                <w:sz w:val="14"/>
                <w:szCs w:val="14"/>
                <w:color w:val="131E29"/>
              </w:rPr>
              <w:t>$</w:t>
            </w: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0.32</w:t>
            </w:r>
          </w:p>
        </w:tc>
        <w:tc>
          <w:tcPr>
            <w:tcW w:w="80" w:type="dxa"/>
            <w:vAlign w:val="bottom"/>
            <w:tcBorders>
              <w:bottom w:val="single" w:sz="8" w:color="D2DCE5"/>
            </w:tcBorders>
            <w:shd w:val="clear" w:color="auto" w:fill="D2DCE5"/>
          </w:tcPr>
          <w:p>
            <w:pPr>
              <w:spacing w:after="0"/>
              <w:rPr>
                <w:sz w:val="20"/>
                <w:szCs w:val="20"/>
                <w:color w:val="auto"/>
              </w:rPr>
            </w:pPr>
          </w:p>
        </w:tc>
        <w:tc>
          <w:tcPr>
            <w:tcW w:w="460" w:type="dxa"/>
            <w:vAlign w:val="bottom"/>
            <w:tcBorders>
              <w:bottom w:val="single" w:sz="8" w:color="auto"/>
            </w:tcBorders>
            <w:shd w:val="clear" w:color="auto" w:fill="D2DCE5"/>
          </w:tcPr>
          <w:p>
            <w:pPr>
              <w:jc w:val="right"/>
              <w:ind w:right="289"/>
              <w:spacing w:after="0"/>
              <w:rPr>
                <w:sz w:val="20"/>
                <w:szCs w:val="20"/>
                <w:color w:val="auto"/>
              </w:rPr>
            </w:pPr>
            <w:r>
              <w:rPr>
                <w:rFonts w:ascii="Arial" w:cs="Arial" w:eastAsia="Arial" w:hAnsi="Arial"/>
                <w:sz w:val="14"/>
                <w:szCs w:val="14"/>
                <w:color w:val="131E29"/>
              </w:rPr>
              <w:t>$</w:t>
            </w: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0.05</w:t>
            </w:r>
          </w:p>
        </w:tc>
        <w:tc>
          <w:tcPr>
            <w:tcW w:w="0" w:type="dxa"/>
            <w:vAlign w:val="bottom"/>
          </w:tcPr>
          <w:p>
            <w:pPr>
              <w:spacing w:after="0"/>
              <w:rPr>
                <w:sz w:val="1"/>
                <w:szCs w:val="1"/>
                <w:color w:val="auto"/>
              </w:rPr>
            </w:pPr>
          </w:p>
        </w:tc>
      </w:tr>
      <w:tr>
        <w:trPr>
          <w:trHeight w:val="20"/>
        </w:trPr>
        <w:tc>
          <w:tcPr>
            <w:tcW w:w="5800" w:type="dxa"/>
            <w:vAlign w:val="bottom"/>
            <w:tcBorders>
              <w:top w:val="single" w:sz="8" w:color="D2DCE5"/>
              <w:bottom w:val="single" w:sz="8" w:color="D2DCE5"/>
            </w:tcBorders>
            <w:vMerge w:val="restart"/>
          </w:tcPr>
          <w:p>
            <w:pPr>
              <w:jc w:val="center"/>
              <w:ind w:right="4549"/>
              <w:spacing w:after="0"/>
              <w:rPr>
                <w:sz w:val="20"/>
                <w:szCs w:val="20"/>
                <w:color w:val="auto"/>
              </w:rPr>
            </w:pPr>
            <w:r>
              <w:rPr>
                <w:rFonts w:ascii="Arial" w:cs="Arial" w:eastAsia="Arial" w:hAnsi="Arial"/>
                <w:sz w:val="14"/>
                <w:szCs w:val="14"/>
                <w:color w:val="131E29"/>
              </w:rPr>
              <w:t>_______________</w:t>
            </w: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60" w:type="dxa"/>
            <w:vAlign w:val="bottom"/>
            <w:tcBorders>
              <w:top w:val="single" w:sz="8" w:color="D2DCE5"/>
              <w:bottom w:val="single" w:sz="8" w:color="auto"/>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 w:hanging="135"/>
        <w:spacing w:after="0" w:line="221" w:lineRule="auto"/>
        <w:tabs>
          <w:tab w:leader="none" w:pos="74" w:val="left"/>
        </w:tabs>
        <w:numPr>
          <w:ilvl w:val="0"/>
          <w:numId w:val="5"/>
        </w:numPr>
        <w:rPr>
          <w:rFonts w:ascii="Arial" w:cs="Arial" w:eastAsia="Arial" w:hAnsi="Arial"/>
          <w:sz w:val="15"/>
          <w:szCs w:val="15"/>
          <w:color w:val="131E29"/>
          <w:vertAlign w:val="superscript"/>
        </w:rPr>
      </w:pPr>
      <w:r>
        <w:rPr>
          <w:rFonts w:ascii="Arial" w:cs="Arial" w:eastAsia="Arial" w:hAnsi="Arial"/>
          <w:sz w:val="11"/>
          <w:szCs w:val="11"/>
          <w:color w:val="131E29"/>
        </w:rPr>
        <w:t>Class D common shares were included in net income per share and weighted-average number of shares calculations in 2023 and periods prior to June 2024. As of June 2024, all Class D common shares were converted to Class A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Class A common stock equivalents were excluded from diluted net income per share in the periods presented because they were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gridSpan w:val="4"/>
          </w:tcPr>
          <w:p>
            <w:pPr>
              <w:ind w:left="160"/>
              <w:spacing w:after="0"/>
              <w:rPr>
                <w:sz w:val="20"/>
                <w:szCs w:val="20"/>
                <w:color w:val="auto"/>
              </w:rPr>
            </w:pPr>
            <w:r>
              <w:rPr>
                <w:rFonts w:ascii="Arial" w:cs="Arial" w:eastAsia="Arial" w:hAnsi="Arial"/>
                <w:sz w:val="14"/>
                <w:szCs w:val="14"/>
                <w:b w:val="1"/>
                <w:bCs w:val="1"/>
                <w:color w:val="131E29"/>
              </w:rPr>
              <w:t>Three Months Ended September 30,</w:t>
            </w:r>
          </w:p>
        </w:tc>
        <w:tc>
          <w:tcPr>
            <w:tcW w:w="272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RSAs</w:t>
            </w:r>
          </w:p>
        </w:tc>
        <w:tc>
          <w:tcPr>
            <w:tcW w:w="14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1,315</w:t>
            </w:r>
          </w:p>
        </w:tc>
      </w:tr>
      <w:tr>
        <w:trPr>
          <w:trHeight w:val="203"/>
        </w:trPr>
        <w:tc>
          <w:tcPr>
            <w:tcW w:w="57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RSUs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160</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643</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481</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643</w:t>
            </w:r>
          </w:p>
        </w:tc>
      </w:tr>
      <w:tr>
        <w:trPr>
          <w:trHeight w:val="237"/>
        </w:trPr>
        <w:tc>
          <w:tcPr>
            <w:tcW w:w="57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Total anti-dilutive securities</w:t>
            </w: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160</w:t>
            </w:r>
          </w:p>
        </w:tc>
        <w:tc>
          <w:tcPr>
            <w:tcW w:w="80" w:type="dxa"/>
            <w:vAlign w:val="bottom"/>
            <w:tcBorders>
              <w:bottom w:val="single" w:sz="8" w:color="D2DCE5"/>
            </w:tcBorders>
            <w:shd w:val="clear" w:color="auto" w:fill="D2DCE5"/>
          </w:tcPr>
          <w:p>
            <w:pPr>
              <w:spacing w:after="0"/>
              <w:rPr>
                <w:sz w:val="20"/>
                <w:szCs w:val="20"/>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643</w:t>
            </w:r>
          </w:p>
        </w:tc>
        <w:tc>
          <w:tcPr>
            <w:tcW w:w="80" w:type="dxa"/>
            <w:vAlign w:val="bottom"/>
            <w:tcBorders>
              <w:bottom w:val="single" w:sz="8" w:color="D2DCE5"/>
            </w:tcBorders>
            <w:shd w:val="clear" w:color="auto" w:fill="D2DCE5"/>
          </w:tcPr>
          <w:p>
            <w:pPr>
              <w:spacing w:after="0"/>
              <w:rPr>
                <w:sz w:val="20"/>
                <w:szCs w:val="20"/>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481</w:t>
            </w:r>
          </w:p>
        </w:tc>
        <w:tc>
          <w:tcPr>
            <w:tcW w:w="80" w:type="dxa"/>
            <w:vAlign w:val="bottom"/>
            <w:tcBorders>
              <w:bottom w:val="single" w:sz="8" w:color="D2DCE5"/>
            </w:tcBorders>
            <w:shd w:val="clear" w:color="auto" w:fill="D2DCE5"/>
          </w:tcPr>
          <w:p>
            <w:pPr>
              <w:spacing w:after="0"/>
              <w:rPr>
                <w:sz w:val="20"/>
                <w:szCs w:val="20"/>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1,958</w:t>
            </w:r>
          </w:p>
        </w:tc>
      </w:tr>
      <w:tr>
        <w:trPr>
          <w:trHeight w:val="20"/>
        </w:trPr>
        <w:tc>
          <w:tcPr>
            <w:tcW w:w="56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320" w:type="dxa"/>
            <w:vAlign w:val="bottom"/>
            <w:tcBorders>
              <w:top w:val="single" w:sz="8" w:color="D2DCE5"/>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15 —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Purchase Obligations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for the normal purchases of green coffee and not for speculative purposes. The Company does not enter into futures contracts or other derivative instruments related to its green coffee purchase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Guarantees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 periodically provides guarantees to franchise partners for lease payments. Annually, the Company determines if a liability needs to be recorded related to these guarantees. As of September 30, 2024 and December 31, 2023, the Company had guaranteed approximately $1.3 million and $1.4 million, respectively, in franchise partners’ lease payments and has not established a liability for these guarantees as any liability arising from the guarantees is not material to the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Legal Proceedings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Any claim, proceeding or litigation has an element of uncertainty, and an unfavorable outcome may have a material adverse effect on the Company’s financial condition, results of operations, or cash flows.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Litigation Related to Securities Claims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On November 3, 2023, plaintiff David Briggs filed a putative stockholder derivative lawsuit in the Delaware Court of Chancery (the Briggs Complaint). The Briggs Complaint named Dutch Bros Inc. as a nominal defendant and purported to bring claims on behalf of Dutch Bros Inc. against certain of Dutch Bros Inc.’s directors and executive officers for alleged breaches of their fiduciary duties in relation to substantially the same factual allegations as the putative class action lawsuit in the U.S. District Court for the Southern District of New York, captioned Douglas Rein, Individually and On Behalf of All Others Similarly Situated v. Dutch Bros, Inc. et al (Rein), which asserted claims under Sections 10(b) and 20(a) of the Securities Exchange Act of 1934, as amended (the Exchange Act), on behalf of a proposed class consisting of those who acquired Dutch Bros Inc.’s securities between November 10, 2021 and May 11, 2022. On June 24, 2024, the court in Rein granted the defendants’ motion to dismiss in its entirety, with prejudice, and the time for the lead plaintiff to file a notice of appeal of the court’s dismissal has elapsed.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Briggs Complaint primarily sought to recover for Dutch Bros Inc. compensatory damages for losses allegedly sustained by Dutch Bros Inc. related to the facts alleged, restitution, and equitable relief in the form of revisions to Dutch Bros Inc.’s governing documents. On July 9, 2024, the parties provided the court notice of the motion to dismiss ruling in Rein. On August 20, 2024, the parties filed, and the court entered, a stipulation and proposed order dismissing the case.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Liabilities Under Tax Receivable Agreements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September 30, 2024, Dutch Bros Inc. recognized $605.0 million of liabilities related to its obligations under the TRAs.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2" w:name="page33"/>
    <w:bookmarkEnd w:id="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16 — Related Party Transactions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Company sold its airplane, and hangar and related equipment, to the Co-Founder in June 2024 and July 2024, respectively (collectively, the Aircraft). The results of these transactions are shown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tcPr>
          <w:p>
            <w:pPr>
              <w:jc w:val="right"/>
              <w:ind w:right="10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9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131E29"/>
              </w:rPr>
              <w:t>Three Months Ended September 30, 2024</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109"/>
              <w:spacing w:after="0"/>
              <w:rPr>
                <w:sz w:val="20"/>
                <w:szCs w:val="20"/>
                <w:color w:val="auto"/>
              </w:rPr>
            </w:pPr>
            <w:r>
              <w:rPr>
                <w:rFonts w:ascii="Arial" w:cs="Arial" w:eastAsia="Arial" w:hAnsi="Arial"/>
                <w:sz w:val="14"/>
                <w:szCs w:val="14"/>
                <w:b w:val="1"/>
                <w:bCs w:val="1"/>
                <w:color w:val="131E29"/>
              </w:rPr>
              <w:t>2024</w:t>
            </w:r>
          </w:p>
        </w:tc>
      </w:tr>
      <w:tr>
        <w:trPr>
          <w:trHeight w:val="209"/>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Sales price of Aircraft</w:t>
            </w:r>
          </w:p>
        </w:tc>
        <w:tc>
          <w:tcPr>
            <w:tcW w:w="1380" w:type="dxa"/>
            <w:vAlign w:val="bottom"/>
            <w:shd w:val="clear" w:color="auto" w:fill="D2DCE5"/>
          </w:tcPr>
          <w:p>
            <w:pPr>
              <w:jc w:val="right"/>
              <w:ind w:right="1209"/>
              <w:spacing w:after="0"/>
              <w:rPr>
                <w:sz w:val="20"/>
                <w:szCs w:val="20"/>
                <w:color w:val="auto"/>
              </w:rPr>
            </w:pPr>
            <w:r>
              <w:rPr>
                <w:rFonts w:ascii="Arial" w:cs="Arial" w:eastAsia="Arial" w:hAnsi="Arial"/>
                <w:sz w:val="14"/>
                <w:szCs w:val="14"/>
                <w:color w:val="131E29"/>
              </w:rPr>
              <w:t>$</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869</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5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9,545</w:t>
            </w:r>
          </w:p>
        </w:tc>
      </w:tr>
      <w:tr>
        <w:trPr>
          <w:trHeight w:val="203"/>
        </w:trPr>
        <w:tc>
          <w:tcPr>
            <w:tcW w:w="55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Net book value of Aircraft</w:t>
            </w:r>
          </w:p>
        </w:tc>
        <w:tc>
          <w:tcPr>
            <w:tcW w:w="1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319</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8,243</w:t>
            </w:r>
          </w:p>
        </w:tc>
      </w:tr>
      <w:tr>
        <w:trPr>
          <w:trHeight w:val="237"/>
        </w:trPr>
        <w:tc>
          <w:tcPr>
            <w:tcW w:w="5580" w:type="dxa"/>
            <w:vAlign w:val="bottom"/>
            <w:tcBorders>
              <w:bottom w:val="single" w:sz="8" w:color="D2DCE5"/>
            </w:tcBorders>
            <w:gridSpan w:val="2"/>
            <w:shd w:val="clear" w:color="auto" w:fill="D2DCE5"/>
          </w:tcPr>
          <w:p>
            <w:pPr>
              <w:ind w:left="160"/>
              <w:spacing w:after="0"/>
              <w:rPr>
                <w:sz w:val="20"/>
                <w:szCs w:val="20"/>
                <w:color w:val="auto"/>
              </w:rPr>
            </w:pPr>
            <w:r>
              <w:rPr>
                <w:rFonts w:ascii="Arial" w:cs="Arial" w:eastAsia="Arial" w:hAnsi="Arial"/>
                <w:sz w:val="14"/>
                <w:szCs w:val="14"/>
                <w:color w:val="131E29"/>
              </w:rPr>
              <w:t>Gain on disposal of Aircraft</w:t>
            </w:r>
          </w:p>
        </w:tc>
        <w:tc>
          <w:tcPr>
            <w:tcW w:w="1380" w:type="dxa"/>
            <w:vAlign w:val="bottom"/>
            <w:tcBorders>
              <w:bottom w:val="single" w:sz="8" w:color="auto"/>
            </w:tcBorders>
            <w:shd w:val="clear" w:color="auto" w:fill="D2DCE5"/>
          </w:tcPr>
          <w:p>
            <w:pPr>
              <w:jc w:val="right"/>
              <w:ind w:right="1209"/>
              <w:spacing w:after="0"/>
              <w:rPr>
                <w:sz w:val="20"/>
                <w:szCs w:val="20"/>
                <w:color w:val="auto"/>
              </w:rPr>
            </w:pPr>
            <w:r>
              <w:rPr>
                <w:rFonts w:ascii="Arial" w:cs="Arial" w:eastAsia="Arial" w:hAnsi="Arial"/>
                <w:sz w:val="14"/>
                <w:szCs w:val="14"/>
                <w:color w:val="131E29"/>
              </w:rPr>
              <w:t>$</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550</w:t>
            </w:r>
          </w:p>
        </w:tc>
        <w:tc>
          <w:tcPr>
            <w:tcW w:w="80" w:type="dxa"/>
            <w:vAlign w:val="bottom"/>
            <w:tcBorders>
              <w:bottom w:val="single" w:sz="8" w:color="D2DCE5"/>
            </w:tcBorders>
            <w:shd w:val="clear" w:color="auto" w:fill="D2DCE5"/>
          </w:tcPr>
          <w:p>
            <w:pPr>
              <w:spacing w:after="0"/>
              <w:rPr>
                <w:sz w:val="20"/>
                <w:szCs w:val="20"/>
                <w:color w:val="auto"/>
              </w:rPr>
            </w:pP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1,302</w:t>
            </w:r>
          </w:p>
        </w:tc>
      </w:tr>
      <w:tr>
        <w:trPr>
          <w:trHeight w:val="20"/>
        </w:trPr>
        <w:tc>
          <w:tcPr>
            <w:tcW w:w="55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380" w:type="dxa"/>
            <w:vAlign w:val="bottom"/>
            <w:tcBorders>
              <w:top w:val="single" w:sz="8" w:color="D2DCE5"/>
              <w:bottom w:val="single" w:sz="8" w:color="auto"/>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2540" w:type="dxa"/>
            <w:vAlign w:val="bottom"/>
            <w:tcBorders>
              <w:top w:val="single" w:sz="8" w:color="D2DCE5"/>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131E29"/>
        </w:rPr>
        <w:t>The gains are reflected in the “Other income (expense), net” line item of the condensed consolidated statements of operations.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Company’s donations to the Dutch Bros Foundation, a not-for-profit founded by the Company that provides philanthropy to coffee farmers and local communities and for which our Co-Founder and the Company’s Vice Chair and Chief Legal Officer serve on the board of directors, and for which the Company’s Vice Chair serves as the President,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gridSpan w:val="6"/>
          </w:tcPr>
          <w:p>
            <w:pPr>
              <w:ind w:left="16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131E29"/>
              </w:rPr>
              <w:t>2024</w:t>
            </w:r>
          </w:p>
        </w:tc>
        <w:tc>
          <w:tcPr>
            <w:tcW w:w="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34"/>
        </w:trPr>
        <w:tc>
          <w:tcPr>
            <w:tcW w:w="57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Donations to Dutch Bros Foundation</w:t>
            </w:r>
          </w:p>
        </w:tc>
        <w:tc>
          <w:tcPr>
            <w:tcW w:w="960" w:type="dxa"/>
            <w:vAlign w:val="bottom"/>
            <w:tcBorders>
              <w:bottom w:val="single" w:sz="8" w:color="auto"/>
            </w:tcBorders>
            <w:shd w:val="clear" w:color="auto" w:fill="D2DCE5"/>
          </w:tcPr>
          <w:p>
            <w:pPr>
              <w:jc w:val="right"/>
              <w:ind w:right="789"/>
              <w:spacing w:after="0"/>
              <w:rPr>
                <w:sz w:val="20"/>
                <w:szCs w:val="20"/>
                <w:color w:val="auto"/>
              </w:rPr>
            </w:pPr>
            <w:r>
              <w:rPr>
                <w:rFonts w:ascii="Arial" w:cs="Arial" w:eastAsia="Arial" w:hAnsi="Arial"/>
                <w:sz w:val="14"/>
                <w:szCs w:val="14"/>
                <w:color w:val="131E29"/>
              </w:rPr>
              <w:t>$</w:t>
            </w:r>
          </w:p>
        </w:tc>
        <w:tc>
          <w:tcPr>
            <w:tcW w:w="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63</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63</w:t>
            </w:r>
          </w:p>
        </w:tc>
        <w:tc>
          <w:tcPr>
            <w:tcW w:w="80" w:type="dxa"/>
            <w:vAlign w:val="bottom"/>
            <w:tcBorders>
              <w:bottom w:val="single" w:sz="8" w:color="D2DCE5"/>
            </w:tcBorders>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1,688</w:t>
            </w:r>
          </w:p>
        </w:tc>
        <w:tc>
          <w:tcPr>
            <w:tcW w:w="80" w:type="dxa"/>
            <w:vAlign w:val="bottom"/>
            <w:tcBorders>
              <w:bottom w:val="single" w:sz="8" w:color="D2DCE5"/>
            </w:tcBorders>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189</w:t>
            </w:r>
          </w:p>
        </w:tc>
      </w:tr>
      <w:tr>
        <w:trPr>
          <w:trHeight w:val="20"/>
        </w:trPr>
        <w:tc>
          <w:tcPr>
            <w:tcW w:w="56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17 — Segment Reporting</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Segment information is prepared on the same basis that the Company’s CEO, who is the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CODM reviews segment performance and allocates resources based upon segment contribution, which is defined as segment gross profit before depreciation and amortization.</w:t>
      </w:r>
    </w:p>
    <w:p>
      <w:pPr>
        <w:spacing w:after="0" w:line="2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All segment revenue is earned in the United States, and there are no intersegment revenues. The CODM does not evaluate operating segments using discrete asset information, and we do not identify or allocate assets by operating segments.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No changes have been made to the Company’s segments during the three and nine months ended September 30, 2024. In addition, no customer represented 10% or more of total revenue for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Financial information for the Company’s reportable segments was as follows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14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40" w:type="dxa"/>
            <w:vAlign w:val="bottom"/>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Pr>
          <w:p>
            <w:pPr>
              <w:jc w:val="right"/>
              <w:spacing w:after="0"/>
              <w:rPr>
                <w:sz w:val="20"/>
                <w:szCs w:val="20"/>
                <w:color w:val="auto"/>
              </w:rPr>
            </w:pPr>
            <w:r>
              <w:rPr>
                <w:rFonts w:ascii="Arial" w:cs="Arial" w:eastAsia="Arial" w:hAnsi="Arial"/>
                <w:sz w:val="14"/>
                <w:szCs w:val="14"/>
                <w:color w:val="131E29"/>
              </w:rPr>
              <w:t>308,295</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236,472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851,648</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630,588</w:t>
            </w: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4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29,917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28,035</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86,581</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81,065</w:t>
            </w:r>
          </w:p>
        </w:tc>
        <w:tc>
          <w:tcPr>
            <w:tcW w:w="0" w:type="dxa"/>
            <w:vAlign w:val="bottom"/>
          </w:tcPr>
          <w:p>
            <w:pPr>
              <w:spacing w:after="0"/>
              <w:rPr>
                <w:sz w:val="1"/>
                <w:szCs w:val="1"/>
                <w:color w:val="auto"/>
              </w:rPr>
            </w:pPr>
          </w:p>
        </w:tc>
      </w:tr>
      <w:tr>
        <w:trPr>
          <w:trHeight w:val="193"/>
        </w:trPr>
        <w:tc>
          <w:tcPr>
            <w:tcW w:w="576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338,212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264,507</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938,229</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711,653</w:t>
            </w:r>
          </w:p>
        </w:tc>
        <w:tc>
          <w:tcPr>
            <w:tcW w:w="0" w:type="dxa"/>
            <w:vAlign w:val="bottom"/>
          </w:tcPr>
          <w:p>
            <w:pPr>
              <w:spacing w:after="0"/>
              <w:rPr>
                <w:sz w:val="1"/>
                <w:szCs w:val="1"/>
                <w:color w:val="auto"/>
              </w:rPr>
            </w:pPr>
          </w:p>
        </w:tc>
      </w:tr>
      <w:tr>
        <w:trPr>
          <w:trHeight w:val="202"/>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140" w:type="dxa"/>
            <w:vAlign w:val="bottom"/>
            <w:shd w:val="clear" w:color="auto" w:fill="D2DCE5"/>
          </w:tcPr>
          <w:p>
            <w:pPr>
              <w:spacing w:after="0"/>
              <w:rPr>
                <w:sz w:val="17"/>
                <w:szCs w:val="17"/>
                <w:color w:val="auto"/>
              </w:rPr>
            </w:pPr>
          </w:p>
        </w:tc>
        <w:tc>
          <w:tcPr>
            <w:tcW w:w="1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239,918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179,480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658,950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492,645</w:t>
            </w: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4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8,243</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9,843</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27,098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26,837</w:t>
            </w:r>
          </w:p>
        </w:tc>
        <w:tc>
          <w:tcPr>
            <w:tcW w:w="0" w:type="dxa"/>
            <w:vAlign w:val="bottom"/>
          </w:tcPr>
          <w:p>
            <w:pPr>
              <w:spacing w:after="0"/>
              <w:rPr>
                <w:sz w:val="1"/>
                <w:szCs w:val="1"/>
                <w:color w:val="auto"/>
              </w:rPr>
            </w:pPr>
          </w:p>
        </w:tc>
      </w:tr>
      <w:tr>
        <w:trPr>
          <w:trHeight w:val="193"/>
        </w:trPr>
        <w:tc>
          <w:tcPr>
            <w:tcW w:w="576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cost of sales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248,161</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189,323</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686,048</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519,482</w:t>
            </w:r>
          </w:p>
        </w:tc>
        <w:tc>
          <w:tcPr>
            <w:tcW w:w="0" w:type="dxa"/>
            <w:vAlign w:val="bottom"/>
          </w:tcPr>
          <w:p>
            <w:pPr>
              <w:spacing w:after="0"/>
              <w:rPr>
                <w:sz w:val="1"/>
                <w:szCs w:val="1"/>
                <w:color w:val="auto"/>
              </w:rPr>
            </w:pPr>
          </w:p>
        </w:tc>
      </w:tr>
      <w:tr>
        <w:trPr>
          <w:trHeight w:val="202"/>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Segment contribution:</w:t>
            </w:r>
          </w:p>
        </w:tc>
        <w:tc>
          <w:tcPr>
            <w:tcW w:w="140" w:type="dxa"/>
            <w:vAlign w:val="bottom"/>
            <w:shd w:val="clear" w:color="auto" w:fill="D2DCE5"/>
          </w:tcPr>
          <w:p>
            <w:pPr>
              <w:spacing w:after="0"/>
              <w:rPr>
                <w:sz w:val="17"/>
                <w:szCs w:val="17"/>
                <w:color w:val="auto"/>
              </w:rPr>
            </w:pPr>
          </w:p>
        </w:tc>
        <w:tc>
          <w:tcPr>
            <w:tcW w:w="1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90,847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73,324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255,900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182,075</w:t>
            </w:r>
          </w:p>
        </w:tc>
        <w:tc>
          <w:tcPr>
            <w:tcW w:w="0" w:type="dxa"/>
            <w:vAlign w:val="bottom"/>
          </w:tcPr>
          <w:p>
            <w:pPr>
              <w:spacing w:after="0"/>
              <w:rPr>
                <w:sz w:val="1"/>
                <w:szCs w:val="1"/>
                <w:color w:val="auto"/>
              </w:rPr>
            </w:pPr>
          </w:p>
        </w:tc>
      </w:tr>
      <w:tr>
        <w:trPr>
          <w:trHeight w:val="213"/>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40" w:type="dxa"/>
            <w:vAlign w:val="bottom"/>
            <w:tcBorders>
              <w:bottom w:val="single" w:sz="8" w:color="auto"/>
            </w:tcBorders>
            <w:shd w:val="clear" w:color="auto" w:fill="D2DCE5"/>
          </w:tcPr>
          <w:p>
            <w:pPr>
              <w:spacing w:after="0"/>
              <w:rPr>
                <w:sz w:val="18"/>
                <w:szCs w:val="18"/>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22,696</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19,563</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62,877</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58,257</w:t>
            </w:r>
          </w:p>
        </w:tc>
        <w:tc>
          <w:tcPr>
            <w:tcW w:w="0" w:type="dxa"/>
            <w:vAlign w:val="bottom"/>
          </w:tcPr>
          <w:p>
            <w:pPr>
              <w:spacing w:after="0"/>
              <w:rPr>
                <w:sz w:val="1"/>
                <w:szCs w:val="1"/>
                <w:color w:val="auto"/>
              </w:rPr>
            </w:pPr>
          </w:p>
        </w:tc>
      </w:tr>
      <w:tr>
        <w:trPr>
          <w:trHeight w:val="212"/>
        </w:trPr>
        <w:tc>
          <w:tcPr>
            <w:tcW w:w="5760" w:type="dxa"/>
            <w:vAlign w:val="bottom"/>
            <w:gridSpan w:val="2"/>
          </w:tcPr>
          <w:p>
            <w:pPr>
              <w:ind w:left="280"/>
              <w:spacing w:after="0"/>
              <w:rPr>
                <w:sz w:val="20"/>
                <w:szCs w:val="20"/>
                <w:color w:val="auto"/>
              </w:rPr>
            </w:pPr>
            <w:r>
              <w:rPr>
                <w:rFonts w:ascii="Arial" w:cs="Arial" w:eastAsia="Arial" w:hAnsi="Arial"/>
                <w:sz w:val="14"/>
                <w:szCs w:val="14"/>
                <w:color w:val="131E29"/>
              </w:rPr>
              <w:t>Total 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113,543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92,887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318,777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240,332</w:t>
            </w:r>
          </w:p>
        </w:tc>
        <w:tc>
          <w:tcPr>
            <w:tcW w:w="0" w:type="dxa"/>
            <w:vAlign w:val="bottom"/>
          </w:tcPr>
          <w:p>
            <w:pPr>
              <w:spacing w:after="0"/>
              <w:rPr>
                <w:sz w:val="1"/>
                <w:szCs w:val="1"/>
                <w:color w:val="auto"/>
              </w:rPr>
            </w:pPr>
          </w:p>
        </w:tc>
      </w:tr>
      <w:tr>
        <w:trPr>
          <w:trHeight w:val="20"/>
        </w:trPr>
        <w:tc>
          <w:tcPr>
            <w:tcW w:w="56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140" w:type="dxa"/>
            <w:vAlign w:val="bottom"/>
            <w:shd w:val="clear" w:color="auto" w:fill="D2DCE5"/>
          </w:tcPr>
          <w:p>
            <w:pPr>
              <w:spacing w:after="0"/>
              <w:rPr>
                <w:sz w:val="15"/>
                <w:szCs w:val="15"/>
                <w:color w:val="auto"/>
              </w:rPr>
            </w:pPr>
          </w:p>
        </w:tc>
        <w:tc>
          <w:tcPr>
            <w:tcW w:w="11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11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6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22,470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16,332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63,202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44,132</w:t>
            </w: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4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1,022</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1,371</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3,394</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4,029</w:t>
            </w:r>
          </w:p>
        </w:tc>
        <w:tc>
          <w:tcPr>
            <w:tcW w:w="0" w:type="dxa"/>
            <w:vAlign w:val="bottom"/>
          </w:tcPr>
          <w:p>
            <w:pPr>
              <w:spacing w:after="0"/>
              <w:rPr>
                <w:sz w:val="1"/>
                <w:szCs w:val="1"/>
                <w:color w:val="auto"/>
              </w:rPr>
            </w:pPr>
          </w:p>
        </w:tc>
      </w:tr>
      <w:tr>
        <w:trPr>
          <w:trHeight w:val="193"/>
        </w:trPr>
        <w:tc>
          <w:tcPr>
            <w:tcW w:w="5760" w:type="dxa"/>
            <w:vAlign w:val="bottom"/>
            <w:gridSpan w:val="2"/>
          </w:tcPr>
          <w:p>
            <w:pPr>
              <w:ind w:left="280"/>
              <w:spacing w:after="0"/>
              <w:rPr>
                <w:sz w:val="20"/>
                <w:szCs w:val="20"/>
                <w:color w:val="auto"/>
              </w:rPr>
            </w:pPr>
            <w:r>
              <w:rPr>
                <w:rFonts w:ascii="Arial" w:cs="Arial" w:eastAsia="Arial" w:hAnsi="Arial"/>
                <w:sz w:val="14"/>
                <w:szCs w:val="14"/>
                <w:color w:val="131E29"/>
              </w:rPr>
              <w:t>Total segment depreciation and amortization</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23,492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17,703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66,596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48,161</w:t>
            </w: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All other ¹</w:t>
            </w:r>
          </w:p>
        </w:tc>
        <w:tc>
          <w:tcPr>
            <w:tcW w:w="14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389</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413</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888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1,250</w:t>
            </w:r>
          </w:p>
        </w:tc>
        <w:tc>
          <w:tcPr>
            <w:tcW w:w="0" w:type="dxa"/>
            <w:vAlign w:val="bottom"/>
          </w:tcPr>
          <w:p>
            <w:pPr>
              <w:spacing w:after="0"/>
              <w:rPr>
                <w:sz w:val="1"/>
                <w:szCs w:val="1"/>
                <w:color w:val="auto"/>
              </w:rPr>
            </w:pPr>
          </w:p>
        </w:tc>
      </w:tr>
      <w:tr>
        <w:trPr>
          <w:trHeight w:val="193"/>
        </w:trPr>
        <w:tc>
          <w:tcPr>
            <w:tcW w:w="5760" w:type="dxa"/>
            <w:vAlign w:val="bottom"/>
            <w:gridSpan w:val="2"/>
          </w:tcPr>
          <w:p>
            <w:pPr>
              <w:ind w:left="280"/>
              <w:spacing w:after="0"/>
              <w:rPr>
                <w:sz w:val="20"/>
                <w:szCs w:val="20"/>
                <w:color w:val="auto"/>
              </w:rPr>
            </w:pPr>
            <w:r>
              <w:rPr>
                <w:rFonts w:ascii="Arial" w:cs="Arial" w:eastAsia="Arial" w:hAnsi="Arial"/>
                <w:sz w:val="14"/>
                <w:szCs w:val="14"/>
                <w:color w:val="131E29"/>
              </w:rPr>
              <w:t>Total depreciation and amortization</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23,881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18,116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67,484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49,411</w:t>
            </w: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140" w:type="dxa"/>
            <w:vAlign w:val="bottom"/>
            <w:shd w:val="clear" w:color="auto" w:fill="D2DCE5"/>
          </w:tcPr>
          <w:p>
            <w:pPr>
              <w:spacing w:after="0"/>
              <w:rPr>
                <w:sz w:val="19"/>
                <w:szCs w:val="19"/>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(57,536)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(50,490)</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(161,866)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(148,128)</w:t>
            </w:r>
          </w:p>
        </w:tc>
        <w:tc>
          <w:tcPr>
            <w:tcW w:w="0" w:type="dxa"/>
            <w:vAlign w:val="bottom"/>
          </w:tcPr>
          <w:p>
            <w:pPr>
              <w:spacing w:after="0"/>
              <w:rPr>
                <w:sz w:val="1"/>
                <w:szCs w:val="1"/>
                <w:color w:val="auto"/>
              </w:rPr>
            </w:pPr>
          </w:p>
        </w:tc>
      </w:tr>
      <w:tr>
        <w:trPr>
          <w:trHeight w:val="202"/>
        </w:trPr>
        <w:tc>
          <w:tcPr>
            <w:tcW w:w="5760" w:type="dxa"/>
            <w:vAlign w:val="bottom"/>
            <w:gridSpan w:val="2"/>
          </w:tcPr>
          <w:p>
            <w:pPr>
              <w:ind w:left="20"/>
              <w:spacing w:after="0"/>
              <w:rPr>
                <w:sz w:val="20"/>
                <w:szCs w:val="20"/>
                <w:color w:val="auto"/>
              </w:rPr>
            </w:pPr>
            <w:r>
              <w:rPr>
                <w:rFonts w:ascii="Arial" w:cs="Arial" w:eastAsia="Arial" w:hAnsi="Arial"/>
                <w:sz w:val="14"/>
                <w:szCs w:val="14"/>
                <w:color w:val="131E29"/>
              </w:rPr>
              <w:t>Interest expense, net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(6,869)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(9,325)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(20,259)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(26,269)</w:t>
            </w:r>
          </w:p>
        </w:tc>
        <w:tc>
          <w:tcPr>
            <w:tcW w:w="0" w:type="dxa"/>
            <w:vAlign w:val="bottom"/>
          </w:tcPr>
          <w:p>
            <w:pPr>
              <w:spacing w:after="0"/>
              <w:rPr>
                <w:sz w:val="1"/>
                <w:szCs w:val="1"/>
                <w:color w:val="auto"/>
              </w:rPr>
            </w:pPr>
          </w:p>
        </w:tc>
      </w:tr>
      <w:tr>
        <w:trPr>
          <w:trHeight w:val="213"/>
        </w:trPr>
        <w:tc>
          <w:tcPr>
            <w:tcW w:w="5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Other income (expense), net</w:t>
            </w:r>
          </w:p>
        </w:tc>
        <w:tc>
          <w:tcPr>
            <w:tcW w:w="140" w:type="dxa"/>
            <w:vAlign w:val="bottom"/>
            <w:tcBorders>
              <w:bottom w:val="single" w:sz="8" w:color="auto"/>
            </w:tcBorders>
            <w:shd w:val="clear" w:color="auto" w:fill="D2DCE5"/>
          </w:tcPr>
          <w:p>
            <w:pPr>
              <w:spacing w:after="0"/>
              <w:rPr>
                <w:sz w:val="18"/>
                <w:szCs w:val="18"/>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764</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(140)</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7,357</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2,206</w:t>
            </w:r>
          </w:p>
        </w:tc>
        <w:tc>
          <w:tcPr>
            <w:tcW w:w="0" w:type="dxa"/>
            <w:vAlign w:val="bottom"/>
          </w:tcPr>
          <w:p>
            <w:pPr>
              <w:spacing w:after="0"/>
              <w:rPr>
                <w:sz w:val="1"/>
                <w:szCs w:val="1"/>
                <w:color w:val="auto"/>
              </w:rPr>
            </w:pPr>
          </w:p>
        </w:tc>
      </w:tr>
      <w:tr>
        <w:trPr>
          <w:trHeight w:val="212"/>
        </w:trPr>
        <w:tc>
          <w:tcPr>
            <w:tcW w:w="5760" w:type="dxa"/>
            <w:vAlign w:val="bottom"/>
            <w:gridSpan w:val="2"/>
          </w:tcPr>
          <w:p>
            <w:pPr>
              <w:ind w:left="280"/>
              <w:spacing w:after="0"/>
              <w:rPr>
                <w:sz w:val="20"/>
                <w:szCs w:val="20"/>
                <w:color w:val="auto"/>
              </w:rPr>
            </w:pPr>
            <w:r>
              <w:rPr>
                <w:rFonts w:ascii="Arial" w:cs="Arial" w:eastAsia="Arial" w:hAnsi="Arial"/>
                <w:sz w:val="14"/>
                <w:szCs w:val="14"/>
                <w:color w:val="131E29"/>
              </w:rPr>
              <w:t>Income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15,229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77,413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19,980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4"/>
                <w:szCs w:val="14"/>
                <w:color w:val="131E29"/>
              </w:rPr>
              <w:t>__________________</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hanging="55"/>
        <w:spacing w:after="0"/>
        <w:tabs>
          <w:tab w:leader="none" w:pos="60" w:val="left"/>
        </w:tabs>
        <w:numPr>
          <w:ilvl w:val="0"/>
          <w:numId w:val="6"/>
        </w:numPr>
        <w:rPr>
          <w:rFonts w:ascii="Arial" w:cs="Arial" w:eastAsia="Arial" w:hAnsi="Arial"/>
          <w:sz w:val="14"/>
          <w:szCs w:val="14"/>
          <w:color w:val="auto"/>
          <w:vertAlign w:val="superscript"/>
        </w:rPr>
      </w:pPr>
      <w:r>
        <w:rPr>
          <w:rFonts w:ascii="Arial" w:cs="Arial" w:eastAsia="Arial" w:hAnsi="Arial"/>
          <w:sz w:val="11"/>
          <w:szCs w:val="11"/>
          <w:color w:val="auto"/>
        </w:rPr>
        <w:t>All other depreciation and amortization is i</w:t>
      </w:r>
      <w:r>
        <w:rPr>
          <w:rFonts w:ascii="Arial" w:cs="Arial" w:eastAsia="Arial" w:hAnsi="Arial"/>
          <w:sz w:val="11"/>
          <w:szCs w:val="11"/>
          <w:color w:val="131E29"/>
        </w:rPr>
        <w:t>ncluded in selling, general and administrative expenses and is not part of the segment contribution calculations.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2. MANAGEMENT’S DISCUSSION AND ANALYSIS OF FINANCIAL CONDITION AND RESULTS OF OPERATIONS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i w:val="1"/>
          <w:iCs w:val="1"/>
          <w:color w:val="131E29"/>
        </w:rPr>
        <w:t>You should read the following discussion and analysis of our financial condition and results of operations together with our condensed consolidated financial statements and the related notes included elsewhere in this Form 10-Q.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2"/>
          <w:szCs w:val="12"/>
          <w:i w:val="1"/>
          <w:iCs w:val="1"/>
          <w:color w:val="131E29"/>
        </w:rPr>
        <w:t>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Overview</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September 30, 2024, we had 950 company-operated and franchised shops in 18 states, an increase of approximately 19.6% from the same period in the prior year. For the three months ended September 30, 2024, we generated $338.2 million of revenue, $21.7 million of net income, and $0.11 earnings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4170045" cy="17519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70045" cy="175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20"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 w:name="page36"/>
    <w:bookmarkEnd w:id="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Global Events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General Macroeconomic Uncertainties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a retailer that is dependent upon consumer discretionary spending, our results of operations are sensitive to changes in macroeconomic conditions. Inflation may have a material adverse effect on our business, financial condition or results of operations. Our customers may have or in the future may have less money available for discretionary purchases and may reduce or stop their purchases of our products.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On a macro level, conditions (including changes in interest rates, inflation, bank failures and other events affecting financial institutions, the impacts of the Russia-Ukraine and Israel-Hamas wars, and the United States presidential election)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Minimum Wage Increases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continued to experience the effects of legislated minimum wage increases that took effect this year in certain states. We expect these pressures to continue to affect our operating results in the foreseeable future. For example, California’s minimum wage increased to $20 per hour effective April 2024 for covered employees in our industry.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tables provide our operating results and explanation of changes for the periods presented.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Condensed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60" w:type="dxa"/>
            <w:vAlign w:val="bottom"/>
            <w:tcBorders>
              <w:bottom w:val="single" w:sz="8" w:color="D2DCE5"/>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12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2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131E29"/>
              </w:rPr>
              <w:t>308,295</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236,472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851,648</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630,588</w:t>
            </w: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2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29,917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28,035</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86,581</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81,065</w:t>
            </w:r>
          </w:p>
        </w:tc>
      </w:tr>
      <w:tr>
        <w:trPr>
          <w:trHeight w:val="193"/>
        </w:trPr>
        <w:tc>
          <w:tcPr>
            <w:tcW w:w="57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338,212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264,507</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938,229</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711,653</w:t>
            </w:r>
          </w:p>
        </w:tc>
      </w:tr>
      <w:tr>
        <w:trPr>
          <w:trHeight w:val="202"/>
        </w:trPr>
        <w:tc>
          <w:tcPr>
            <w:tcW w:w="562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1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r>
      <w:tr>
        <w:trPr>
          <w:trHeight w:val="202"/>
        </w:trPr>
        <w:tc>
          <w:tcPr>
            <w:tcW w:w="5780" w:type="dxa"/>
            <w:vAlign w:val="bottom"/>
            <w:gridSpan w:val="2"/>
          </w:tcPr>
          <w:p>
            <w:pPr>
              <w:ind w:left="20"/>
              <w:spacing w:after="0"/>
              <w:rPr>
                <w:sz w:val="20"/>
                <w:szCs w:val="20"/>
                <w:color w:val="auto"/>
              </w:rPr>
            </w:pPr>
            <w:r>
              <w:rPr>
                <w:rFonts w:ascii="Arial" w:cs="Arial" w:eastAsia="Arial" w:hAnsi="Arial"/>
                <w:sz w:val="14"/>
                <w:szCs w:val="14"/>
                <w:color w:val="131E29"/>
              </w:rPr>
              <w:t>COSTS AND EXPENSES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120" w:type="dxa"/>
            <w:vAlign w:val="bottom"/>
            <w:shd w:val="clear" w:color="auto" w:fill="D2DCE5"/>
          </w:tcPr>
          <w:p>
            <w:pPr>
              <w:spacing w:after="0"/>
              <w:rPr>
                <w:sz w:val="19"/>
                <w:szCs w:val="19"/>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248,161</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189,323</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686,048</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519,482</w:t>
            </w:r>
          </w:p>
        </w:tc>
      </w:tr>
      <w:tr>
        <w:trPr>
          <w:trHeight w:val="203"/>
        </w:trPr>
        <w:tc>
          <w:tcPr>
            <w:tcW w:w="578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57,536</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50,490</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161,866</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148,128</w:t>
            </w:r>
          </w:p>
        </w:tc>
      </w:tr>
      <w:tr>
        <w:trPr>
          <w:trHeight w:val="203"/>
        </w:trPr>
        <w:tc>
          <w:tcPr>
            <w:tcW w:w="578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Total costs and expenses</w:t>
            </w:r>
          </w:p>
        </w:tc>
        <w:tc>
          <w:tcPr>
            <w:tcW w:w="120" w:type="dxa"/>
            <w:vAlign w:val="bottom"/>
            <w:tcBorders>
              <w:bottom w:val="single" w:sz="8" w:color="auto"/>
            </w:tcBorders>
            <w:shd w:val="clear" w:color="auto" w:fill="D2DCE5"/>
          </w:tcPr>
          <w:p>
            <w:pPr>
              <w:spacing w:after="0"/>
              <w:rPr>
                <w:sz w:val="17"/>
                <w:szCs w:val="17"/>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305,697</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239,813</w:t>
            </w:r>
          </w:p>
        </w:tc>
        <w:tc>
          <w:tcPr>
            <w:tcW w:w="80" w:type="dxa"/>
            <w:vAlign w:val="bottom"/>
            <w:shd w:val="clear" w:color="auto" w:fill="D2DCE5"/>
          </w:tcPr>
          <w:p>
            <w:pPr>
              <w:spacing w:after="0"/>
              <w:rPr>
                <w:sz w:val="17"/>
                <w:szCs w:val="17"/>
                <w:color w:val="auto"/>
              </w:rPr>
            </w:pPr>
          </w:p>
        </w:tc>
        <w:tc>
          <w:tcPr>
            <w:tcW w:w="160" w:type="dxa"/>
            <w:vAlign w:val="bottom"/>
            <w:tcBorders>
              <w:bottom w:val="single" w:sz="8" w:color="auto"/>
            </w:tcBorders>
            <w:shd w:val="clear" w:color="auto" w:fill="D2DCE5"/>
          </w:tcPr>
          <w:p>
            <w:pPr>
              <w:spacing w:after="0"/>
              <w:rPr>
                <w:sz w:val="17"/>
                <w:szCs w:val="17"/>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847,914</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667,610</w:t>
            </w:r>
          </w:p>
        </w:tc>
      </w:tr>
      <w:tr>
        <w:trPr>
          <w:trHeight w:val="202"/>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FROM OPERATIONS</w:t>
            </w:r>
          </w:p>
        </w:tc>
        <w:tc>
          <w:tcPr>
            <w:tcW w:w="120" w:type="dxa"/>
            <w:vAlign w:val="bottom"/>
            <w:shd w:val="clear" w:color="auto" w:fill="D2DCE5"/>
          </w:tcPr>
          <w:p>
            <w:pPr>
              <w:spacing w:after="0"/>
              <w:rPr>
                <w:sz w:val="18"/>
                <w:szCs w:val="18"/>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32,515</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24,694</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90,315</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44,043</w:t>
            </w:r>
          </w:p>
        </w:tc>
      </w:tr>
      <w:tr>
        <w:trPr>
          <w:trHeight w:val="212"/>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OTHER EXPENSE</w:t>
            </w:r>
          </w:p>
        </w:tc>
        <w:tc>
          <w:tcPr>
            <w:tcW w:w="12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(6,869)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(9,325)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(20,259)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(26,269)</w:t>
            </w: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 (expense), net</w:t>
            </w:r>
          </w:p>
        </w:tc>
        <w:tc>
          <w:tcPr>
            <w:tcW w:w="12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764</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(140)</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7,357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2,206</w:t>
            </w:r>
          </w:p>
        </w:tc>
      </w:tr>
      <w:tr>
        <w:trPr>
          <w:trHeight w:val="193"/>
        </w:trPr>
        <w:tc>
          <w:tcPr>
            <w:tcW w:w="57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other expense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(6,105)</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(9,465)</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(12,902)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(24,063)</w:t>
            </w:r>
          </w:p>
        </w:tc>
      </w:tr>
      <w:tr>
        <w:trPr>
          <w:trHeight w:val="202"/>
        </w:trPr>
        <w:tc>
          <w:tcPr>
            <w:tcW w:w="562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20" w:type="dxa"/>
            <w:vAlign w:val="bottom"/>
            <w:shd w:val="clear" w:color="auto" w:fill="D2DCE5"/>
          </w:tcPr>
          <w:p>
            <w:pPr>
              <w:spacing w:after="0"/>
              <w:rPr>
                <w:sz w:val="17"/>
                <w:szCs w:val="17"/>
                <w:color w:val="auto"/>
              </w:rPr>
            </w:pPr>
          </w:p>
        </w:tc>
        <w:tc>
          <w:tcPr>
            <w:tcW w:w="1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r>
      <w:tr>
        <w:trPr>
          <w:trHeight w:val="202"/>
        </w:trPr>
        <w:tc>
          <w:tcPr>
            <w:tcW w:w="5780" w:type="dxa"/>
            <w:vAlign w:val="bottom"/>
            <w:gridSpan w:val="2"/>
          </w:tcPr>
          <w:p>
            <w:pPr>
              <w:ind w:left="20"/>
              <w:spacing w:after="0"/>
              <w:rPr>
                <w:sz w:val="20"/>
                <w:szCs w:val="20"/>
                <w:color w:val="auto"/>
              </w:rPr>
            </w:pPr>
            <w:r>
              <w:rPr>
                <w:rFonts w:ascii="Arial" w:cs="Arial" w:eastAsia="Arial" w:hAnsi="Arial"/>
                <w:sz w:val="14"/>
                <w:szCs w:val="14"/>
                <w:color w:val="131E29"/>
              </w:rPr>
              <w:t>INCOME BEFORE INCOME TAXES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26,410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15,229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77,413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19,980</w:t>
            </w:r>
          </w:p>
        </w:tc>
      </w:tr>
      <w:tr>
        <w:trPr>
          <w:trHeight w:val="222"/>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w:t>
            </w:r>
          </w:p>
        </w:tc>
        <w:tc>
          <w:tcPr>
            <w:tcW w:w="12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4,698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1,828</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17,330</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6,259</w:t>
            </w:r>
          </w:p>
        </w:tc>
      </w:tr>
      <w:tr>
        <w:trPr>
          <w:trHeight w:val="193"/>
        </w:trPr>
        <w:tc>
          <w:tcPr>
            <w:tcW w:w="578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21,712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13,401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60,083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13,721</w:t>
            </w:r>
          </w:p>
        </w:tc>
      </w:tr>
      <w:tr>
        <w:trPr>
          <w:trHeight w:val="213"/>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attributable to non-controlling interests</w:t>
            </w:r>
          </w:p>
        </w:tc>
        <w:tc>
          <w:tcPr>
            <w:tcW w:w="120" w:type="dxa"/>
            <w:vAlign w:val="bottom"/>
            <w:tcBorders>
              <w:bottom w:val="single" w:sz="8" w:color="auto"/>
            </w:tcBorders>
            <w:shd w:val="clear" w:color="auto" w:fill="D2DCE5"/>
          </w:tcPr>
          <w:p>
            <w:pPr>
              <w:spacing w:after="0"/>
              <w:rPr>
                <w:sz w:val="18"/>
                <w:szCs w:val="18"/>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9,068</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9,191</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28,437</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10,601</w:t>
            </w:r>
          </w:p>
        </w:tc>
      </w:tr>
      <w:tr>
        <w:trPr>
          <w:trHeight w:val="212"/>
        </w:trPr>
        <w:tc>
          <w:tcPr>
            <w:tcW w:w="5780" w:type="dxa"/>
            <w:vAlign w:val="bottom"/>
            <w:gridSpan w:val="2"/>
          </w:tcPr>
          <w:p>
            <w:pPr>
              <w:ind w:left="20"/>
              <w:spacing w:after="0"/>
              <w:rPr>
                <w:sz w:val="20"/>
                <w:szCs w:val="20"/>
                <w:color w:val="auto"/>
              </w:rPr>
            </w:pPr>
            <w:r>
              <w:rPr>
                <w:rFonts w:ascii="Arial" w:cs="Arial" w:eastAsia="Arial" w:hAnsi="Arial"/>
                <w:sz w:val="14"/>
                <w:szCs w:val="14"/>
                <w:color w:val="131E29"/>
              </w:rPr>
              <w:t>NET INCOME ATTRIBUTABLE TO DUTCH BROS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12,644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31,646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3,120</w:t>
            </w: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Segment Financials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131E29"/>
              </w:rPr>
              <w:t>Three Months Ended September 30,</w:t>
            </w:r>
          </w:p>
        </w:tc>
        <w:tc>
          <w:tcPr>
            <w:tcW w:w="160" w:type="dxa"/>
            <w:vAlign w:val="bottom"/>
          </w:tcPr>
          <w:p>
            <w:pPr>
              <w:spacing w:after="0"/>
              <w:rPr>
                <w:sz w:val="17"/>
                <w:szCs w:val="17"/>
                <w:color w:val="auto"/>
              </w:rPr>
            </w:pPr>
          </w:p>
        </w:tc>
        <w:tc>
          <w:tcPr>
            <w:tcW w:w="25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131E29"/>
              </w:rPr>
              <w:t>Nine Months Ended September 30,</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60" w:type="dxa"/>
            <w:vAlign w:val="bottom"/>
            <w:tcBorders>
              <w:bottom w:val="single" w:sz="8" w:color="D2DCE5"/>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auto"/>
              <w:bottom w:val="single" w:sz="8" w:color="D2DCE5"/>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60" w:type="dxa"/>
            <w:vAlign w:val="bottom"/>
            <w:tcBorders>
              <w:top w:val="single" w:sz="8" w:color="131E29"/>
              <w:bottom w:val="single" w:sz="8" w:color="auto"/>
            </w:tcBorders>
          </w:tcPr>
          <w:p>
            <w:pPr>
              <w:spacing w:after="0"/>
              <w:rPr>
                <w:sz w:val="17"/>
                <w:szCs w:val="17"/>
                <w:color w:val="auto"/>
              </w:rPr>
            </w:pPr>
          </w:p>
        </w:tc>
        <w:tc>
          <w:tcPr>
            <w:tcW w:w="1160" w:type="dxa"/>
            <w:vAlign w:val="bottom"/>
            <w:tcBorders>
              <w:top w:val="single" w:sz="8" w:color="131E29"/>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top w:val="single" w:sz="8" w:color="131E29"/>
              <w:bottom w:val="single" w:sz="8" w:color="D2DCE5"/>
            </w:tcBorders>
          </w:tcPr>
          <w:p>
            <w:pPr>
              <w:spacing w:after="0"/>
              <w:rPr>
                <w:sz w:val="17"/>
                <w:szCs w:val="17"/>
                <w:color w:val="auto"/>
              </w:rPr>
            </w:pPr>
          </w:p>
        </w:tc>
        <w:tc>
          <w:tcPr>
            <w:tcW w:w="300" w:type="dxa"/>
            <w:vAlign w:val="bottom"/>
            <w:tcBorders>
              <w:top w:val="single" w:sz="8" w:color="131E29"/>
              <w:bottom w:val="single" w:sz="8" w:color="auto"/>
            </w:tcBorders>
          </w:tcPr>
          <w:p>
            <w:pPr>
              <w:spacing w:after="0"/>
              <w:rPr>
                <w:sz w:val="17"/>
                <w:szCs w:val="17"/>
                <w:color w:val="auto"/>
              </w:rPr>
            </w:pPr>
          </w:p>
        </w:tc>
        <w:tc>
          <w:tcPr>
            <w:tcW w:w="1020" w:type="dxa"/>
            <w:vAlign w:val="bottom"/>
            <w:tcBorders>
              <w:top w:val="single" w:sz="8" w:color="131E29"/>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Revenues:</w:t>
            </w:r>
          </w:p>
        </w:tc>
        <w:tc>
          <w:tcPr>
            <w:tcW w:w="12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0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2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131E29"/>
              </w:rPr>
              <w:t>308,295</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236,472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Pr>
          <w:p>
            <w:pPr>
              <w:jc w:val="right"/>
              <w:spacing w:after="0"/>
              <w:rPr>
                <w:sz w:val="20"/>
                <w:szCs w:val="20"/>
                <w:color w:val="auto"/>
              </w:rPr>
            </w:pPr>
            <w:r>
              <w:rPr>
                <w:rFonts w:ascii="Arial" w:cs="Arial" w:eastAsia="Arial" w:hAnsi="Arial"/>
                <w:sz w:val="14"/>
                <w:szCs w:val="14"/>
                <w:color w:val="131E29"/>
              </w:rPr>
              <w:t>851,648</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630,588</w:t>
            </w:r>
          </w:p>
        </w:tc>
        <w:tc>
          <w:tcPr>
            <w:tcW w:w="0" w:type="dxa"/>
            <w:vAlign w:val="bottom"/>
          </w:tcPr>
          <w:p>
            <w:pPr>
              <w:spacing w:after="0"/>
              <w:rPr>
                <w:sz w:val="1"/>
                <w:szCs w:val="1"/>
                <w:color w:val="auto"/>
              </w:rPr>
            </w:pP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2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29,917</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28,035</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86,581</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81,065</w:t>
            </w:r>
          </w:p>
        </w:tc>
        <w:tc>
          <w:tcPr>
            <w:tcW w:w="0" w:type="dxa"/>
            <w:vAlign w:val="bottom"/>
          </w:tcPr>
          <w:p>
            <w:pPr>
              <w:spacing w:after="0"/>
              <w:rPr>
                <w:sz w:val="1"/>
                <w:szCs w:val="1"/>
                <w:color w:val="auto"/>
              </w:rPr>
            </w:pPr>
          </w:p>
        </w:tc>
      </w:tr>
      <w:tr>
        <w:trPr>
          <w:trHeight w:val="193"/>
        </w:trPr>
        <w:tc>
          <w:tcPr>
            <w:tcW w:w="57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338,212</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264,507</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938,229</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711,653</w:t>
            </w:r>
          </w:p>
        </w:tc>
        <w:tc>
          <w:tcPr>
            <w:tcW w:w="0" w:type="dxa"/>
            <w:vAlign w:val="bottom"/>
          </w:tcPr>
          <w:p>
            <w:pPr>
              <w:spacing w:after="0"/>
              <w:rPr>
                <w:sz w:val="1"/>
                <w:szCs w:val="1"/>
                <w:color w:val="auto"/>
              </w:rPr>
            </w:pPr>
          </w:p>
        </w:tc>
      </w:tr>
      <w:tr>
        <w:trPr>
          <w:trHeight w:val="202"/>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120" w:type="dxa"/>
            <w:vAlign w:val="bottom"/>
            <w:shd w:val="clear" w:color="auto" w:fill="D2DCE5"/>
          </w:tcPr>
          <w:p>
            <w:pPr>
              <w:spacing w:after="0"/>
              <w:rPr>
                <w:sz w:val="17"/>
                <w:szCs w:val="17"/>
                <w:color w:val="auto"/>
              </w:rPr>
            </w:pPr>
          </w:p>
        </w:tc>
        <w:tc>
          <w:tcPr>
            <w:tcW w:w="1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239,918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179,480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658,950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492,645</w:t>
            </w:r>
          </w:p>
        </w:tc>
        <w:tc>
          <w:tcPr>
            <w:tcW w:w="0" w:type="dxa"/>
            <w:vAlign w:val="bottom"/>
          </w:tcPr>
          <w:p>
            <w:pPr>
              <w:spacing w:after="0"/>
              <w:rPr>
                <w:sz w:val="1"/>
                <w:szCs w:val="1"/>
                <w:color w:val="auto"/>
              </w:rPr>
            </w:pP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20" w:type="dxa"/>
            <w:vAlign w:val="bottom"/>
            <w:tcBorders>
              <w:bottom w:val="single" w:sz="8" w:color="auto"/>
            </w:tcBorders>
            <w:shd w:val="clear" w:color="auto" w:fill="D2DCE5"/>
          </w:tcPr>
          <w:p>
            <w:pPr>
              <w:spacing w:after="0"/>
              <w:rPr>
                <w:sz w:val="19"/>
                <w:szCs w:val="19"/>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8,243</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9,843</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27,098</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26,837</w:t>
            </w:r>
          </w:p>
        </w:tc>
        <w:tc>
          <w:tcPr>
            <w:tcW w:w="0" w:type="dxa"/>
            <w:vAlign w:val="bottom"/>
          </w:tcPr>
          <w:p>
            <w:pPr>
              <w:spacing w:after="0"/>
              <w:rPr>
                <w:sz w:val="1"/>
                <w:szCs w:val="1"/>
                <w:color w:val="auto"/>
              </w:rPr>
            </w:pPr>
          </w:p>
        </w:tc>
      </w:tr>
      <w:tr>
        <w:trPr>
          <w:trHeight w:val="193"/>
        </w:trPr>
        <w:tc>
          <w:tcPr>
            <w:tcW w:w="578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cost of sales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248,161</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189,323</w:t>
            </w:r>
          </w:p>
        </w:tc>
        <w:tc>
          <w:tcPr>
            <w:tcW w:w="80" w:type="dxa"/>
            <w:vAlign w:val="bottom"/>
            <w:tcBorders>
              <w:bottom w:val="single" w:sz="8" w:color="D2DC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686,048</w:t>
            </w:r>
          </w:p>
        </w:tc>
        <w:tc>
          <w:tcPr>
            <w:tcW w:w="80" w:type="dxa"/>
            <w:vAlign w:val="bottom"/>
            <w:tcBorders>
              <w:bottom w:val="single" w:sz="8" w:color="D2DC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519,482</w:t>
            </w:r>
          </w:p>
        </w:tc>
        <w:tc>
          <w:tcPr>
            <w:tcW w:w="0" w:type="dxa"/>
            <w:vAlign w:val="bottom"/>
          </w:tcPr>
          <w:p>
            <w:pPr>
              <w:spacing w:after="0"/>
              <w:rPr>
                <w:sz w:val="1"/>
                <w:szCs w:val="1"/>
                <w:color w:val="auto"/>
              </w:rPr>
            </w:pPr>
          </w:p>
        </w:tc>
      </w:tr>
      <w:tr>
        <w:trPr>
          <w:trHeight w:val="202"/>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Segment gross profit:</w:t>
            </w:r>
          </w:p>
        </w:tc>
        <w:tc>
          <w:tcPr>
            <w:tcW w:w="120" w:type="dxa"/>
            <w:vAlign w:val="bottom"/>
            <w:shd w:val="clear" w:color="auto" w:fill="D2DCE5"/>
          </w:tcPr>
          <w:p>
            <w:pPr>
              <w:spacing w:after="0"/>
              <w:rPr>
                <w:sz w:val="17"/>
                <w:szCs w:val="17"/>
                <w:color w:val="auto"/>
              </w:rPr>
            </w:pPr>
          </w:p>
        </w:tc>
        <w:tc>
          <w:tcPr>
            <w:tcW w:w="11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6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2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68,377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56,992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192,698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137,943</w:t>
            </w:r>
          </w:p>
        </w:tc>
        <w:tc>
          <w:tcPr>
            <w:tcW w:w="0" w:type="dxa"/>
            <w:vAlign w:val="bottom"/>
          </w:tcPr>
          <w:p>
            <w:pPr>
              <w:spacing w:after="0"/>
              <w:rPr>
                <w:sz w:val="1"/>
                <w:szCs w:val="1"/>
                <w:color w:val="auto"/>
              </w:rPr>
            </w:pPr>
          </w:p>
        </w:tc>
      </w:tr>
      <w:tr>
        <w:trPr>
          <w:trHeight w:val="213"/>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20" w:type="dxa"/>
            <w:vAlign w:val="bottom"/>
            <w:tcBorders>
              <w:bottom w:val="single" w:sz="8" w:color="auto"/>
            </w:tcBorders>
            <w:shd w:val="clear" w:color="auto" w:fill="D2DCE5"/>
          </w:tcPr>
          <w:p>
            <w:pPr>
              <w:spacing w:after="0"/>
              <w:rPr>
                <w:sz w:val="18"/>
                <w:szCs w:val="18"/>
                <w:color w:val="auto"/>
              </w:rPr>
            </w:pP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21,674</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18,192</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59,483</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54,228</w:t>
            </w:r>
          </w:p>
        </w:tc>
        <w:tc>
          <w:tcPr>
            <w:tcW w:w="0" w:type="dxa"/>
            <w:vAlign w:val="bottom"/>
          </w:tcPr>
          <w:p>
            <w:pPr>
              <w:spacing w:after="0"/>
              <w:rPr>
                <w:sz w:val="1"/>
                <w:szCs w:val="1"/>
                <w:color w:val="auto"/>
              </w:rPr>
            </w:pPr>
          </w:p>
        </w:tc>
      </w:tr>
      <w:tr>
        <w:trPr>
          <w:trHeight w:val="212"/>
        </w:trPr>
        <w:tc>
          <w:tcPr>
            <w:tcW w:w="5780" w:type="dxa"/>
            <w:vAlign w:val="bottom"/>
            <w:gridSpan w:val="2"/>
          </w:tcPr>
          <w:p>
            <w:pPr>
              <w:ind w:left="280"/>
              <w:spacing w:after="0"/>
              <w:rPr>
                <w:sz w:val="20"/>
                <w:szCs w:val="20"/>
                <w:color w:val="auto"/>
              </w:rPr>
            </w:pPr>
            <w:r>
              <w:rPr>
                <w:rFonts w:ascii="Arial" w:cs="Arial" w:eastAsia="Arial" w:hAnsi="Arial"/>
                <w:sz w:val="14"/>
                <w:szCs w:val="14"/>
                <w:color w:val="131E29"/>
              </w:rPr>
              <w:t>Total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90,051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75,184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252,181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192,171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120" w:type="dxa"/>
            <w:vAlign w:val="bottom"/>
            <w:shd w:val="clear" w:color="auto" w:fill="D2DCE5"/>
          </w:tcPr>
          <w:p>
            <w:pPr>
              <w:spacing w:after="0"/>
              <w:rPr>
                <w:sz w:val="15"/>
                <w:szCs w:val="15"/>
                <w:color w:val="auto"/>
              </w:rPr>
            </w:pPr>
          </w:p>
        </w:tc>
        <w:tc>
          <w:tcPr>
            <w:tcW w:w="11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60" w:type="dxa"/>
            <w:vAlign w:val="bottom"/>
            <w:shd w:val="clear" w:color="auto" w:fill="D2DCE5"/>
          </w:tcPr>
          <w:p>
            <w:pPr>
              <w:spacing w:after="0"/>
              <w:rPr>
                <w:sz w:val="15"/>
                <w:szCs w:val="15"/>
                <w:color w:val="auto"/>
              </w:rPr>
            </w:pPr>
          </w:p>
        </w:tc>
        <w:tc>
          <w:tcPr>
            <w:tcW w:w="11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02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8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120" w:type="dxa"/>
            <w:vAlign w:val="bottom"/>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131E29"/>
              </w:rPr>
              <w:t>22,470</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Pr>
          <w:p>
            <w:pPr>
              <w:jc w:val="right"/>
              <w:spacing w:after="0"/>
              <w:rPr>
                <w:sz w:val="20"/>
                <w:szCs w:val="20"/>
                <w:color w:val="auto"/>
              </w:rPr>
            </w:pPr>
            <w:r>
              <w:rPr>
                <w:rFonts w:ascii="Arial" w:cs="Arial" w:eastAsia="Arial" w:hAnsi="Arial"/>
                <w:sz w:val="14"/>
                <w:szCs w:val="14"/>
                <w:color w:val="131E29"/>
              </w:rPr>
              <w:t>16,332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63,202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44,132</w:t>
            </w:r>
          </w:p>
        </w:tc>
        <w:tc>
          <w:tcPr>
            <w:tcW w:w="0" w:type="dxa"/>
            <w:vAlign w:val="bottom"/>
          </w:tcPr>
          <w:p>
            <w:pPr>
              <w:spacing w:after="0"/>
              <w:rPr>
                <w:sz w:val="1"/>
                <w:szCs w:val="1"/>
                <w:color w:val="auto"/>
              </w:rPr>
            </w:pP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120" w:type="dxa"/>
            <w:vAlign w:val="bottom"/>
            <w:shd w:val="clear" w:color="auto" w:fill="D2DCE5"/>
          </w:tcPr>
          <w:p>
            <w:pPr>
              <w:spacing w:after="0"/>
              <w:rPr>
                <w:sz w:val="19"/>
                <w:szCs w:val="19"/>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1,022</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1,371</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3,394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4,029</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All other ¹</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389</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413</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888</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1,250</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depreciation and amortization</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23,881</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18,116</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67,484</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49,411</w:t>
            </w:r>
          </w:p>
        </w:tc>
        <w:tc>
          <w:tcPr>
            <w:tcW w:w="0" w:type="dxa"/>
            <w:vAlign w:val="bottom"/>
          </w:tcPr>
          <w:p>
            <w:pPr>
              <w:spacing w:after="0"/>
              <w:rPr>
                <w:sz w:val="1"/>
                <w:szCs w:val="1"/>
                <w:color w:val="auto"/>
              </w:rPr>
            </w:pPr>
          </w:p>
        </w:tc>
      </w:tr>
      <w:tr>
        <w:trPr>
          <w:trHeight w:val="20"/>
        </w:trPr>
        <w:tc>
          <w:tcPr>
            <w:tcW w:w="57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Segment contribution:</w:t>
            </w: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57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Company-operated shops</w:t>
            </w:r>
          </w:p>
        </w:tc>
        <w:tc>
          <w:tcPr>
            <w:tcW w:w="120" w:type="dxa"/>
            <w:vAlign w:val="bottom"/>
            <w:shd w:val="clear" w:color="auto" w:fill="D2DCE5"/>
          </w:tcPr>
          <w:p>
            <w:pPr>
              <w:spacing w:after="0"/>
              <w:rPr>
                <w:sz w:val="19"/>
                <w:szCs w:val="19"/>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90,847</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73,324</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255,900</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182,075</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Franchising and other</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22,696</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19,563</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62,877</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58,257</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color w:val="131E29"/>
              </w:rPr>
              <w:t>Total segment contribution</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113,543</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92,887</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318,777</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240,332</w:t>
            </w:r>
          </w:p>
        </w:tc>
        <w:tc>
          <w:tcPr>
            <w:tcW w:w="0" w:type="dxa"/>
            <w:vAlign w:val="bottom"/>
          </w:tcPr>
          <w:p>
            <w:pPr>
              <w:spacing w:after="0"/>
              <w:rPr>
                <w:sz w:val="1"/>
                <w:szCs w:val="1"/>
                <w:color w:val="auto"/>
              </w:rPr>
            </w:pPr>
          </w:p>
        </w:tc>
      </w:tr>
      <w:tr>
        <w:trPr>
          <w:trHeight w:val="20"/>
        </w:trPr>
        <w:tc>
          <w:tcPr>
            <w:tcW w:w="57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Selling, general and administrative</w:t>
            </w: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(57,536)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(50,490)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(161,866)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(148,128)</w:t>
            </w:r>
          </w:p>
        </w:tc>
        <w:tc>
          <w:tcPr>
            <w:tcW w:w="0" w:type="dxa"/>
            <w:vAlign w:val="bottom"/>
          </w:tcPr>
          <w:p>
            <w:pPr>
              <w:spacing w:after="0"/>
              <w:rPr>
                <w:sz w:val="1"/>
                <w:szCs w:val="1"/>
                <w:color w:val="auto"/>
              </w:rPr>
            </w:pPr>
          </w:p>
        </w:tc>
      </w:tr>
      <w:tr>
        <w:trPr>
          <w:trHeight w:val="222"/>
        </w:trPr>
        <w:tc>
          <w:tcPr>
            <w:tcW w:w="5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120" w:type="dxa"/>
            <w:vAlign w:val="bottom"/>
            <w:shd w:val="clear" w:color="auto" w:fill="D2DCE5"/>
          </w:tcPr>
          <w:p>
            <w:pPr>
              <w:spacing w:after="0"/>
              <w:rPr>
                <w:sz w:val="19"/>
                <w:szCs w:val="19"/>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(6,869)</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(9,325)</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(20,259)</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(26,269)</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income (expense),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764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(140)</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7,357</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2,206</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Income before income taxes</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26,410</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15,229</w:t>
            </w:r>
          </w:p>
        </w:tc>
        <w:tc>
          <w:tcPr>
            <w:tcW w:w="80" w:type="dxa"/>
            <w:vAlign w:val="bottom"/>
            <w:tcBorders>
              <w:bottom w:val="single" w:sz="8" w:color="D2DCE5"/>
            </w:tcBorders>
            <w:shd w:val="clear" w:color="auto" w:fill="D2DCE5"/>
          </w:tcPr>
          <w:p>
            <w:pPr>
              <w:spacing w:after="0"/>
              <w:rPr>
                <w:sz w:val="20"/>
                <w:szCs w:val="20"/>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77,413</w:t>
            </w:r>
          </w:p>
        </w:tc>
        <w:tc>
          <w:tcPr>
            <w:tcW w:w="8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19,980</w:t>
            </w:r>
          </w:p>
        </w:tc>
        <w:tc>
          <w:tcPr>
            <w:tcW w:w="0" w:type="dxa"/>
            <w:vAlign w:val="bottom"/>
          </w:tcPr>
          <w:p>
            <w:pPr>
              <w:spacing w:after="0"/>
              <w:rPr>
                <w:sz w:val="1"/>
                <w:szCs w:val="1"/>
                <w:color w:val="auto"/>
              </w:rPr>
            </w:pPr>
          </w:p>
        </w:tc>
      </w:tr>
      <w:tr>
        <w:trPr>
          <w:trHeight w:val="20"/>
        </w:trPr>
        <w:tc>
          <w:tcPr>
            <w:tcW w:w="562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__________________</w:t>
            </w:r>
          </w:p>
        </w:tc>
        <w:tc>
          <w:tcPr>
            <w:tcW w:w="16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11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hanging="55"/>
        <w:spacing w:after="0"/>
        <w:tabs>
          <w:tab w:leader="none" w:pos="6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All other depreciation and amortization is i</w:t>
      </w:r>
      <w:r>
        <w:rPr>
          <w:rFonts w:ascii="Arial" w:cs="Arial" w:eastAsia="Arial" w:hAnsi="Arial"/>
          <w:sz w:val="11"/>
          <w:szCs w:val="11"/>
          <w:color w:val="131E29"/>
        </w:rPr>
        <w:t>ncluded in selling, general and administrative expenses and is not part of the segment contribution calculations.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16B"/>
        </w:rPr>
        <w:t>Key Performance Indicators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gridSpan w:val="6"/>
          </w:tcPr>
          <w:p>
            <w:pPr>
              <w:spacing w:after="0"/>
              <w:rPr>
                <w:sz w:val="20"/>
                <w:szCs w:val="20"/>
                <w:color w:val="auto"/>
              </w:rPr>
            </w:pPr>
            <w:r>
              <w:rPr>
                <w:rFonts w:ascii="Arial" w:cs="Arial" w:eastAsia="Arial" w:hAnsi="Arial"/>
                <w:sz w:val="14"/>
                <w:szCs w:val="14"/>
                <w:color w:val="131E29"/>
              </w:rPr>
              <w:t>The key performance indicators (KPIs) that we use to effectively manage and evaluate our business are as follows: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6"/>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gridSpan w:val="5"/>
          </w:tcPr>
          <w:p>
            <w:pPr>
              <w:ind w:left="80"/>
              <w:spacing w:after="0"/>
              <w:rPr>
                <w:sz w:val="20"/>
                <w:szCs w:val="20"/>
                <w:color w:val="auto"/>
              </w:rPr>
            </w:pPr>
            <w:r>
              <w:rPr>
                <w:rFonts w:ascii="Arial" w:cs="Arial" w:eastAsia="Arial" w:hAnsi="Arial"/>
                <w:sz w:val="14"/>
                <w:szCs w:val="14"/>
                <w:b w:val="1"/>
                <w:bCs w:val="1"/>
                <w:color w:val="131E29"/>
              </w:rPr>
              <w:t>Three Months Ended September 30,</w:t>
            </w:r>
          </w:p>
        </w:tc>
        <w:tc>
          <w:tcPr>
            <w:tcW w:w="200" w:type="dxa"/>
            <w:vAlign w:val="bottom"/>
          </w:tcPr>
          <w:p>
            <w:pPr>
              <w:spacing w:after="0"/>
              <w:rPr>
                <w:sz w:val="19"/>
                <w:szCs w:val="19"/>
                <w:color w:val="auto"/>
              </w:rPr>
            </w:pPr>
          </w:p>
        </w:tc>
        <w:tc>
          <w:tcPr>
            <w:tcW w:w="2760" w:type="dxa"/>
            <w:vAlign w:val="bottom"/>
            <w:gridSpan w:val="4"/>
          </w:tcPr>
          <w:p>
            <w:pPr>
              <w:jc w:val="right"/>
              <w:ind w:right="249"/>
              <w:spacing w:after="0"/>
              <w:rPr>
                <w:sz w:val="20"/>
                <w:szCs w:val="20"/>
                <w:color w:val="auto"/>
              </w:rPr>
            </w:pPr>
            <w:r>
              <w:rPr>
                <w:rFonts w:ascii="Arial" w:cs="Arial" w:eastAsia="Arial" w:hAnsi="Arial"/>
                <w:sz w:val="14"/>
                <w:szCs w:val="14"/>
                <w:b w:val="1"/>
                <w:bCs w:val="1"/>
                <w:color w:val="131E29"/>
              </w:rPr>
              <w:t>Nine Months Ended September 30,</w:t>
            </w:r>
          </w:p>
        </w:tc>
      </w:tr>
      <w:tr>
        <w:trPr>
          <w:trHeight w:val="20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shop count data; unaudited)</w:t>
            </w:r>
          </w:p>
        </w:tc>
        <w:tc>
          <w:tcPr>
            <w:tcW w:w="100" w:type="dxa"/>
            <w:vAlign w:val="bottom"/>
            <w:tcBorders>
              <w:bottom w:val="single" w:sz="8" w:color="D2DCE5"/>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top w:val="single" w:sz="8" w:color="auto"/>
              <w:bottom w:val="single" w:sz="8" w:color="D2DCE5"/>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right="36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2024</w:t>
            </w:r>
          </w:p>
        </w:tc>
        <w:tc>
          <w:tcPr>
            <w:tcW w:w="140" w:type="dxa"/>
            <w:vAlign w:val="bottom"/>
            <w:tcBorders>
              <w:top w:val="single" w:sz="8" w:color="auto"/>
              <w:bottom w:val="single" w:sz="8" w:color="D2DCE5"/>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131E29"/>
              </w:rPr>
              <w:t>2023</w:t>
            </w:r>
          </w:p>
        </w:tc>
      </w:tr>
      <w:tr>
        <w:trPr>
          <w:trHeight w:val="209"/>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Shop count, beginning of period</w:t>
            </w:r>
          </w:p>
        </w:tc>
        <w:tc>
          <w:tcPr>
            <w:tcW w:w="1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80" w:type="dxa"/>
            <w:vAlign w:val="bottom"/>
            <w:shd w:val="clear" w:color="auto" w:fill="D2DCE5"/>
          </w:tcPr>
          <w:p>
            <w:pPr>
              <w:spacing w:after="0"/>
              <w:rPr>
                <w:sz w:val="18"/>
                <w:szCs w:val="18"/>
                <w:color w:val="auto"/>
              </w:rPr>
            </w:pPr>
          </w:p>
        </w:tc>
      </w:tr>
      <w:tr>
        <w:trPr>
          <w:trHeight w:val="202"/>
        </w:trPr>
        <w:tc>
          <w:tcPr>
            <w:tcW w:w="536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160" w:type="dxa"/>
            <w:vAlign w:val="bottom"/>
          </w:tcPr>
          <w:p>
            <w:pPr>
              <w:spacing w:after="0"/>
              <w:rPr>
                <w:sz w:val="17"/>
                <w:szCs w:val="17"/>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131E29"/>
              </w:rPr>
              <w:t>612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131E29"/>
              </w:rPr>
              <w:t>473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131E29"/>
              </w:rPr>
              <w:t>542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131E29"/>
              </w:rPr>
              <w:t>396</w:t>
            </w:r>
          </w:p>
        </w:tc>
      </w:tr>
      <w:tr>
        <w:trPr>
          <w:trHeight w:val="213"/>
        </w:trPr>
        <w:tc>
          <w:tcPr>
            <w:tcW w:w="53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160" w:type="dxa"/>
            <w:vAlign w:val="bottom"/>
            <w:tcBorders>
              <w:bottom w:val="single" w:sz="8" w:color="auto"/>
            </w:tcBorders>
            <w:shd w:val="clear" w:color="auto" w:fill="D2DCE5"/>
          </w:tcPr>
          <w:p>
            <w:pPr>
              <w:spacing w:after="0"/>
              <w:rPr>
                <w:sz w:val="18"/>
                <w:szCs w:val="18"/>
                <w:color w:val="auto"/>
              </w:rPr>
            </w:pPr>
          </w:p>
        </w:tc>
        <w:tc>
          <w:tcPr>
            <w:tcW w:w="124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300</w:t>
            </w:r>
          </w:p>
        </w:tc>
        <w:tc>
          <w:tcPr>
            <w:tcW w:w="80" w:type="dxa"/>
            <w:vAlign w:val="bottom"/>
            <w:shd w:val="clear" w:color="auto" w:fill="D2DCE5"/>
          </w:tcPr>
          <w:p>
            <w:pPr>
              <w:spacing w:after="0"/>
              <w:rPr>
                <w:sz w:val="18"/>
                <w:szCs w:val="18"/>
                <w:color w:val="auto"/>
              </w:rPr>
            </w:pPr>
          </w:p>
        </w:tc>
        <w:tc>
          <w:tcPr>
            <w:tcW w:w="440" w:type="dxa"/>
            <w:vAlign w:val="bottom"/>
            <w:tcBorders>
              <w:bottom w:val="single" w:sz="8" w:color="auto"/>
            </w:tcBorders>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281</w:t>
            </w:r>
          </w:p>
        </w:tc>
        <w:tc>
          <w:tcPr>
            <w:tcW w:w="80" w:type="dxa"/>
            <w:vAlign w:val="bottom"/>
            <w:shd w:val="clear" w:color="auto" w:fill="D2DCE5"/>
          </w:tcPr>
          <w:p>
            <w:pPr>
              <w:spacing w:after="0"/>
              <w:rPr>
                <w:sz w:val="18"/>
                <w:szCs w:val="18"/>
                <w:color w:val="auto"/>
              </w:rPr>
            </w:pPr>
          </w:p>
        </w:tc>
        <w:tc>
          <w:tcPr>
            <w:tcW w:w="200" w:type="dxa"/>
            <w:vAlign w:val="bottom"/>
            <w:tcBorders>
              <w:bottom w:val="single" w:sz="8" w:color="auto"/>
            </w:tcBorders>
            <w:shd w:val="clear" w:color="auto" w:fill="D2DCE5"/>
          </w:tcPr>
          <w:p>
            <w:pPr>
              <w:spacing w:after="0"/>
              <w:rPr>
                <w:sz w:val="18"/>
                <w:szCs w:val="18"/>
                <w:color w:val="auto"/>
              </w:rPr>
            </w:pPr>
          </w:p>
        </w:tc>
        <w:tc>
          <w:tcPr>
            <w:tcW w:w="122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289</w:t>
            </w:r>
          </w:p>
        </w:tc>
        <w:tc>
          <w:tcPr>
            <w:tcW w:w="14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08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275</w:t>
            </w:r>
          </w:p>
        </w:tc>
      </w:tr>
      <w:tr>
        <w:trPr>
          <w:trHeight w:val="212"/>
        </w:trPr>
        <w:tc>
          <w:tcPr>
            <w:tcW w:w="5360" w:type="dxa"/>
            <w:vAlign w:val="bottom"/>
            <w:gridSpan w:val="2"/>
          </w:tcPr>
          <w:p>
            <w:pPr>
              <w:ind w:left="400"/>
              <w:spacing w:after="0"/>
              <w:rPr>
                <w:sz w:val="20"/>
                <w:szCs w:val="20"/>
                <w:color w:val="auto"/>
              </w:rPr>
            </w:pPr>
            <w:r>
              <w:rPr>
                <w:rFonts w:ascii="Arial" w:cs="Arial" w:eastAsia="Arial" w:hAnsi="Arial"/>
                <w:sz w:val="14"/>
                <w:szCs w:val="14"/>
                <w:color w:val="131E29"/>
              </w:rPr>
              <w:t>Total shop count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912</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754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831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671</w:t>
            </w:r>
          </w:p>
        </w:tc>
      </w:tr>
      <w:tr>
        <w:trPr>
          <w:trHeight w:val="20"/>
        </w:trPr>
        <w:tc>
          <w:tcPr>
            <w:tcW w:w="52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5"/>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new openings</w:t>
            </w:r>
          </w:p>
        </w:tc>
        <w:tc>
          <w:tcPr>
            <w:tcW w:w="160" w:type="dxa"/>
            <w:vAlign w:val="bottom"/>
            <w:shd w:val="clear" w:color="auto" w:fill="D2DCE5"/>
          </w:tcPr>
          <w:p>
            <w:pPr>
              <w:spacing w:after="0"/>
              <w:rPr>
                <w:sz w:val="16"/>
                <w:szCs w:val="16"/>
                <w:color w:val="auto"/>
              </w:rPr>
            </w:pPr>
          </w:p>
        </w:tc>
        <w:tc>
          <w:tcPr>
            <w:tcW w:w="12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33</w:t>
            </w:r>
          </w:p>
        </w:tc>
        <w:tc>
          <w:tcPr>
            <w:tcW w:w="80" w:type="dxa"/>
            <w:vAlign w:val="bottom"/>
            <w:shd w:val="clear" w:color="auto" w:fill="D2DCE5"/>
          </w:tcPr>
          <w:p>
            <w:pPr>
              <w:spacing w:after="0"/>
              <w:rPr>
                <w:sz w:val="16"/>
                <w:szCs w:val="16"/>
                <w:color w:val="auto"/>
              </w:rPr>
            </w:pPr>
          </w:p>
        </w:tc>
        <w:tc>
          <w:tcPr>
            <w:tcW w:w="440" w:type="dxa"/>
            <w:vAlign w:val="bottom"/>
            <w:shd w:val="clear" w:color="auto" w:fill="D2DCE5"/>
          </w:tcPr>
          <w:p>
            <w:pPr>
              <w:spacing w:after="0"/>
              <w:rPr>
                <w:sz w:val="16"/>
                <w:szCs w:val="16"/>
                <w:color w:val="auto"/>
              </w:rPr>
            </w:pPr>
          </w:p>
        </w:tc>
        <w:tc>
          <w:tcPr>
            <w:tcW w:w="96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37</w:t>
            </w:r>
          </w:p>
        </w:tc>
        <w:tc>
          <w:tcPr>
            <w:tcW w:w="80" w:type="dxa"/>
            <w:vAlign w:val="bottom"/>
            <w:shd w:val="clear" w:color="auto" w:fill="D2DCE5"/>
          </w:tcPr>
          <w:p>
            <w:pPr>
              <w:spacing w:after="0"/>
              <w:rPr>
                <w:sz w:val="16"/>
                <w:szCs w:val="16"/>
                <w:color w:val="auto"/>
              </w:rPr>
            </w:pPr>
          </w:p>
        </w:tc>
        <w:tc>
          <w:tcPr>
            <w:tcW w:w="200" w:type="dxa"/>
            <w:vAlign w:val="bottom"/>
            <w:shd w:val="clear" w:color="auto" w:fill="D2DCE5"/>
          </w:tcPr>
          <w:p>
            <w:pPr>
              <w:spacing w:after="0"/>
              <w:rPr>
                <w:sz w:val="16"/>
                <w:szCs w:val="16"/>
                <w:color w:val="auto"/>
              </w:rPr>
            </w:pPr>
          </w:p>
        </w:tc>
        <w:tc>
          <w:tcPr>
            <w:tcW w:w="12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103</w:t>
            </w:r>
          </w:p>
        </w:tc>
        <w:tc>
          <w:tcPr>
            <w:tcW w:w="14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10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114</w:t>
            </w:r>
          </w:p>
        </w:tc>
      </w:tr>
      <w:tr>
        <w:trPr>
          <w:trHeight w:val="202"/>
        </w:trPr>
        <w:tc>
          <w:tcPr>
            <w:tcW w:w="5360" w:type="dxa"/>
            <w:vAlign w:val="bottom"/>
            <w:gridSpan w:val="2"/>
          </w:tcPr>
          <w:p>
            <w:pPr>
              <w:ind w:left="20"/>
              <w:spacing w:after="0"/>
              <w:rPr>
                <w:sz w:val="20"/>
                <w:szCs w:val="20"/>
                <w:color w:val="auto"/>
              </w:rPr>
            </w:pPr>
            <w:r>
              <w:rPr>
                <w:rFonts w:ascii="Arial" w:cs="Arial" w:eastAsia="Arial" w:hAnsi="Arial"/>
                <w:sz w:val="14"/>
                <w:szCs w:val="14"/>
                <w:color w:val="131E29"/>
              </w:rPr>
              <w:t>Franchised new openings</w:t>
            </w:r>
          </w:p>
        </w:tc>
        <w:tc>
          <w:tcPr>
            <w:tcW w:w="160" w:type="dxa"/>
            <w:vAlign w:val="bottom"/>
          </w:tcPr>
          <w:p>
            <w:pPr>
              <w:spacing w:after="0"/>
              <w:rPr>
                <w:sz w:val="17"/>
                <w:szCs w:val="17"/>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131E29"/>
              </w:rPr>
              <w:t>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131E29"/>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131E29"/>
              </w:rPr>
              <w:t>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131E29"/>
              </w:rPr>
              <w:t>8</w:t>
            </w:r>
          </w:p>
        </w:tc>
      </w:tr>
      <w:tr>
        <w:trPr>
          <w:trHeight w:val="222"/>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Re-openings </w:t>
            </w:r>
            <w:r>
              <w:rPr>
                <w:rFonts w:ascii="Arial" w:cs="Arial" w:eastAsia="Arial" w:hAnsi="Arial"/>
                <w:sz w:val="18"/>
                <w:szCs w:val="18"/>
                <w:color w:val="131E29"/>
                <w:vertAlign w:val="superscript"/>
              </w:rPr>
              <w:t>1</w:t>
            </w:r>
          </w:p>
        </w:tc>
        <w:tc>
          <w:tcPr>
            <w:tcW w:w="160" w:type="dxa"/>
            <w:vAlign w:val="bottom"/>
            <w:shd w:val="clear" w:color="auto" w:fill="D2DCE5"/>
          </w:tcPr>
          <w:p>
            <w:pPr>
              <w:spacing w:after="0"/>
              <w:rPr>
                <w:sz w:val="19"/>
                <w:szCs w:val="19"/>
                <w:color w:val="auto"/>
              </w:rPr>
            </w:pPr>
          </w:p>
        </w:tc>
        <w:tc>
          <w:tcPr>
            <w:tcW w:w="1320" w:type="dxa"/>
            <w:vAlign w:val="bottom"/>
            <w:gridSpan w:val="2"/>
            <w:shd w:val="clear" w:color="auto" w:fill="D2DCE5"/>
          </w:tcPr>
          <w:p>
            <w:pPr>
              <w:jc w:val="right"/>
              <w:ind w:right="180"/>
              <w:spacing w:after="0"/>
              <w:rPr>
                <w:sz w:val="20"/>
                <w:szCs w:val="20"/>
                <w:color w:val="auto"/>
              </w:rPr>
            </w:pPr>
            <w:r>
              <w:rPr>
                <w:rFonts w:ascii="Arial" w:cs="Arial" w:eastAsia="Arial" w:hAnsi="Arial"/>
                <w:sz w:val="14"/>
                <w:szCs w:val="14"/>
                <w:color w:val="131E29"/>
              </w:rPr>
              <w:t>—</w:t>
            </w:r>
          </w:p>
        </w:tc>
        <w:tc>
          <w:tcPr>
            <w:tcW w:w="440" w:type="dxa"/>
            <w:vAlign w:val="bottom"/>
            <w:shd w:val="clear" w:color="auto" w:fill="D2DCE5"/>
          </w:tcPr>
          <w:p>
            <w:pPr>
              <w:spacing w:after="0"/>
              <w:rPr>
                <w:sz w:val="19"/>
                <w:szCs w:val="19"/>
                <w:color w:val="auto"/>
              </w:rPr>
            </w:pPr>
          </w:p>
        </w:tc>
        <w:tc>
          <w:tcPr>
            <w:tcW w:w="96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360" w:type="dxa"/>
            <w:vAlign w:val="bottom"/>
            <w:gridSpan w:val="2"/>
            <w:shd w:val="clear" w:color="auto" w:fill="D2DCE5"/>
          </w:tcPr>
          <w:p>
            <w:pPr>
              <w:jc w:val="right"/>
              <w:ind w:right="2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9"/>
                <w:szCs w:val="19"/>
                <w:color w:val="auto"/>
              </w:rPr>
            </w:pPr>
          </w:p>
        </w:tc>
        <w:tc>
          <w:tcPr>
            <w:tcW w:w="10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w:t>
            </w:r>
          </w:p>
        </w:tc>
      </w:tr>
      <w:tr>
        <w:trPr>
          <w:trHeight w:val="182"/>
        </w:trPr>
        <w:tc>
          <w:tcPr>
            <w:tcW w:w="5360" w:type="dxa"/>
            <w:vAlign w:val="bottom"/>
            <w:gridSpan w:val="2"/>
          </w:tcPr>
          <w:p>
            <w:pPr>
              <w:ind w:left="20"/>
              <w:spacing w:after="0"/>
              <w:rPr>
                <w:sz w:val="20"/>
                <w:szCs w:val="20"/>
                <w:color w:val="auto"/>
              </w:rPr>
            </w:pPr>
            <w:r>
              <w:rPr>
                <w:rFonts w:ascii="Arial" w:cs="Arial" w:eastAsia="Arial" w:hAnsi="Arial"/>
                <w:sz w:val="14"/>
                <w:szCs w:val="14"/>
                <w:color w:val="131E29"/>
              </w:rPr>
              <w:t>Shop count, end of period</w:t>
            </w: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22"/>
        </w:trPr>
        <w:tc>
          <w:tcPr>
            <w:tcW w:w="53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Company-operated</w:t>
            </w:r>
          </w:p>
        </w:tc>
        <w:tc>
          <w:tcPr>
            <w:tcW w:w="160" w:type="dxa"/>
            <w:vAlign w:val="bottom"/>
            <w:shd w:val="clear" w:color="auto" w:fill="D2DCE5"/>
          </w:tcPr>
          <w:p>
            <w:pPr>
              <w:spacing w:after="0"/>
              <w:rPr>
                <w:sz w:val="19"/>
                <w:szCs w:val="19"/>
                <w:color w:val="auto"/>
              </w:rPr>
            </w:pPr>
          </w:p>
        </w:tc>
        <w:tc>
          <w:tcPr>
            <w:tcW w:w="12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645</w:t>
            </w: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96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510</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2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645</w:t>
            </w:r>
          </w:p>
        </w:tc>
        <w:tc>
          <w:tcPr>
            <w:tcW w:w="14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510</w:t>
            </w:r>
          </w:p>
        </w:tc>
      </w:tr>
      <w:tr>
        <w:trPr>
          <w:trHeight w:val="203"/>
        </w:trPr>
        <w:tc>
          <w:tcPr>
            <w:tcW w:w="536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Franchised</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305</w:t>
            </w:r>
          </w:p>
        </w:tc>
        <w:tc>
          <w:tcPr>
            <w:tcW w:w="80" w:type="dxa"/>
            <w:vAlign w:val="bottom"/>
            <w:tcBorders>
              <w:bottom w:val="single" w:sz="8" w:color="D2DCE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284</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305</w:t>
            </w:r>
          </w:p>
        </w:tc>
        <w:tc>
          <w:tcPr>
            <w:tcW w:w="14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131E29"/>
              </w:rPr>
              <w:t>284</w:t>
            </w:r>
          </w:p>
        </w:tc>
      </w:tr>
      <w:tr>
        <w:trPr>
          <w:trHeight w:val="237"/>
        </w:trPr>
        <w:tc>
          <w:tcPr>
            <w:tcW w:w="5360" w:type="dxa"/>
            <w:vAlign w:val="bottom"/>
            <w:tcBorders>
              <w:bottom w:val="single" w:sz="8" w:color="D2DCE5"/>
            </w:tcBorders>
            <w:gridSpan w:val="2"/>
            <w:shd w:val="clear" w:color="auto" w:fill="D2DCE5"/>
          </w:tcPr>
          <w:p>
            <w:pPr>
              <w:ind w:left="400"/>
              <w:spacing w:after="0"/>
              <w:rPr>
                <w:sz w:val="20"/>
                <w:szCs w:val="20"/>
                <w:color w:val="auto"/>
              </w:rPr>
            </w:pPr>
            <w:r>
              <w:rPr>
                <w:rFonts w:ascii="Arial" w:cs="Arial" w:eastAsia="Arial" w:hAnsi="Arial"/>
                <w:sz w:val="14"/>
                <w:szCs w:val="14"/>
                <w:color w:val="131E29"/>
              </w:rPr>
              <w:t>Total shop count</w:t>
            </w:r>
          </w:p>
        </w:tc>
        <w:tc>
          <w:tcPr>
            <w:tcW w:w="160" w:type="dxa"/>
            <w:vAlign w:val="bottom"/>
            <w:tcBorders>
              <w:bottom w:val="single" w:sz="8" w:color="auto"/>
            </w:tcBorders>
            <w:shd w:val="clear" w:color="auto" w:fill="D2DCE5"/>
          </w:tcPr>
          <w:p>
            <w:pPr>
              <w:spacing w:after="0"/>
              <w:rPr>
                <w:sz w:val="20"/>
                <w:szCs w:val="20"/>
                <w:color w:val="auto"/>
              </w:rPr>
            </w:pPr>
          </w:p>
        </w:tc>
        <w:tc>
          <w:tcPr>
            <w:tcW w:w="124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950</w:t>
            </w:r>
          </w:p>
        </w:tc>
        <w:tc>
          <w:tcPr>
            <w:tcW w:w="80" w:type="dxa"/>
            <w:vAlign w:val="bottom"/>
            <w:tcBorders>
              <w:bottom w:val="single" w:sz="8" w:color="D2DCE5"/>
            </w:tcBorders>
            <w:shd w:val="clear" w:color="auto" w:fill="D2DCE5"/>
          </w:tcPr>
          <w:p>
            <w:pPr>
              <w:spacing w:after="0"/>
              <w:rPr>
                <w:sz w:val="20"/>
                <w:szCs w:val="20"/>
                <w:color w:val="auto"/>
              </w:rPr>
            </w:pPr>
          </w:p>
        </w:tc>
        <w:tc>
          <w:tcPr>
            <w:tcW w:w="440" w:type="dxa"/>
            <w:vAlign w:val="bottom"/>
            <w:tcBorders>
              <w:bottom w:val="single" w:sz="8" w:color="auto"/>
            </w:tcBorders>
            <w:shd w:val="clear" w:color="auto" w:fill="D2DCE5"/>
          </w:tcPr>
          <w:p>
            <w:pPr>
              <w:spacing w:after="0"/>
              <w:rPr>
                <w:sz w:val="20"/>
                <w:szCs w:val="20"/>
                <w:color w:val="auto"/>
              </w:rPr>
            </w:pPr>
          </w:p>
        </w:tc>
        <w:tc>
          <w:tcPr>
            <w:tcW w:w="96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794</w:t>
            </w:r>
          </w:p>
        </w:tc>
        <w:tc>
          <w:tcPr>
            <w:tcW w:w="80" w:type="dxa"/>
            <w:vAlign w:val="bottom"/>
            <w:tcBorders>
              <w:bottom w:val="single" w:sz="8" w:color="D2DCE5"/>
            </w:tcBorders>
            <w:shd w:val="clear" w:color="auto" w:fill="D2DCE5"/>
          </w:tcPr>
          <w:p>
            <w:pPr>
              <w:spacing w:after="0"/>
              <w:rPr>
                <w:sz w:val="20"/>
                <w:szCs w:val="20"/>
                <w:color w:val="auto"/>
              </w:rPr>
            </w:pPr>
          </w:p>
        </w:tc>
        <w:tc>
          <w:tcPr>
            <w:tcW w:w="200" w:type="dxa"/>
            <w:vAlign w:val="bottom"/>
            <w:tcBorders>
              <w:bottom w:val="single" w:sz="8" w:color="auto"/>
            </w:tcBorders>
            <w:shd w:val="clear" w:color="auto" w:fill="D2DCE5"/>
          </w:tcPr>
          <w:p>
            <w:pPr>
              <w:spacing w:after="0"/>
              <w:rPr>
                <w:sz w:val="20"/>
                <w:szCs w:val="20"/>
                <w:color w:val="auto"/>
              </w:rPr>
            </w:pPr>
          </w:p>
        </w:tc>
        <w:tc>
          <w:tcPr>
            <w:tcW w:w="122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950</w:t>
            </w:r>
          </w:p>
        </w:tc>
        <w:tc>
          <w:tcPr>
            <w:tcW w:w="14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spacing w:after="0"/>
              <w:rPr>
                <w:sz w:val="20"/>
                <w:szCs w:val="20"/>
                <w:color w:val="auto"/>
              </w:rPr>
            </w:pPr>
          </w:p>
        </w:tc>
        <w:tc>
          <w:tcPr>
            <w:tcW w:w="108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794</w:t>
            </w:r>
          </w:p>
        </w:tc>
      </w:tr>
      <w:tr>
        <w:trPr>
          <w:trHeight w:val="20"/>
        </w:trPr>
        <w:tc>
          <w:tcPr>
            <w:tcW w:w="52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4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Systemwide AUV </w:t>
            </w:r>
            <w:r>
              <w:rPr>
                <w:rFonts w:ascii="Arial" w:cs="Arial" w:eastAsia="Arial" w:hAnsi="Arial"/>
                <w:sz w:val="18"/>
                <w:szCs w:val="18"/>
                <w:color w:val="131E29"/>
                <w:vertAlign w:val="superscript"/>
              </w:rPr>
              <w:t>2</w:t>
            </w:r>
          </w:p>
        </w:tc>
        <w:tc>
          <w:tcPr>
            <w:tcW w:w="160" w:type="dxa"/>
            <w:vAlign w:val="bottom"/>
            <w:shd w:val="clear" w:color="auto" w:fill="D2DCE5"/>
          </w:tcPr>
          <w:p>
            <w:pPr>
              <w:spacing w:after="0"/>
              <w:rPr>
                <w:sz w:val="18"/>
                <w:szCs w:val="18"/>
                <w:color w:val="auto"/>
              </w:rPr>
            </w:pPr>
          </w:p>
        </w:tc>
        <w:tc>
          <w:tcPr>
            <w:tcW w:w="1320" w:type="dxa"/>
            <w:vAlign w:val="bottom"/>
            <w:gridSpan w:val="2"/>
            <w:shd w:val="clear" w:color="auto" w:fill="D2DCE5"/>
          </w:tcPr>
          <w:p>
            <w:pPr>
              <w:jc w:val="center"/>
              <w:ind w:right="240"/>
              <w:spacing w:after="0"/>
              <w:rPr>
                <w:sz w:val="20"/>
                <w:szCs w:val="20"/>
                <w:color w:val="auto"/>
              </w:rPr>
            </w:pPr>
            <w:r>
              <w:rPr>
                <w:rFonts w:ascii="Arial" w:cs="Arial" w:eastAsia="Arial" w:hAnsi="Arial"/>
                <w:sz w:val="14"/>
                <w:szCs w:val="14"/>
                <w:color w:val="131E29"/>
              </w:rPr>
              <w:t>N/A</w:t>
            </w:r>
          </w:p>
        </w:tc>
        <w:tc>
          <w:tcPr>
            <w:tcW w:w="440" w:type="dxa"/>
            <w:vAlign w:val="bottom"/>
            <w:shd w:val="clear" w:color="auto" w:fill="D2DCE5"/>
          </w:tcPr>
          <w:p>
            <w:pPr>
              <w:spacing w:after="0"/>
              <w:rPr>
                <w:sz w:val="18"/>
                <w:szCs w:val="18"/>
                <w:color w:val="auto"/>
              </w:rPr>
            </w:pPr>
          </w:p>
        </w:tc>
        <w:tc>
          <w:tcPr>
            <w:tcW w:w="1040" w:type="dxa"/>
            <w:vAlign w:val="bottom"/>
            <w:gridSpan w:val="2"/>
            <w:shd w:val="clear" w:color="auto" w:fill="D2DCE5"/>
          </w:tcPr>
          <w:p>
            <w:pPr>
              <w:jc w:val="center"/>
              <w:ind w:right="520"/>
              <w:spacing w:after="0"/>
              <w:rPr>
                <w:sz w:val="20"/>
                <w:szCs w:val="20"/>
                <w:color w:val="auto"/>
              </w:rPr>
            </w:pPr>
            <w:r>
              <w:rPr>
                <w:rFonts w:ascii="Arial" w:cs="Arial" w:eastAsia="Arial" w:hAnsi="Arial"/>
                <w:sz w:val="14"/>
                <w:szCs w:val="14"/>
                <w:color w:val="131E29"/>
              </w:rPr>
              <w:t>N/A</w:t>
            </w:r>
          </w:p>
        </w:tc>
        <w:tc>
          <w:tcPr>
            <w:tcW w:w="20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2,004</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10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1,950</w:t>
            </w:r>
          </w:p>
        </w:tc>
      </w:tr>
      <w:tr>
        <w:trPr>
          <w:trHeight w:val="212"/>
        </w:trPr>
        <w:tc>
          <w:tcPr>
            <w:tcW w:w="5360" w:type="dxa"/>
            <w:vAlign w:val="bottom"/>
            <w:gridSpan w:val="2"/>
          </w:tcPr>
          <w:p>
            <w:pPr>
              <w:ind w:left="140"/>
              <w:spacing w:after="0"/>
              <w:rPr>
                <w:sz w:val="20"/>
                <w:szCs w:val="20"/>
                <w:color w:val="auto"/>
              </w:rPr>
            </w:pPr>
            <w:r>
              <w:rPr>
                <w:rFonts w:ascii="Arial" w:cs="Arial" w:eastAsia="Arial" w:hAnsi="Arial"/>
                <w:sz w:val="14"/>
                <w:szCs w:val="14"/>
                <w:color w:val="131E29"/>
              </w:rPr>
              <w:t xml:space="preserve">Company-operated shops AUV </w:t>
            </w:r>
            <w:r>
              <w:rPr>
                <w:rFonts w:ascii="Arial" w:cs="Arial" w:eastAsia="Arial" w:hAnsi="Arial"/>
                <w:sz w:val="18"/>
                <w:szCs w:val="18"/>
                <w:color w:val="131E29"/>
                <w:vertAlign w:val="superscript"/>
              </w:rPr>
              <w:t>2</w:t>
            </w: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131E29"/>
              </w:rPr>
              <w:t>N/A</w:t>
            </w:r>
          </w:p>
        </w:tc>
        <w:tc>
          <w:tcPr>
            <w:tcW w:w="440" w:type="dxa"/>
            <w:vAlign w:val="bottom"/>
          </w:tcPr>
          <w:p>
            <w:pPr>
              <w:spacing w:after="0"/>
              <w:rPr>
                <w:sz w:val="18"/>
                <w:szCs w:val="18"/>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131E29"/>
              </w:rPr>
              <w:t>N/A</w:t>
            </w:r>
          </w:p>
        </w:tc>
        <w:tc>
          <w:tcPr>
            <w:tcW w:w="200" w:type="dxa"/>
            <w:vAlign w:val="bottom"/>
          </w:tcPr>
          <w:p>
            <w:pPr>
              <w:jc w:val="right"/>
              <w:ind w:right="29"/>
              <w:spacing w:after="0"/>
              <w:rPr>
                <w:sz w:val="20"/>
                <w:szCs w:val="20"/>
                <w:color w:val="auto"/>
              </w:rPr>
            </w:pPr>
            <w:r>
              <w:rPr>
                <w:rFonts w:ascii="Arial" w:cs="Arial" w:eastAsia="Arial" w:hAnsi="Arial"/>
                <w:sz w:val="14"/>
                <w:szCs w:val="14"/>
                <w:color w:val="131E29"/>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131E29"/>
              </w:rPr>
              <w:t>1,921</w:t>
            </w:r>
          </w:p>
        </w:tc>
        <w:tc>
          <w:tcPr>
            <w:tcW w:w="14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131E29"/>
                <w:w w:val="76"/>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131E29"/>
              </w:rPr>
              <w:t>1,901</w:t>
            </w:r>
          </w:p>
        </w:tc>
      </w:tr>
      <w:tr>
        <w:trPr>
          <w:trHeight w:val="212"/>
        </w:trPr>
        <w:tc>
          <w:tcPr>
            <w:tcW w:w="52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80" w:type="dxa"/>
            <w:vAlign w:val="bottom"/>
            <w:shd w:val="clear" w:color="auto" w:fill="D2DCE5"/>
          </w:tcPr>
          <w:p>
            <w:pPr>
              <w:spacing w:after="0"/>
              <w:rPr>
                <w:sz w:val="18"/>
                <w:szCs w:val="18"/>
                <w:color w:val="auto"/>
              </w:rPr>
            </w:pPr>
          </w:p>
        </w:tc>
      </w:tr>
      <w:tr>
        <w:trPr>
          <w:trHeight w:val="212"/>
        </w:trPr>
        <w:tc>
          <w:tcPr>
            <w:tcW w:w="536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same shop sales </w:t>
            </w:r>
            <w:r>
              <w:rPr>
                <w:rFonts w:ascii="Arial" w:cs="Arial" w:eastAsia="Arial" w:hAnsi="Arial"/>
                <w:sz w:val="18"/>
                <w:szCs w:val="18"/>
                <w:color w:val="131E29"/>
                <w:vertAlign w:val="superscript"/>
              </w:rPr>
              <w:t>3, 4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131E29"/>
              </w:rPr>
              <w:t>2.7 %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4.0 %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5.2 %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2.1 %</w:t>
            </w:r>
          </w:p>
        </w:tc>
      </w:tr>
      <w:tr>
        <w:trPr>
          <w:trHeight w:val="212"/>
        </w:trPr>
        <w:tc>
          <w:tcPr>
            <w:tcW w:w="53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Ticket</w:t>
            </w:r>
          </w:p>
        </w:tc>
        <w:tc>
          <w:tcPr>
            <w:tcW w:w="160" w:type="dxa"/>
            <w:vAlign w:val="bottom"/>
            <w:shd w:val="clear" w:color="auto" w:fill="D2DCE5"/>
          </w:tcPr>
          <w:p>
            <w:pPr>
              <w:spacing w:after="0"/>
              <w:rPr>
                <w:sz w:val="18"/>
                <w:szCs w:val="18"/>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1.9 %</w:t>
            </w: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9.5 %</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5.6 %</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7.6 %</w:t>
            </w:r>
          </w:p>
        </w:tc>
      </w:tr>
      <w:tr>
        <w:trPr>
          <w:trHeight w:val="202"/>
        </w:trPr>
        <w:tc>
          <w:tcPr>
            <w:tcW w:w="5360" w:type="dxa"/>
            <w:vAlign w:val="bottom"/>
            <w:gridSpan w:val="2"/>
          </w:tcPr>
          <w:p>
            <w:pPr>
              <w:ind w:left="140"/>
              <w:spacing w:after="0"/>
              <w:rPr>
                <w:sz w:val="20"/>
                <w:szCs w:val="20"/>
                <w:color w:val="auto"/>
              </w:rPr>
            </w:pPr>
            <w:r>
              <w:rPr>
                <w:rFonts w:ascii="Arial" w:cs="Arial" w:eastAsia="Arial" w:hAnsi="Arial"/>
                <w:sz w:val="14"/>
                <w:szCs w:val="14"/>
                <w:color w:val="131E29"/>
              </w:rPr>
              <w:t>Transactions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131E29"/>
              </w:rPr>
              <w:t>0.8 %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(0.4)%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(5.5)%</w:t>
            </w:r>
          </w:p>
        </w:tc>
      </w:tr>
      <w:tr>
        <w:trPr>
          <w:trHeight w:val="222"/>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same shop sales </w:t>
            </w:r>
            <w:r>
              <w:rPr>
                <w:rFonts w:ascii="Arial" w:cs="Arial" w:eastAsia="Arial" w:hAnsi="Arial"/>
                <w:sz w:val="18"/>
                <w:szCs w:val="18"/>
                <w:color w:val="131E29"/>
                <w:vertAlign w:val="superscript"/>
              </w:rPr>
              <w:t>3</w:t>
            </w:r>
          </w:p>
        </w:tc>
        <w:tc>
          <w:tcPr>
            <w:tcW w:w="160" w:type="dxa"/>
            <w:vAlign w:val="bottom"/>
            <w:shd w:val="clear" w:color="auto" w:fill="D2DCE5"/>
          </w:tcPr>
          <w:p>
            <w:pPr>
              <w:spacing w:after="0"/>
              <w:rPr>
                <w:sz w:val="19"/>
                <w:szCs w:val="19"/>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4.0 %</w:t>
            </w: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2.8 %</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6.3 %</w:t>
            </w:r>
          </w:p>
        </w:tc>
        <w:tc>
          <w:tcPr>
            <w:tcW w:w="14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0.5 %</w:t>
            </w:r>
          </w:p>
        </w:tc>
      </w:tr>
      <w:tr>
        <w:trPr>
          <w:trHeight w:val="202"/>
        </w:trPr>
        <w:tc>
          <w:tcPr>
            <w:tcW w:w="5360" w:type="dxa"/>
            <w:vAlign w:val="bottom"/>
            <w:gridSpan w:val="2"/>
          </w:tcPr>
          <w:p>
            <w:pPr>
              <w:ind w:left="140"/>
              <w:spacing w:after="0"/>
              <w:rPr>
                <w:sz w:val="20"/>
                <w:szCs w:val="20"/>
                <w:color w:val="auto"/>
              </w:rPr>
            </w:pPr>
            <w:r>
              <w:rPr>
                <w:rFonts w:ascii="Arial" w:cs="Arial" w:eastAsia="Arial" w:hAnsi="Arial"/>
                <w:sz w:val="14"/>
                <w:szCs w:val="14"/>
                <w:color w:val="131E29"/>
              </w:rPr>
              <w:t>Ticket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131E29"/>
              </w:rPr>
              <w:t>1.6 %</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9.1 %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5.3 %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7.6 %</w:t>
            </w:r>
          </w:p>
        </w:tc>
      </w:tr>
      <w:tr>
        <w:trPr>
          <w:trHeight w:val="222"/>
        </w:trPr>
        <w:tc>
          <w:tcPr>
            <w:tcW w:w="53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Transactions</w:t>
            </w:r>
          </w:p>
        </w:tc>
        <w:tc>
          <w:tcPr>
            <w:tcW w:w="160" w:type="dxa"/>
            <w:vAlign w:val="bottom"/>
            <w:shd w:val="clear" w:color="auto" w:fill="D2DCE5"/>
          </w:tcPr>
          <w:p>
            <w:pPr>
              <w:spacing w:after="0"/>
              <w:rPr>
                <w:sz w:val="19"/>
                <w:szCs w:val="19"/>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2.4 %</w:t>
            </w: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1.0 %</w:t>
            </w:r>
          </w:p>
        </w:tc>
        <w:tc>
          <w:tcPr>
            <w:tcW w:w="14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w:t>
            </w:r>
          </w:p>
        </w:tc>
      </w:tr>
      <w:tr>
        <w:trPr>
          <w:trHeight w:val="212"/>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Systemwide sales </w:t>
            </w:r>
            <w:r>
              <w:rPr>
                <w:rFonts w:ascii="Arial" w:cs="Arial" w:eastAsia="Arial" w:hAnsi="Arial"/>
                <w:sz w:val="18"/>
                <w:szCs w:val="18"/>
                <w:color w:val="131E29"/>
                <w:vertAlign w:val="superscript"/>
              </w:rPr>
              <w:t>4</w:t>
            </w:r>
          </w:p>
        </w:tc>
        <w:tc>
          <w:tcPr>
            <w:tcW w:w="16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2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478,765</w:t>
            </w: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391,286</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1,342,750</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10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1,069,284</w:t>
            </w:r>
          </w:p>
        </w:tc>
      </w:tr>
      <w:tr>
        <w:trPr>
          <w:trHeight w:val="212"/>
        </w:trPr>
        <w:tc>
          <w:tcPr>
            <w:tcW w:w="5360" w:type="dxa"/>
            <w:vAlign w:val="bottom"/>
            <w:gridSpan w:val="2"/>
          </w:tcPr>
          <w:p>
            <w:pPr>
              <w:ind w:left="20"/>
              <w:spacing w:after="0"/>
              <w:rPr>
                <w:sz w:val="20"/>
                <w:szCs w:val="20"/>
                <w:color w:val="auto"/>
              </w:rPr>
            </w:pPr>
            <w:r>
              <w:rPr>
                <w:rFonts w:ascii="Arial" w:cs="Arial" w:eastAsia="Arial" w:hAnsi="Arial"/>
                <w:sz w:val="14"/>
                <w:szCs w:val="14"/>
                <w:color w:val="131E29"/>
              </w:rPr>
              <w:t xml:space="preserve">Company-operated shops operating weeks </w:t>
            </w:r>
            <w:r>
              <w:rPr>
                <w:rFonts w:ascii="Arial" w:cs="Arial" w:eastAsia="Arial" w:hAnsi="Arial"/>
                <w:sz w:val="18"/>
                <w:szCs w:val="18"/>
                <w:color w:val="131E29"/>
                <w:vertAlign w:val="superscript"/>
              </w:rPr>
              <w:t>5</w:t>
            </w:r>
          </w:p>
        </w:tc>
        <w:tc>
          <w:tcPr>
            <w:tcW w:w="160" w:type="dxa"/>
            <w:vAlign w:val="bottom"/>
          </w:tcPr>
          <w:p>
            <w:pPr>
              <w:spacing w:after="0"/>
              <w:rPr>
                <w:sz w:val="18"/>
                <w:szCs w:val="18"/>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131E29"/>
              </w:rPr>
              <w:t>8,212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131E29"/>
              </w:rPr>
              <w:t>6,400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131E29"/>
              </w:rPr>
              <w:t>23,195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131E29"/>
              </w:rPr>
              <w:t>17,576</w:t>
            </w:r>
          </w:p>
        </w:tc>
      </w:tr>
      <w:tr>
        <w:trPr>
          <w:trHeight w:val="212"/>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Franchising shops operating weeks </w:t>
            </w:r>
            <w:r>
              <w:rPr>
                <w:rFonts w:ascii="Arial" w:cs="Arial" w:eastAsia="Arial" w:hAnsi="Arial"/>
                <w:sz w:val="18"/>
                <w:szCs w:val="18"/>
                <w:color w:val="131E29"/>
                <w:vertAlign w:val="superscript"/>
              </w:rPr>
              <w:t>5</w:t>
            </w:r>
          </w:p>
        </w:tc>
        <w:tc>
          <w:tcPr>
            <w:tcW w:w="160" w:type="dxa"/>
            <w:vAlign w:val="bottom"/>
            <w:shd w:val="clear" w:color="auto" w:fill="D2DCE5"/>
          </w:tcPr>
          <w:p>
            <w:pPr>
              <w:spacing w:after="0"/>
              <w:rPr>
                <w:sz w:val="18"/>
                <w:szCs w:val="18"/>
                <w:color w:val="auto"/>
              </w:rPr>
            </w:pPr>
          </w:p>
        </w:tc>
        <w:tc>
          <w:tcPr>
            <w:tcW w:w="12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3,955</w:t>
            </w: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96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3,703</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2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11,576</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8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10,881</w:t>
            </w:r>
          </w:p>
        </w:tc>
      </w:tr>
      <w:tr>
        <w:trPr>
          <w:trHeight w:val="212"/>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53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Dutch Rewards transactions as a percentage of total transactions </w:t>
            </w:r>
            <w:r>
              <w:rPr>
                <w:rFonts w:ascii="Arial" w:cs="Arial" w:eastAsia="Arial" w:hAnsi="Arial"/>
                <w:sz w:val="18"/>
                <w:szCs w:val="18"/>
                <w:color w:val="131E29"/>
                <w:vertAlign w:val="superscript"/>
              </w:rPr>
              <w:t>6</w:t>
            </w:r>
          </w:p>
        </w:tc>
        <w:tc>
          <w:tcPr>
            <w:tcW w:w="160" w:type="dxa"/>
            <w:vAlign w:val="bottom"/>
            <w:shd w:val="clear" w:color="auto" w:fill="D2DCE5"/>
          </w:tcPr>
          <w:p>
            <w:pPr>
              <w:spacing w:after="0"/>
              <w:rPr>
                <w:sz w:val="18"/>
                <w:szCs w:val="18"/>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67.2 %</w:t>
            </w:r>
          </w:p>
        </w:tc>
        <w:tc>
          <w:tcPr>
            <w:tcW w:w="80" w:type="dxa"/>
            <w:vAlign w:val="bottom"/>
            <w:shd w:val="clear" w:color="auto" w:fill="D2DCE5"/>
          </w:tcPr>
          <w:p>
            <w:pPr>
              <w:spacing w:after="0"/>
              <w:rPr>
                <w:sz w:val="18"/>
                <w:szCs w:val="18"/>
                <w:color w:val="auto"/>
              </w:rPr>
            </w:pPr>
          </w:p>
        </w:tc>
        <w:tc>
          <w:tcPr>
            <w:tcW w:w="44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63.1 %</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66.8 %</w:t>
            </w:r>
          </w:p>
        </w:tc>
        <w:tc>
          <w:tcPr>
            <w:tcW w:w="1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9" w:name="page40"/>
    <w:bookmarkEnd w:id="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131E29"/>
              </w:rPr>
              <w:t>Three Months Ended 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131E29"/>
              </w:rPr>
              <w:t>Nine Months Ended September 30,</w:t>
            </w:r>
          </w:p>
        </w:tc>
        <w:tc>
          <w:tcPr>
            <w:tcW w:w="520" w:type="dxa"/>
            <w:vAlign w:val="bottom"/>
            <w:tcBorders>
              <w:bottom w:val="single" w:sz="8" w:color="auto"/>
            </w:tcBorders>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131E29"/>
              </w:rPr>
              <w:t>2024</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2024</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r>
      <w:tr>
        <w:trPr>
          <w:trHeight w:val="209"/>
        </w:trPr>
        <w:tc>
          <w:tcPr>
            <w:tcW w:w="40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308,295</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236,472</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851,648</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630,588</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r>
      <w:tr>
        <w:trPr>
          <w:trHeight w:val="206"/>
        </w:trPr>
        <w:tc>
          <w:tcPr>
            <w:tcW w:w="4000" w:type="dxa"/>
            <w:vAlign w:val="bottom"/>
            <w:gridSpan w:val="2"/>
          </w:tcPr>
          <w:p>
            <w:pPr>
              <w:ind w:left="20"/>
              <w:spacing w:after="0"/>
              <w:rPr>
                <w:sz w:val="20"/>
                <w:szCs w:val="20"/>
                <w:color w:val="auto"/>
              </w:rPr>
            </w:pPr>
            <w:r>
              <w:rPr>
                <w:rFonts w:ascii="Arial" w:cs="Arial" w:eastAsia="Arial" w:hAnsi="Arial"/>
                <w:sz w:val="13"/>
                <w:szCs w:val="13"/>
                <w:color w:val="131E29"/>
              </w:rPr>
              <w:t>Company-operated shop gross profit</w:t>
            </w:r>
          </w:p>
        </w:tc>
        <w:tc>
          <w:tcPr>
            <w:tcW w:w="940" w:type="dxa"/>
            <w:vAlign w:val="bottom"/>
          </w:tcPr>
          <w:p>
            <w:pPr>
              <w:jc w:val="right"/>
              <w:spacing w:after="0"/>
              <w:rPr>
                <w:sz w:val="20"/>
                <w:szCs w:val="20"/>
                <w:color w:val="auto"/>
              </w:rPr>
            </w:pPr>
            <w:r>
              <w:rPr>
                <w:rFonts w:ascii="Arial" w:cs="Arial" w:eastAsia="Arial" w:hAnsi="Arial"/>
                <w:sz w:val="14"/>
                <w:szCs w:val="14"/>
                <w:color w:val="131E29"/>
              </w:rPr>
              <w:t>68,377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22.2</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56,992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24.1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192,698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22.6</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137,943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21.9</w:t>
            </w:r>
          </w:p>
        </w:tc>
      </w:tr>
      <w:tr>
        <w:trPr>
          <w:trHeight w:val="219"/>
        </w:trPr>
        <w:tc>
          <w:tcPr>
            <w:tcW w:w="40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Company-operated shop contribution </w:t>
            </w:r>
            <w:r>
              <w:rPr>
                <w:rFonts w:ascii="Arial" w:cs="Arial" w:eastAsia="Arial" w:hAnsi="Arial"/>
                <w:sz w:val="16"/>
                <w:szCs w:val="16"/>
                <w:color w:val="131E29"/>
                <w:vertAlign w:val="superscript"/>
              </w:rPr>
              <w:t>7</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90,847</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29.5</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73,324</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31.0</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255,900</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30.0</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182,075</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28.9</w:t>
            </w:r>
          </w:p>
        </w:tc>
      </w:tr>
      <w:tr>
        <w:trPr>
          <w:trHeight w:val="206"/>
        </w:trPr>
        <w:tc>
          <w:tcPr>
            <w:tcW w:w="4000" w:type="dxa"/>
            <w:vAlign w:val="bottom"/>
            <w:gridSpan w:val="2"/>
          </w:tcPr>
          <w:p>
            <w:pPr>
              <w:ind w:left="20"/>
              <w:spacing w:after="0"/>
              <w:rPr>
                <w:sz w:val="20"/>
                <w:szCs w:val="20"/>
                <w:color w:val="auto"/>
              </w:rPr>
            </w:pPr>
            <w:r>
              <w:rPr>
                <w:rFonts w:ascii="Arial" w:cs="Arial" w:eastAsia="Arial" w:hAnsi="Arial"/>
                <w:sz w:val="13"/>
                <w:szCs w:val="13"/>
                <w:color w:val="131E29"/>
              </w:rPr>
              <w:t>Selling, general, and administrative expenses</w:t>
            </w:r>
          </w:p>
        </w:tc>
        <w:tc>
          <w:tcPr>
            <w:tcW w:w="940" w:type="dxa"/>
            <w:vAlign w:val="bottom"/>
          </w:tcPr>
          <w:p>
            <w:pPr>
              <w:jc w:val="right"/>
              <w:spacing w:after="0"/>
              <w:rPr>
                <w:sz w:val="20"/>
                <w:szCs w:val="20"/>
                <w:color w:val="auto"/>
              </w:rPr>
            </w:pPr>
            <w:r>
              <w:rPr>
                <w:rFonts w:ascii="Arial" w:cs="Arial" w:eastAsia="Arial" w:hAnsi="Arial"/>
                <w:sz w:val="14"/>
                <w:szCs w:val="14"/>
                <w:color w:val="131E29"/>
              </w:rPr>
              <w:t>57,536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17.0</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50,490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19.1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161,866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17.3</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148,128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20.8</w:t>
            </w:r>
          </w:p>
        </w:tc>
      </w:tr>
      <w:tr>
        <w:trPr>
          <w:trHeight w:val="219"/>
        </w:trPr>
        <w:tc>
          <w:tcPr>
            <w:tcW w:w="40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Adjusted selling, general, and administrative expenses </w:t>
            </w:r>
            <w:r>
              <w:rPr>
                <w:rFonts w:ascii="Arial" w:cs="Arial" w:eastAsia="Arial" w:hAnsi="Arial"/>
                <w:sz w:val="16"/>
                <w:szCs w:val="16"/>
                <w:color w:val="131E29"/>
                <w:vertAlign w:val="superscript"/>
              </w:rPr>
              <w:t>7</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50,268</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14.9</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40,154</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15.2</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138,321</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14.7</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115,311</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16.2</w:t>
            </w:r>
          </w:p>
        </w:tc>
      </w:tr>
      <w:tr>
        <w:trPr>
          <w:trHeight w:val="206"/>
        </w:trPr>
        <w:tc>
          <w:tcPr>
            <w:tcW w:w="4000" w:type="dxa"/>
            <w:vAlign w:val="bottom"/>
            <w:gridSpan w:val="2"/>
          </w:tcPr>
          <w:p>
            <w:pPr>
              <w:ind w:left="20"/>
              <w:spacing w:after="0"/>
              <w:rPr>
                <w:sz w:val="20"/>
                <w:szCs w:val="20"/>
                <w:color w:val="auto"/>
              </w:rPr>
            </w:pPr>
            <w:r>
              <w:rPr>
                <w:rFonts w:ascii="Arial" w:cs="Arial" w:eastAsia="Arial" w:hAnsi="Arial"/>
                <w:sz w:val="13"/>
                <w:szCs w:val="13"/>
                <w:color w:val="131E29"/>
              </w:rPr>
              <w:t>Net income</w:t>
            </w:r>
          </w:p>
        </w:tc>
        <w:tc>
          <w:tcPr>
            <w:tcW w:w="940" w:type="dxa"/>
            <w:vAlign w:val="bottom"/>
          </w:tcPr>
          <w:p>
            <w:pPr>
              <w:jc w:val="right"/>
              <w:spacing w:after="0"/>
              <w:rPr>
                <w:sz w:val="20"/>
                <w:szCs w:val="20"/>
                <w:color w:val="auto"/>
              </w:rPr>
            </w:pPr>
            <w:r>
              <w:rPr>
                <w:rFonts w:ascii="Arial" w:cs="Arial" w:eastAsia="Arial" w:hAnsi="Arial"/>
                <w:sz w:val="14"/>
                <w:szCs w:val="14"/>
                <w:color w:val="131E29"/>
              </w:rPr>
              <w:t>21,712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6.4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13,401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5.1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60,083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6.4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13,721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1.9</w:t>
            </w:r>
          </w:p>
        </w:tc>
      </w:tr>
      <w:tr>
        <w:trPr>
          <w:trHeight w:val="219"/>
        </w:trPr>
        <w:tc>
          <w:tcPr>
            <w:tcW w:w="40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 xml:space="preserve">Adjusted EBITDA </w:t>
            </w:r>
            <w:r>
              <w:rPr>
                <w:rFonts w:ascii="Arial" w:cs="Arial" w:eastAsia="Arial" w:hAnsi="Arial"/>
                <w:sz w:val="16"/>
                <w:szCs w:val="16"/>
                <w:color w:val="131E29"/>
                <w:vertAlign w:val="superscript"/>
              </w:rPr>
              <w:t>7</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63,762</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18.9</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53,008</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20.0</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181,461</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19.3</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125,487</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17.6</w:t>
            </w:r>
          </w:p>
        </w:tc>
      </w:tr>
      <w:tr>
        <w:trPr>
          <w:trHeight w:val="246"/>
        </w:trPr>
        <w:tc>
          <w:tcPr>
            <w:tcW w:w="392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131E29"/>
          <w:vertAlign w:val="superscript"/>
        </w:rPr>
        <w:t>1</w:t>
      </w:r>
      <w:r>
        <w:rPr>
          <w:rFonts w:ascii="Arial" w:cs="Arial" w:eastAsia="Arial" w:hAnsi="Arial"/>
          <w:sz w:val="11"/>
          <w:szCs w:val="11"/>
          <w:color w:val="131E29"/>
        </w:rPr>
        <w:t xml:space="preserve">  Re-opening of a shop that was temporarily closed in 2021.</w:t>
      </w:r>
    </w:p>
    <w:p>
      <w:pPr>
        <w:spacing w:after="0" w:line="96" w:lineRule="exact"/>
        <w:rPr>
          <w:sz w:val="20"/>
          <w:szCs w:val="20"/>
          <w:color w:val="auto"/>
        </w:rPr>
      </w:pPr>
    </w:p>
    <w:p>
      <w:pPr>
        <w:jc w:val="both"/>
        <w:ind w:left="140" w:hanging="135"/>
        <w:spacing w:after="0" w:line="296" w:lineRule="auto"/>
        <w:tabs>
          <w:tab w:leader="none" w:pos="135" w:val="left"/>
        </w:tabs>
        <w:numPr>
          <w:ilvl w:val="0"/>
          <w:numId w:val="9"/>
        </w:numPr>
        <w:rPr>
          <w:rFonts w:ascii="Arial" w:cs="Arial" w:eastAsia="Arial" w:hAnsi="Arial"/>
          <w:sz w:val="7"/>
          <w:szCs w:val="7"/>
          <w:color w:val="131E29"/>
        </w:rPr>
      </w:pPr>
      <w:r>
        <w:rPr>
          <w:rFonts w:ascii="Arial" w:cs="Arial" w:eastAsia="Arial" w:hAnsi="Arial"/>
          <w:sz w:val="11"/>
          <w:szCs w:val="11"/>
          <w:color w:val="131E29"/>
        </w:rPr>
        <w:t>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w:t>
      </w:r>
    </w:p>
    <w:p>
      <w:pPr>
        <w:spacing w:after="0" w:line="229" w:lineRule="exact"/>
        <w:rPr>
          <w:sz w:val="20"/>
          <w:szCs w:val="20"/>
          <w:color w:val="auto"/>
        </w:rPr>
      </w:pPr>
    </w:p>
    <w:p>
      <w:pPr>
        <w:jc w:val="both"/>
        <w:ind w:left="140" w:hanging="135"/>
        <w:spacing w:after="0" w:line="233" w:lineRule="auto"/>
        <w:tabs>
          <w:tab w:leader="none" w:pos="146" w:val="left"/>
        </w:tabs>
        <w:numPr>
          <w:ilvl w:val="0"/>
          <w:numId w:val="10"/>
        </w:numPr>
        <w:rPr>
          <w:rFonts w:ascii="Arial" w:cs="Arial" w:eastAsia="Arial" w:hAnsi="Arial"/>
          <w:sz w:val="15"/>
          <w:szCs w:val="15"/>
          <w:color w:val="131E29"/>
          <w:vertAlign w:val="superscript"/>
        </w:rPr>
      </w:pPr>
      <w:r>
        <w:rPr>
          <w:rFonts w:ascii="Arial" w:cs="Arial" w:eastAsia="Arial" w:hAnsi="Arial"/>
          <w:sz w:val="11"/>
          <w:szCs w:val="11"/>
          <w:color w:val="131E29"/>
        </w:rPr>
        <w:t>Same shop sales reflect the change in year-over-year sales, for the comparable shop base, which we define as shops open for 15 complete months or longer as of the first day of the reporting period. Same shop sales can be impacted by changes in customer transaction counts and by changes in the per-ticket amounts. Management uses this metric as an indicator of shop growth and future expansion strategy. The number of shops included in the systemwide and company-operated comparable bases for the respective periods are presented in the following table.</w:t>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60"/>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131E29"/>
              </w:rPr>
              <w:t>Three Months Ended September 30,</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1"/>
                <w:szCs w:val="11"/>
                <w:b w:val="1"/>
                <w:bCs w:val="1"/>
                <w:color w:val="131E29"/>
              </w:rPr>
              <w:t>Nine Months Ended September 30,</w:t>
            </w:r>
          </w:p>
        </w:tc>
      </w:tr>
      <w:tr>
        <w:trPr>
          <w:trHeight w:val="171"/>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4"/>
                <w:szCs w:val="14"/>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131E29"/>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D2DCE5"/>
            </w:tcBorders>
          </w:tcPr>
          <w:p>
            <w:pPr>
              <w:spacing w:after="0"/>
              <w:rPr>
                <w:sz w:val="14"/>
                <w:szCs w:val="14"/>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131E29"/>
              </w:rPr>
              <w:t>2023</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D2DCE5"/>
            </w:tcBorders>
          </w:tcPr>
          <w:p>
            <w:pPr>
              <w:spacing w:after="0"/>
              <w:rPr>
                <w:sz w:val="14"/>
                <w:szCs w:val="14"/>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131E29"/>
              </w:rPr>
              <w:t>2024</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D2DCE5"/>
            </w:tcBorders>
          </w:tcPr>
          <w:p>
            <w:pPr>
              <w:spacing w:after="0"/>
              <w:rPr>
                <w:sz w:val="14"/>
                <w:szCs w:val="14"/>
                <w:color w:val="auto"/>
              </w:rPr>
            </w:pPr>
          </w:p>
        </w:tc>
        <w:tc>
          <w:tcPr>
            <w:tcW w:w="10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131E29"/>
              </w:rPr>
              <w:t>2023</w:t>
            </w:r>
          </w:p>
        </w:tc>
      </w:tr>
      <w:tr>
        <w:trPr>
          <w:trHeight w:val="177"/>
        </w:trPr>
        <w:tc>
          <w:tcPr>
            <w:tcW w:w="608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Systemwide shop base</w:t>
            </w:r>
          </w:p>
        </w:tc>
        <w:tc>
          <w:tcPr>
            <w:tcW w:w="860" w:type="dxa"/>
            <w:vAlign w:val="bottom"/>
            <w:shd w:val="clear" w:color="auto" w:fill="D2DCE5"/>
          </w:tcPr>
          <w:p>
            <w:pPr>
              <w:spacing w:after="0"/>
              <w:rPr>
                <w:sz w:val="15"/>
                <w:szCs w:val="15"/>
                <w:color w:val="auto"/>
              </w:rPr>
            </w:pPr>
          </w:p>
        </w:tc>
        <w:tc>
          <w:tcPr>
            <w:tcW w:w="3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716</w:t>
            </w:r>
          </w:p>
        </w:tc>
        <w:tc>
          <w:tcPr>
            <w:tcW w:w="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24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572</w:t>
            </w:r>
          </w:p>
        </w:tc>
        <w:tc>
          <w:tcPr>
            <w:tcW w:w="8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3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641</w:t>
            </w:r>
          </w:p>
        </w:tc>
        <w:tc>
          <w:tcPr>
            <w:tcW w:w="80" w:type="dxa"/>
            <w:vAlign w:val="bottom"/>
            <w:shd w:val="clear" w:color="auto" w:fill="D2DCE5"/>
          </w:tcPr>
          <w:p>
            <w:pPr>
              <w:spacing w:after="0"/>
              <w:rPr>
                <w:sz w:val="15"/>
                <w:szCs w:val="15"/>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503</w:t>
            </w:r>
          </w:p>
        </w:tc>
      </w:tr>
      <w:tr>
        <w:trPr>
          <w:trHeight w:val="163"/>
        </w:trPr>
        <w:tc>
          <w:tcPr>
            <w:tcW w:w="6080" w:type="dxa"/>
            <w:vAlign w:val="bottom"/>
            <w:gridSpan w:val="2"/>
          </w:tcPr>
          <w:p>
            <w:pPr>
              <w:spacing w:after="0"/>
              <w:rPr>
                <w:sz w:val="20"/>
                <w:szCs w:val="20"/>
                <w:color w:val="auto"/>
              </w:rPr>
            </w:pPr>
            <w:r>
              <w:rPr>
                <w:rFonts w:ascii="Arial" w:cs="Arial" w:eastAsia="Arial" w:hAnsi="Arial"/>
                <w:sz w:val="11"/>
                <w:szCs w:val="11"/>
                <w:color w:val="131E29"/>
              </w:rPr>
              <w:t>Company-operated shop base</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131E29"/>
              </w:rPr>
              <w:t>438</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131E29"/>
              </w:rPr>
              <w:t>310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131E29"/>
              </w:rPr>
              <w:t>370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131E29"/>
              </w:rPr>
              <w:t>246</w:t>
            </w:r>
          </w:p>
        </w:tc>
      </w:tr>
    </w:tbl>
    <w:p>
      <w:pPr>
        <w:spacing w:after="0" w:line="212" w:lineRule="exact"/>
        <w:rPr>
          <w:sz w:val="20"/>
          <w:szCs w:val="20"/>
          <w:color w:val="auto"/>
        </w:rPr>
      </w:pPr>
    </w:p>
    <w:p>
      <w:pPr>
        <w:jc w:val="both"/>
        <w:ind w:left="140" w:right="60" w:hanging="135"/>
        <w:spacing w:after="0" w:line="239" w:lineRule="auto"/>
        <w:tabs>
          <w:tab w:leader="none" w:pos="188" w:val="left"/>
        </w:tabs>
        <w:numPr>
          <w:ilvl w:val="0"/>
          <w:numId w:val="11"/>
        </w:numPr>
        <w:rPr>
          <w:rFonts w:ascii="Arial" w:cs="Arial" w:eastAsia="Arial" w:hAnsi="Arial"/>
          <w:sz w:val="15"/>
          <w:szCs w:val="15"/>
          <w:color w:val="131E29"/>
          <w:vertAlign w:val="superscript"/>
        </w:rPr>
      </w:pPr>
      <w:r>
        <w:rPr>
          <w:rFonts w:ascii="Arial" w:cs="Arial" w:eastAsia="Arial" w:hAnsi="Arial"/>
          <w:sz w:val="11"/>
          <w:szCs w:val="11"/>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19" w:lineRule="exact"/>
        <w:rPr>
          <w:sz w:val="20"/>
          <w:szCs w:val="20"/>
          <w:color w:val="auto"/>
        </w:rPr>
      </w:pPr>
    </w:p>
    <w:p>
      <w:pPr>
        <w:ind w:left="140" w:hanging="135"/>
        <w:spacing w:after="0" w:line="229" w:lineRule="auto"/>
        <w:tabs>
          <w:tab w:leader="none" w:pos="181" w:val="left"/>
        </w:tabs>
        <w:numPr>
          <w:ilvl w:val="0"/>
          <w:numId w:val="12"/>
        </w:numPr>
        <w:rPr>
          <w:rFonts w:ascii="Arial" w:cs="Arial" w:eastAsia="Arial" w:hAnsi="Arial"/>
          <w:sz w:val="15"/>
          <w:szCs w:val="15"/>
          <w:color w:val="131E29"/>
          <w:vertAlign w:val="superscript"/>
        </w:rPr>
      </w:pPr>
      <w:r>
        <w:rPr>
          <w:rFonts w:ascii="Arial" w:cs="Arial" w:eastAsia="Arial" w:hAnsi="Arial"/>
          <w:sz w:val="11"/>
          <w:szCs w:val="11"/>
          <w:color w:val="131E29"/>
        </w:rPr>
        <w:t>Company-operated and franchise shop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139" w:lineRule="exact"/>
        <w:rPr>
          <w:sz w:val="20"/>
          <w:szCs w:val="20"/>
          <w:color w:val="auto"/>
        </w:rPr>
      </w:pPr>
    </w:p>
    <w:p>
      <w:pPr>
        <w:ind w:left="140" w:hanging="135"/>
        <w:spacing w:after="0" w:line="238" w:lineRule="auto"/>
        <w:tabs>
          <w:tab w:leader="none" w:pos="146" w:val="left"/>
        </w:tabs>
        <w:numPr>
          <w:ilvl w:val="0"/>
          <w:numId w:val="13"/>
        </w:numPr>
        <w:rPr>
          <w:rFonts w:ascii="Arial" w:cs="Arial" w:eastAsia="Arial" w:hAnsi="Arial"/>
          <w:sz w:val="15"/>
          <w:szCs w:val="15"/>
          <w:color w:val="131E29"/>
          <w:vertAlign w:val="superscript"/>
        </w:rPr>
      </w:pPr>
      <w:r>
        <w:rPr>
          <w:rFonts w:ascii="Arial" w:cs="Arial" w:eastAsia="Arial" w:hAnsi="Arial"/>
          <w:sz w:val="11"/>
          <w:szCs w:val="11"/>
          <w:color w:val="131E29"/>
        </w:rPr>
        <w:t>Dutch Rewards is our digitally based rewards program available exclusively through the Dutch Rewards app. Management uses this metric as an indicator of customer loyalty adoption of our Dutch Rewards app and future promotional plans.</w:t>
      </w:r>
    </w:p>
    <w:p>
      <w:pPr>
        <w:spacing w:after="0" w:line="107" w:lineRule="exact"/>
        <w:rPr>
          <w:sz w:val="20"/>
          <w:szCs w:val="20"/>
          <w:color w:val="auto"/>
        </w:rPr>
      </w:pPr>
    </w:p>
    <w:p>
      <w:pPr>
        <w:ind w:left="120" w:hanging="115"/>
        <w:spacing w:after="0"/>
        <w:tabs>
          <w:tab w:leader="none" w:pos="120" w:val="left"/>
        </w:tabs>
        <w:numPr>
          <w:ilvl w:val="0"/>
          <w:numId w:val="14"/>
        </w:numPr>
        <w:rPr>
          <w:rFonts w:ascii="Arial" w:cs="Arial" w:eastAsia="Arial" w:hAnsi="Arial"/>
          <w:sz w:val="7"/>
          <w:szCs w:val="7"/>
          <w:color w:val="131E29"/>
        </w:rPr>
      </w:pPr>
      <w:r>
        <w:rPr>
          <w:rFonts w:ascii="Arial" w:cs="Arial" w:eastAsia="Arial" w:hAnsi="Arial"/>
          <w:sz w:val="11"/>
          <w:szCs w:val="11"/>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00416B"/>
        </w:rPr>
        <w:t>Company-operated Sho</w:t>
      </w:r>
      <w:r>
        <w:rPr>
          <w:rFonts w:ascii="Arial" w:cs="Arial" w:eastAsia="Arial" w:hAnsi="Arial"/>
          <w:sz w:val="17"/>
          <w:szCs w:val="17"/>
          <w:b w:val="1"/>
          <w:bCs w:val="1"/>
          <w:color w:val="00497F"/>
        </w:rPr>
        <w:t>p</w:t>
      </w:r>
      <w:r>
        <w:rPr>
          <w:rFonts w:ascii="Arial" w:cs="Arial" w:eastAsia="Arial" w:hAnsi="Arial"/>
          <w:sz w:val="17"/>
          <w:szCs w:val="17"/>
          <w:b w:val="1"/>
          <w:bCs w:val="1"/>
          <w:color w:val="00416B"/>
        </w:rPr>
        <w:t xml:space="preserve"> Results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results for our company-operated shops segment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131E29"/>
              </w:rPr>
              <w:t>Three Months Ended September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Borders>
              <w:bottom w:val="single" w:sz="8" w:color="auto"/>
            </w:tcBorders>
            <w:gridSpan w:val="6"/>
          </w:tcPr>
          <w:p>
            <w:pPr>
              <w:ind w:left="840"/>
              <w:spacing w:after="0"/>
              <w:rPr>
                <w:sz w:val="20"/>
                <w:szCs w:val="20"/>
                <w:color w:val="auto"/>
              </w:rPr>
            </w:pPr>
            <w:r>
              <w:rPr>
                <w:rFonts w:ascii="Arial" w:cs="Arial" w:eastAsia="Arial" w:hAnsi="Arial"/>
                <w:sz w:val="13"/>
                <w:szCs w:val="13"/>
                <w:b w:val="1"/>
                <w:bCs w:val="1"/>
                <w:color w:val="131E29"/>
              </w:rPr>
              <w:t>Nine Months Ended September 30,</w:t>
            </w:r>
          </w:p>
        </w:tc>
        <w:tc>
          <w:tcPr>
            <w:tcW w:w="660" w:type="dxa"/>
            <w:vAlign w:val="bottom"/>
            <w:tcBorders>
              <w:bottom w:val="single" w:sz="8" w:color="auto"/>
            </w:tcBorders>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2024</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131E29"/>
              </w:rPr>
              <w:t>2023</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2024</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2023</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8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131E29"/>
              </w:rPr>
              <w:t>$</w:t>
            </w:r>
          </w:p>
        </w:tc>
        <w:tc>
          <w:tcPr>
            <w:tcW w:w="8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131E29"/>
              </w:rPr>
              <w:t>%</w:t>
            </w:r>
          </w:p>
        </w:tc>
        <w:tc>
          <w:tcPr>
            <w:tcW w:w="100" w:type="dxa"/>
            <w:vAlign w:val="bottom"/>
            <w:tcBorders>
              <w:bottom w:val="single" w:sz="8" w:color="D2DCE5"/>
            </w:tcBorders>
          </w:tcPr>
          <w:p>
            <w:pPr>
              <w:spacing w:after="0"/>
              <w:rPr>
                <w:sz w:val="15"/>
                <w:szCs w:val="15"/>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131E29"/>
              </w:rPr>
              <w:t>$</w:t>
            </w:r>
          </w:p>
        </w:tc>
        <w:tc>
          <w:tcPr>
            <w:tcW w:w="80" w:type="dxa"/>
            <w:vAlign w:val="bottom"/>
            <w:tcBorders>
              <w:bottom w:val="single" w:sz="8" w:color="D2DCE5"/>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131E29"/>
              </w:rPr>
              <w:t>%</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131E29"/>
              </w:rPr>
              <w:t>$</w:t>
            </w:r>
          </w:p>
        </w:tc>
        <w:tc>
          <w:tcPr>
            <w:tcW w:w="10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131E29"/>
              </w:rPr>
              <w:t>%</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131E29"/>
              </w:rPr>
              <w:t>$</w:t>
            </w:r>
          </w:p>
        </w:tc>
        <w:tc>
          <w:tcPr>
            <w:tcW w:w="10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131E29"/>
              </w:rPr>
              <w:t>%</w:t>
            </w:r>
          </w:p>
        </w:tc>
      </w:tr>
      <w:tr>
        <w:trPr>
          <w:trHeight w:val="185"/>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308,295</w:t>
            </w:r>
          </w:p>
        </w:tc>
        <w:tc>
          <w:tcPr>
            <w:tcW w:w="8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c>
          <w:tcPr>
            <w:tcW w:w="100" w:type="dxa"/>
            <w:vAlign w:val="bottom"/>
            <w:shd w:val="clear" w:color="auto" w:fill="D2DCE5"/>
          </w:tcPr>
          <w:p>
            <w:pPr>
              <w:spacing w:after="0"/>
              <w:rPr>
                <w:sz w:val="16"/>
                <w:szCs w:val="16"/>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236,472</w:t>
            </w:r>
          </w:p>
        </w:tc>
        <w:tc>
          <w:tcPr>
            <w:tcW w:w="80" w:type="dxa"/>
            <w:vAlign w:val="bottom"/>
            <w:shd w:val="clear" w:color="auto" w:fill="D2DCE5"/>
          </w:tcPr>
          <w:p>
            <w:pPr>
              <w:spacing w:after="0"/>
              <w:rPr>
                <w:sz w:val="16"/>
                <w:szCs w:val="16"/>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851,648</w:t>
            </w:r>
          </w:p>
        </w:tc>
        <w:tc>
          <w:tcPr>
            <w:tcW w:w="10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630,588</w:t>
            </w:r>
          </w:p>
        </w:tc>
        <w:tc>
          <w:tcPr>
            <w:tcW w:w="10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w:t>
            </w:r>
          </w:p>
        </w:tc>
      </w:tr>
      <w:tr>
        <w:trPr>
          <w:trHeight w:val="212"/>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1"/>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Beverage, food, and packaging costs</w:t>
            </w: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78,060</w:t>
            </w:r>
          </w:p>
        </w:tc>
        <w:tc>
          <w:tcPr>
            <w:tcW w:w="8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25.3</w:t>
            </w:r>
          </w:p>
        </w:tc>
        <w:tc>
          <w:tcPr>
            <w:tcW w:w="100" w:type="dxa"/>
            <w:vAlign w:val="bottom"/>
            <w:shd w:val="clear" w:color="auto" w:fill="D2DCE5"/>
          </w:tcPr>
          <w:p>
            <w:pPr>
              <w:spacing w:after="0"/>
              <w:rPr>
                <w:sz w:val="16"/>
                <w:szCs w:val="16"/>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61,317</w:t>
            </w:r>
          </w:p>
        </w:tc>
        <w:tc>
          <w:tcPr>
            <w:tcW w:w="80" w:type="dxa"/>
            <w:vAlign w:val="bottom"/>
            <w:shd w:val="clear" w:color="auto" w:fill="D2DCE5"/>
          </w:tcPr>
          <w:p>
            <w:pPr>
              <w:spacing w:after="0"/>
              <w:rPr>
                <w:sz w:val="16"/>
                <w:szCs w:val="16"/>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25.9</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216,923</w:t>
            </w:r>
          </w:p>
        </w:tc>
        <w:tc>
          <w:tcPr>
            <w:tcW w:w="10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25.5</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169,702</w:t>
            </w:r>
          </w:p>
        </w:tc>
        <w:tc>
          <w:tcPr>
            <w:tcW w:w="100" w:type="dxa"/>
            <w:vAlign w:val="bottom"/>
            <w:shd w:val="clear" w:color="auto" w:fill="D2DCE5"/>
          </w:tcPr>
          <w:p>
            <w:pPr>
              <w:spacing w:after="0"/>
              <w:rPr>
                <w:sz w:val="16"/>
                <w:szCs w:val="16"/>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26.8</w:t>
            </w:r>
          </w:p>
        </w:tc>
      </w:tr>
      <w:tr>
        <w:trPr>
          <w:trHeight w:val="184"/>
        </w:trPr>
        <w:tc>
          <w:tcPr>
            <w:tcW w:w="3460" w:type="dxa"/>
            <w:vAlign w:val="bottom"/>
            <w:gridSpan w:val="2"/>
          </w:tcPr>
          <w:p>
            <w:pPr>
              <w:ind w:left="20"/>
              <w:spacing w:after="0"/>
              <w:rPr>
                <w:sz w:val="20"/>
                <w:szCs w:val="20"/>
                <w:color w:val="auto"/>
              </w:rPr>
            </w:pPr>
            <w:r>
              <w:rPr>
                <w:rFonts w:ascii="Arial" w:cs="Arial" w:eastAsia="Arial" w:hAnsi="Arial"/>
                <w:sz w:val="13"/>
                <w:szCs w:val="13"/>
                <w:color w:val="131E29"/>
              </w:rPr>
              <w:t>Labor costs</w:t>
            </w:r>
          </w:p>
        </w:tc>
        <w:tc>
          <w:tcPr>
            <w:tcW w:w="1080" w:type="dxa"/>
            <w:vAlign w:val="bottom"/>
          </w:tcPr>
          <w:p>
            <w:pPr>
              <w:jc w:val="right"/>
              <w:spacing w:after="0"/>
              <w:rPr>
                <w:sz w:val="20"/>
                <w:szCs w:val="20"/>
                <w:color w:val="auto"/>
              </w:rPr>
            </w:pPr>
            <w:r>
              <w:rPr>
                <w:rFonts w:ascii="Arial" w:cs="Arial" w:eastAsia="Arial" w:hAnsi="Arial"/>
                <w:sz w:val="13"/>
                <w:szCs w:val="13"/>
                <w:color w:val="131E29"/>
              </w:rPr>
              <w:t>85,144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27.6</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131E29"/>
              </w:rPr>
              <w:t>61,521</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26.0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230,807</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27.1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168,805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26.8</w:t>
            </w:r>
          </w:p>
        </w:tc>
      </w:tr>
      <w:tr>
        <w:trPr>
          <w:trHeight w:val="198"/>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Occupancy and other costs</w:t>
            </w: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50,693</w:t>
            </w:r>
          </w:p>
        </w:tc>
        <w:tc>
          <w:tcPr>
            <w:tcW w:w="80" w:type="dxa"/>
            <w:vAlign w:val="bottom"/>
            <w:shd w:val="clear" w:color="auto" w:fill="D2DCE5"/>
          </w:tcPr>
          <w:p>
            <w:pPr>
              <w:spacing w:after="0"/>
              <w:rPr>
                <w:sz w:val="17"/>
                <w:szCs w:val="17"/>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16.4</w:t>
            </w:r>
          </w:p>
        </w:tc>
        <w:tc>
          <w:tcPr>
            <w:tcW w:w="100" w:type="dxa"/>
            <w:vAlign w:val="bottom"/>
            <w:shd w:val="clear" w:color="auto" w:fill="D2DCE5"/>
          </w:tcPr>
          <w:p>
            <w:pPr>
              <w:spacing w:after="0"/>
              <w:rPr>
                <w:sz w:val="17"/>
                <w:szCs w:val="17"/>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36,126</w:t>
            </w:r>
          </w:p>
        </w:tc>
        <w:tc>
          <w:tcPr>
            <w:tcW w:w="8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15.3</w:t>
            </w:r>
          </w:p>
        </w:tc>
        <w:tc>
          <w:tcPr>
            <w:tcW w:w="80" w:type="dxa"/>
            <w:vAlign w:val="bottom"/>
            <w:shd w:val="clear" w:color="auto" w:fill="D2DCE5"/>
          </w:tcPr>
          <w:p>
            <w:pPr>
              <w:spacing w:after="0"/>
              <w:rPr>
                <w:sz w:val="17"/>
                <w:szCs w:val="17"/>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136,466</w:t>
            </w:r>
          </w:p>
        </w:tc>
        <w:tc>
          <w:tcPr>
            <w:tcW w:w="100" w:type="dxa"/>
            <w:vAlign w:val="bottom"/>
            <w:shd w:val="clear" w:color="auto" w:fill="D2DCE5"/>
          </w:tcPr>
          <w:p>
            <w:pPr>
              <w:spacing w:after="0"/>
              <w:rPr>
                <w:sz w:val="17"/>
                <w:szCs w:val="17"/>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16.0</w:t>
            </w:r>
          </w:p>
        </w:tc>
        <w:tc>
          <w:tcPr>
            <w:tcW w:w="80" w:type="dxa"/>
            <w:vAlign w:val="bottom"/>
            <w:shd w:val="clear" w:color="auto" w:fill="D2DCE5"/>
          </w:tcPr>
          <w:p>
            <w:pPr>
              <w:spacing w:after="0"/>
              <w:rPr>
                <w:sz w:val="17"/>
                <w:szCs w:val="17"/>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99,327</w:t>
            </w:r>
          </w:p>
        </w:tc>
        <w:tc>
          <w:tcPr>
            <w:tcW w:w="100" w:type="dxa"/>
            <w:vAlign w:val="bottom"/>
            <w:shd w:val="clear" w:color="auto" w:fill="D2DCE5"/>
          </w:tcPr>
          <w:p>
            <w:pPr>
              <w:spacing w:after="0"/>
              <w:rPr>
                <w:sz w:val="17"/>
                <w:szCs w:val="17"/>
                <w:color w:val="auto"/>
              </w:rPr>
            </w:pPr>
          </w:p>
        </w:tc>
        <w:tc>
          <w:tcPr>
            <w:tcW w:w="6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15.8</w:t>
            </w:r>
          </w:p>
        </w:tc>
      </w:tr>
      <w:tr>
        <w:trPr>
          <w:trHeight w:val="184"/>
        </w:trPr>
        <w:tc>
          <w:tcPr>
            <w:tcW w:w="3460" w:type="dxa"/>
            <w:vAlign w:val="bottom"/>
            <w:gridSpan w:val="2"/>
          </w:tcPr>
          <w:p>
            <w:pPr>
              <w:ind w:left="20"/>
              <w:spacing w:after="0"/>
              <w:rPr>
                <w:sz w:val="20"/>
                <w:szCs w:val="20"/>
                <w:color w:val="auto"/>
              </w:rPr>
            </w:pPr>
            <w:r>
              <w:rPr>
                <w:rFonts w:ascii="Arial" w:cs="Arial" w:eastAsia="Arial" w:hAnsi="Arial"/>
                <w:sz w:val="13"/>
                <w:szCs w:val="13"/>
                <w:color w:val="131E29"/>
              </w:rPr>
              <w:t>Pre-opening costs</w:t>
            </w:r>
          </w:p>
        </w:tc>
        <w:tc>
          <w:tcPr>
            <w:tcW w:w="1080" w:type="dxa"/>
            <w:vAlign w:val="bottom"/>
          </w:tcPr>
          <w:p>
            <w:pPr>
              <w:jc w:val="right"/>
              <w:spacing w:after="0"/>
              <w:rPr>
                <w:sz w:val="20"/>
                <w:szCs w:val="20"/>
                <w:color w:val="auto"/>
              </w:rPr>
            </w:pPr>
            <w:r>
              <w:rPr>
                <w:rFonts w:ascii="Arial" w:cs="Arial" w:eastAsia="Arial" w:hAnsi="Arial"/>
                <w:sz w:val="13"/>
                <w:szCs w:val="13"/>
                <w:color w:val="131E29"/>
              </w:rPr>
              <w:t>3,551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131E29"/>
              </w:rPr>
              <w:t>4,184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1.8</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11,552</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1.4</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10,679</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1.7</w:t>
            </w:r>
          </w:p>
        </w:tc>
      </w:tr>
      <w:tr>
        <w:trPr>
          <w:trHeight w:val="191"/>
        </w:trPr>
        <w:tc>
          <w:tcPr>
            <w:tcW w:w="34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Depreciation and amortization</w:t>
            </w: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22,470</w:t>
            </w:r>
          </w:p>
        </w:tc>
        <w:tc>
          <w:tcPr>
            <w:tcW w:w="80" w:type="dxa"/>
            <w:vAlign w:val="bottom"/>
            <w:shd w:val="clear" w:color="auto" w:fill="D2DCE5"/>
          </w:tcPr>
          <w:p>
            <w:pPr>
              <w:spacing w:after="0"/>
              <w:rPr>
                <w:sz w:val="16"/>
                <w:szCs w:val="16"/>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7.3</w:t>
            </w:r>
          </w:p>
        </w:tc>
        <w:tc>
          <w:tcPr>
            <w:tcW w:w="100" w:type="dxa"/>
            <w:vAlign w:val="bottom"/>
            <w:shd w:val="clear" w:color="auto" w:fill="D2DCE5"/>
          </w:tcPr>
          <w:p>
            <w:pPr>
              <w:spacing w:after="0"/>
              <w:rPr>
                <w:sz w:val="16"/>
                <w:szCs w:val="16"/>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16,332</w:t>
            </w:r>
          </w:p>
        </w:tc>
        <w:tc>
          <w:tcPr>
            <w:tcW w:w="80" w:type="dxa"/>
            <w:vAlign w:val="bottom"/>
            <w:shd w:val="clear" w:color="auto" w:fill="D2DCE5"/>
          </w:tcPr>
          <w:p>
            <w:pPr>
              <w:spacing w:after="0"/>
              <w:rPr>
                <w:sz w:val="16"/>
                <w:szCs w:val="16"/>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6.9</w:t>
            </w:r>
          </w:p>
        </w:tc>
        <w:tc>
          <w:tcPr>
            <w:tcW w:w="80" w:type="dxa"/>
            <w:vAlign w:val="bottom"/>
            <w:shd w:val="clear" w:color="auto" w:fill="D2DCE5"/>
          </w:tcPr>
          <w:p>
            <w:pPr>
              <w:spacing w:after="0"/>
              <w:rPr>
                <w:sz w:val="16"/>
                <w:szCs w:val="16"/>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63,202</w:t>
            </w:r>
          </w:p>
        </w:tc>
        <w:tc>
          <w:tcPr>
            <w:tcW w:w="100" w:type="dxa"/>
            <w:vAlign w:val="bottom"/>
            <w:shd w:val="clear" w:color="auto" w:fill="D2DCE5"/>
          </w:tcPr>
          <w:p>
            <w:pPr>
              <w:spacing w:after="0"/>
              <w:rPr>
                <w:sz w:val="16"/>
                <w:szCs w:val="16"/>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7.4</w:t>
            </w:r>
          </w:p>
        </w:tc>
        <w:tc>
          <w:tcPr>
            <w:tcW w:w="80" w:type="dxa"/>
            <w:vAlign w:val="bottom"/>
            <w:shd w:val="clear" w:color="auto" w:fill="D2DCE5"/>
          </w:tcPr>
          <w:p>
            <w:pPr>
              <w:spacing w:after="0"/>
              <w:rPr>
                <w:sz w:val="16"/>
                <w:szCs w:val="16"/>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44,132</w:t>
            </w:r>
          </w:p>
        </w:tc>
        <w:tc>
          <w:tcPr>
            <w:tcW w:w="100" w:type="dxa"/>
            <w:vAlign w:val="bottom"/>
            <w:shd w:val="clear" w:color="auto" w:fill="D2DCE5"/>
          </w:tcPr>
          <w:p>
            <w:pPr>
              <w:spacing w:after="0"/>
              <w:rPr>
                <w:sz w:val="16"/>
                <w:szCs w:val="16"/>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7.0</w:t>
            </w:r>
          </w:p>
        </w:tc>
      </w:tr>
      <w:tr>
        <w:trPr>
          <w:trHeight w:val="182"/>
        </w:trPr>
        <w:tc>
          <w:tcPr>
            <w:tcW w:w="346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Company-operated shop costs and expenses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239,918</w:t>
            </w:r>
          </w:p>
        </w:tc>
        <w:tc>
          <w:tcPr>
            <w:tcW w:w="8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77.8</w:t>
            </w:r>
          </w:p>
        </w:tc>
        <w:tc>
          <w:tcPr>
            <w:tcW w:w="100" w:type="dxa"/>
            <w:vAlign w:val="bottom"/>
            <w:tcBorders>
              <w:bottom w:val="single" w:sz="8" w:color="D2DCE5"/>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179,480</w:t>
            </w:r>
          </w:p>
        </w:tc>
        <w:tc>
          <w:tcPr>
            <w:tcW w:w="80" w:type="dxa"/>
            <w:vAlign w:val="bottom"/>
            <w:tcBorders>
              <w:bottom w:val="single" w:sz="8" w:color="D2DCE5"/>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75.9</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658,950</w:t>
            </w:r>
          </w:p>
        </w:tc>
        <w:tc>
          <w:tcPr>
            <w:tcW w:w="10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77.4</w:t>
            </w:r>
          </w:p>
        </w:tc>
        <w:tc>
          <w:tcPr>
            <w:tcW w:w="80" w:type="dxa"/>
            <w:vAlign w:val="bottom"/>
            <w:tcBorders>
              <w:bottom w:val="single" w:sz="8" w:color="D2DCE5"/>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492,645</w:t>
            </w:r>
          </w:p>
        </w:tc>
        <w:tc>
          <w:tcPr>
            <w:tcW w:w="100" w:type="dxa"/>
            <w:vAlign w:val="bottom"/>
            <w:tcBorders>
              <w:bottom w:val="single" w:sz="8" w:color="D2DCE5"/>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78.1</w:t>
            </w:r>
          </w:p>
        </w:tc>
      </w:tr>
      <w:tr>
        <w:trPr>
          <w:trHeight w:val="213"/>
        </w:trPr>
        <w:tc>
          <w:tcPr>
            <w:tcW w:w="34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3"/>
                <w:szCs w:val="13"/>
                <w:color w:val="131E29"/>
              </w:rPr>
              <w:t>Company-operated shop gross profit</w:t>
            </w: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68,377</w:t>
            </w:r>
          </w:p>
        </w:tc>
        <w:tc>
          <w:tcPr>
            <w:tcW w:w="80" w:type="dxa"/>
            <w:vAlign w:val="bottom"/>
            <w:tcBorders>
              <w:bottom w:val="single" w:sz="8" w:color="D2DCE5"/>
            </w:tcBorders>
            <w:shd w:val="clear" w:color="auto" w:fill="D2DCE5"/>
          </w:tcPr>
          <w:p>
            <w:pPr>
              <w:spacing w:after="0"/>
              <w:rPr>
                <w:sz w:val="18"/>
                <w:szCs w:val="18"/>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22.2</w:t>
            </w:r>
          </w:p>
        </w:tc>
        <w:tc>
          <w:tcPr>
            <w:tcW w:w="10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56,992</w:t>
            </w:r>
          </w:p>
        </w:tc>
        <w:tc>
          <w:tcPr>
            <w:tcW w:w="80" w:type="dxa"/>
            <w:vAlign w:val="bottom"/>
            <w:tcBorders>
              <w:bottom w:val="single" w:sz="8" w:color="D2DCE5"/>
            </w:tcBorders>
            <w:shd w:val="clear" w:color="auto" w:fill="D2DCE5"/>
          </w:tcPr>
          <w:p>
            <w:pPr>
              <w:spacing w:after="0"/>
              <w:rPr>
                <w:sz w:val="18"/>
                <w:szCs w:val="18"/>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24.1</w:t>
            </w:r>
          </w:p>
        </w:tc>
        <w:tc>
          <w:tcPr>
            <w:tcW w:w="8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192,698</w:t>
            </w:r>
          </w:p>
        </w:tc>
        <w:tc>
          <w:tcPr>
            <w:tcW w:w="100" w:type="dxa"/>
            <w:vAlign w:val="bottom"/>
            <w:tcBorders>
              <w:bottom w:val="single" w:sz="8" w:color="D2DCE5"/>
            </w:tcBorders>
            <w:shd w:val="clear" w:color="auto" w:fill="D2DCE5"/>
          </w:tcPr>
          <w:p>
            <w:pPr>
              <w:spacing w:after="0"/>
              <w:rPr>
                <w:sz w:val="18"/>
                <w:szCs w:val="18"/>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22.6</w:t>
            </w:r>
          </w:p>
        </w:tc>
        <w:tc>
          <w:tcPr>
            <w:tcW w:w="80" w:type="dxa"/>
            <w:vAlign w:val="bottom"/>
            <w:tcBorders>
              <w:bottom w:val="single" w:sz="8" w:color="D2DCE5"/>
            </w:tcBorders>
            <w:shd w:val="clear" w:color="auto" w:fill="D2DCE5"/>
          </w:tcPr>
          <w:p>
            <w:pPr>
              <w:spacing w:after="0"/>
              <w:rPr>
                <w:sz w:val="18"/>
                <w:szCs w:val="18"/>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137,943</w:t>
            </w:r>
          </w:p>
        </w:tc>
        <w:tc>
          <w:tcPr>
            <w:tcW w:w="100" w:type="dxa"/>
            <w:vAlign w:val="bottom"/>
            <w:tcBorders>
              <w:bottom w:val="single" w:sz="8" w:color="D2DCE5"/>
            </w:tcBorders>
            <w:shd w:val="clear" w:color="auto" w:fill="D2DCE5"/>
          </w:tcPr>
          <w:p>
            <w:pPr>
              <w:spacing w:after="0"/>
              <w:rPr>
                <w:sz w:val="18"/>
                <w:szCs w:val="18"/>
                <w:color w:val="auto"/>
              </w:rPr>
            </w:pPr>
          </w:p>
        </w:tc>
        <w:tc>
          <w:tcPr>
            <w:tcW w:w="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21.9</w:t>
            </w:r>
          </w:p>
        </w:tc>
      </w:tr>
      <w:tr>
        <w:trPr>
          <w:trHeight w:val="20"/>
        </w:trPr>
        <w:tc>
          <w:tcPr>
            <w:tcW w:w="33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8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r>
      <w:tr>
        <w:trPr>
          <w:trHeight w:val="196"/>
        </w:trPr>
        <w:tc>
          <w:tcPr>
            <w:tcW w:w="3460" w:type="dxa"/>
            <w:vAlign w:val="bottom"/>
            <w:gridSpan w:val="2"/>
          </w:tcPr>
          <w:p>
            <w:pPr>
              <w:ind w:left="140"/>
              <w:spacing w:after="0"/>
              <w:rPr>
                <w:sz w:val="20"/>
                <w:szCs w:val="20"/>
                <w:color w:val="auto"/>
              </w:rPr>
            </w:pPr>
            <w:r>
              <w:rPr>
                <w:rFonts w:ascii="Arial" w:cs="Arial" w:eastAsia="Arial" w:hAnsi="Arial"/>
                <w:sz w:val="13"/>
                <w:szCs w:val="13"/>
                <w:color w:val="131E29"/>
              </w:rPr>
              <w:t xml:space="preserve">Company-operated shop contribution </w:t>
            </w:r>
            <w:r>
              <w:rPr>
                <w:rFonts w:ascii="Arial" w:cs="Arial" w:eastAsia="Arial" w:hAnsi="Arial"/>
                <w:sz w:val="16"/>
                <w:szCs w:val="16"/>
                <w:color w:val="131E29"/>
                <w:vertAlign w:val="superscript"/>
              </w:rPr>
              <w:t>1</w:t>
            </w:r>
          </w:p>
        </w:tc>
        <w:tc>
          <w:tcPr>
            <w:tcW w:w="1080" w:type="dxa"/>
            <w:vAlign w:val="bottom"/>
          </w:tcPr>
          <w:p>
            <w:pPr>
              <w:jc w:val="right"/>
              <w:spacing w:after="0"/>
              <w:rPr>
                <w:sz w:val="20"/>
                <w:szCs w:val="20"/>
                <w:color w:val="auto"/>
              </w:rPr>
            </w:pPr>
            <w:r>
              <w:rPr>
                <w:rFonts w:ascii="Arial" w:cs="Arial" w:eastAsia="Arial" w:hAnsi="Arial"/>
                <w:sz w:val="13"/>
                <w:szCs w:val="13"/>
                <w:color w:val="131E29"/>
              </w:rPr>
              <w:t>90,847</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29.5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131E29"/>
              </w:rPr>
              <w:t>73,324</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31.0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255,900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30.0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131E29"/>
              </w:rPr>
              <w:t>182,075</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131E29"/>
              </w:rPr>
              <w:t>28.9</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20" w:lineRule="exact"/>
        <w:rPr>
          <w:sz w:val="20"/>
          <w:szCs w:val="20"/>
          <w:color w:val="auto"/>
        </w:rPr>
      </w:pPr>
    </w:p>
    <w:p>
      <w:pPr>
        <w:ind w:left="120" w:hanging="115"/>
        <w:spacing w:after="0"/>
        <w:tabs>
          <w:tab w:leader="none" w:pos="120" w:val="left"/>
        </w:tabs>
        <w:numPr>
          <w:ilvl w:val="0"/>
          <w:numId w:val="15"/>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 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Company-operated Shops Segment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Revenues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131E29"/>
              </w:rPr>
              <w:t>Three Months Ended 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131E29"/>
                <w:w w:val="98"/>
              </w:rPr>
              <w:t>Nine Months Ended September 30,</w:t>
            </w:r>
          </w:p>
        </w:tc>
        <w:tc>
          <w:tcPr>
            <w:tcW w:w="880" w:type="dxa"/>
            <w:vAlign w:val="bottom"/>
            <w:tcBorders>
              <w:bottom w:val="single" w:sz="8" w:color="auto"/>
            </w:tcBorders>
          </w:tcPr>
          <w:p>
            <w:pPr>
              <w:spacing w:after="0"/>
              <w:rPr>
                <w:sz w:val="15"/>
                <w:szCs w:val="15"/>
                <w:color w:val="auto"/>
              </w:rPr>
            </w:pPr>
          </w:p>
        </w:tc>
      </w:tr>
      <w:tr>
        <w:trPr>
          <w:trHeight w:val="18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5"/>
                <w:szCs w:val="15"/>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131E29"/>
              </w:rPr>
              <w:t>2024</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D2DCE5"/>
            </w:tcBorders>
          </w:tcPr>
          <w:p>
            <w:pPr>
              <w:spacing w:after="0"/>
              <w:rPr>
                <w:sz w:val="15"/>
                <w:szCs w:val="15"/>
                <w:color w:val="auto"/>
              </w:rPr>
            </w:pPr>
          </w:p>
        </w:tc>
        <w:tc>
          <w:tcPr>
            <w:tcW w:w="1020" w:type="dxa"/>
            <w:vAlign w:val="bottom"/>
            <w:tcBorders>
              <w:bottom w:val="single" w:sz="8" w:color="131E29"/>
            </w:tcBorders>
          </w:tcPr>
          <w:p>
            <w:pPr>
              <w:jc w:val="right"/>
              <w:ind w:right="296"/>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2000" w:type="dxa"/>
            <w:vAlign w:val="bottom"/>
            <w:tcBorders>
              <w:bottom w:val="single" w:sz="8" w:color="131E29"/>
            </w:tcBorders>
            <w:gridSpan w:val="2"/>
          </w:tcPr>
          <w:p>
            <w:pPr>
              <w:jc w:val="right"/>
              <w:ind w:right="576"/>
              <w:spacing w:after="0"/>
              <w:rPr>
                <w:sz w:val="20"/>
                <w:szCs w:val="20"/>
                <w:color w:val="auto"/>
              </w:rPr>
            </w:pPr>
            <w:r>
              <w:rPr>
                <w:rFonts w:ascii="Arial" w:cs="Arial" w:eastAsia="Arial" w:hAnsi="Arial"/>
                <w:sz w:val="13"/>
                <w:szCs w:val="13"/>
                <w:b w:val="1"/>
                <w:bCs w:val="1"/>
                <w:color w:val="131E29"/>
              </w:rPr>
              <w:t>2024 v. 2023</w:t>
            </w:r>
          </w:p>
        </w:tc>
        <w:tc>
          <w:tcPr>
            <w:tcW w:w="80" w:type="dxa"/>
            <w:vAlign w:val="bottom"/>
            <w:tcBorders>
              <w:bottom w:val="single" w:sz="8" w:color="D2DCE5"/>
            </w:tcBorders>
          </w:tcPr>
          <w:p>
            <w:pPr>
              <w:spacing w:after="0"/>
              <w:rPr>
                <w:sz w:val="15"/>
                <w:szCs w:val="15"/>
                <w:color w:val="auto"/>
              </w:rPr>
            </w:pPr>
          </w:p>
        </w:tc>
        <w:tc>
          <w:tcPr>
            <w:tcW w:w="1060" w:type="dxa"/>
            <w:vAlign w:val="bottom"/>
            <w:tcBorders>
              <w:bottom w:val="single" w:sz="8" w:color="131E29"/>
            </w:tcBorders>
          </w:tcPr>
          <w:p>
            <w:pPr>
              <w:jc w:val="right"/>
              <w:ind w:right="336"/>
              <w:spacing w:after="0"/>
              <w:rPr>
                <w:sz w:val="20"/>
                <w:szCs w:val="20"/>
                <w:color w:val="auto"/>
              </w:rPr>
            </w:pPr>
            <w:r>
              <w:rPr>
                <w:rFonts w:ascii="Arial" w:cs="Arial" w:eastAsia="Arial" w:hAnsi="Arial"/>
                <w:sz w:val="13"/>
                <w:szCs w:val="13"/>
                <w:b w:val="1"/>
                <w:bCs w:val="1"/>
                <w:color w:val="131E29"/>
              </w:rPr>
              <w:t>2024</w:t>
            </w:r>
          </w:p>
        </w:tc>
        <w:tc>
          <w:tcPr>
            <w:tcW w:w="80" w:type="dxa"/>
            <w:vAlign w:val="bottom"/>
            <w:tcBorders>
              <w:bottom w:val="single" w:sz="8" w:color="D2DCE5"/>
            </w:tcBorders>
          </w:tcPr>
          <w:p>
            <w:pPr>
              <w:spacing w:after="0"/>
              <w:rPr>
                <w:sz w:val="15"/>
                <w:szCs w:val="15"/>
                <w:color w:val="auto"/>
              </w:rPr>
            </w:pPr>
          </w:p>
        </w:tc>
        <w:tc>
          <w:tcPr>
            <w:tcW w:w="1060" w:type="dxa"/>
            <w:vAlign w:val="bottom"/>
            <w:tcBorders>
              <w:bottom w:val="single" w:sz="8" w:color="131E29"/>
            </w:tcBorders>
          </w:tcPr>
          <w:p>
            <w:pPr>
              <w:jc w:val="right"/>
              <w:ind w:right="316"/>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200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3"/>
                <w:szCs w:val="13"/>
                <w:b w:val="1"/>
                <w:bCs w:val="1"/>
                <w:color w:val="131E29"/>
              </w:rPr>
              <w:t>2024 v. 2023</w:t>
            </w:r>
          </w:p>
        </w:tc>
      </w:tr>
      <w:tr>
        <w:trPr>
          <w:trHeight w:val="185"/>
        </w:trPr>
        <w:tc>
          <w:tcPr>
            <w:tcW w:w="26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Company-operated shop revenues</w:t>
            </w:r>
          </w:p>
        </w:tc>
        <w:tc>
          <w:tcPr>
            <w:tcW w:w="920" w:type="dxa"/>
            <w:vAlign w:val="bottom"/>
            <w:shd w:val="clear" w:color="auto" w:fill="D2DCE5"/>
          </w:tcPr>
          <w:p>
            <w:pPr>
              <w:jc w:val="right"/>
              <w:ind w:right="56"/>
              <w:spacing w:after="0"/>
              <w:rPr>
                <w:sz w:val="20"/>
                <w:szCs w:val="20"/>
                <w:color w:val="auto"/>
              </w:rPr>
            </w:pPr>
            <w:r>
              <w:rPr>
                <w:rFonts w:ascii="Arial" w:cs="Arial" w:eastAsia="Arial" w:hAnsi="Arial"/>
                <w:sz w:val="13"/>
                <w:szCs w:val="13"/>
                <w:color w:val="131E29"/>
              </w:rPr>
              <w:t>$308,295</w:t>
            </w:r>
          </w:p>
        </w:tc>
        <w:tc>
          <w:tcPr>
            <w:tcW w:w="1240" w:type="dxa"/>
            <w:vAlign w:val="bottom"/>
            <w:gridSpan w:val="3"/>
            <w:shd w:val="clear" w:color="auto" w:fill="D2DCE5"/>
          </w:tcPr>
          <w:p>
            <w:pPr>
              <w:jc w:val="right"/>
              <w:ind w:right="176"/>
              <w:spacing w:after="0"/>
              <w:rPr>
                <w:sz w:val="20"/>
                <w:szCs w:val="20"/>
                <w:color w:val="auto"/>
              </w:rPr>
            </w:pPr>
            <w:r>
              <w:rPr>
                <w:rFonts w:ascii="Arial" w:cs="Arial" w:eastAsia="Arial" w:hAnsi="Arial"/>
                <w:sz w:val="13"/>
                <w:szCs w:val="13"/>
                <w:color w:val="131E29"/>
              </w:rPr>
              <w:t>$236,472</w:t>
            </w:r>
          </w:p>
        </w:tc>
        <w:tc>
          <w:tcPr>
            <w:tcW w:w="80" w:type="dxa"/>
            <w:vAlign w:val="bottom"/>
            <w:shd w:val="clear" w:color="auto" w:fill="D2DCE5"/>
          </w:tcPr>
          <w:p>
            <w:pPr>
              <w:spacing w:after="0"/>
              <w:rPr>
                <w:sz w:val="16"/>
                <w:szCs w:val="16"/>
                <w:color w:val="auto"/>
              </w:rPr>
            </w:pPr>
          </w:p>
        </w:tc>
        <w:tc>
          <w:tcPr>
            <w:tcW w:w="1140" w:type="dxa"/>
            <w:vAlign w:val="bottom"/>
            <w:shd w:val="clear" w:color="auto" w:fill="D2DCE5"/>
          </w:tcPr>
          <w:p>
            <w:pPr>
              <w:jc w:val="right"/>
              <w:ind w:right="376"/>
              <w:spacing w:after="0"/>
              <w:rPr>
                <w:sz w:val="20"/>
                <w:szCs w:val="20"/>
                <w:color w:val="auto"/>
              </w:rPr>
            </w:pPr>
            <w:r>
              <w:rPr>
                <w:rFonts w:ascii="Arial" w:cs="Arial" w:eastAsia="Arial" w:hAnsi="Arial"/>
                <w:sz w:val="13"/>
                <w:szCs w:val="13"/>
                <w:color w:val="131E29"/>
              </w:rPr>
              <w:t>$71,823</w:t>
            </w:r>
          </w:p>
        </w:tc>
        <w:tc>
          <w:tcPr>
            <w:tcW w:w="860" w:type="dxa"/>
            <w:vAlign w:val="bottom"/>
            <w:shd w:val="clear" w:color="auto" w:fill="D2DCE5"/>
          </w:tcPr>
          <w:p>
            <w:pPr>
              <w:jc w:val="right"/>
              <w:ind w:right="236"/>
              <w:spacing w:after="0"/>
              <w:rPr>
                <w:sz w:val="20"/>
                <w:szCs w:val="20"/>
                <w:color w:val="auto"/>
              </w:rPr>
            </w:pPr>
            <w:r>
              <w:rPr>
                <w:rFonts w:ascii="Arial" w:cs="Arial" w:eastAsia="Arial" w:hAnsi="Arial"/>
                <w:sz w:val="13"/>
                <w:szCs w:val="13"/>
                <w:color w:val="131E29"/>
              </w:rPr>
              <w:t>30.4%</w:t>
            </w:r>
          </w:p>
        </w:tc>
        <w:tc>
          <w:tcPr>
            <w:tcW w:w="80" w:type="dxa"/>
            <w:vAlign w:val="bottom"/>
            <w:shd w:val="clear" w:color="auto" w:fill="D2DCE5"/>
          </w:tcPr>
          <w:p>
            <w:pPr>
              <w:spacing w:after="0"/>
              <w:rPr>
                <w:sz w:val="16"/>
                <w:szCs w:val="16"/>
                <w:color w:val="auto"/>
              </w:rPr>
            </w:pPr>
          </w:p>
        </w:tc>
        <w:tc>
          <w:tcPr>
            <w:tcW w:w="10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$851,648</w:t>
            </w:r>
          </w:p>
        </w:tc>
        <w:tc>
          <w:tcPr>
            <w:tcW w:w="1140" w:type="dxa"/>
            <w:vAlign w:val="bottom"/>
            <w:gridSpan w:val="2"/>
            <w:shd w:val="clear" w:color="auto" w:fill="D2DCE5"/>
          </w:tcPr>
          <w:p>
            <w:pPr>
              <w:jc w:val="right"/>
              <w:ind w:right="196"/>
              <w:spacing w:after="0"/>
              <w:rPr>
                <w:sz w:val="20"/>
                <w:szCs w:val="20"/>
                <w:color w:val="auto"/>
              </w:rPr>
            </w:pPr>
            <w:r>
              <w:rPr>
                <w:rFonts w:ascii="Arial" w:cs="Arial" w:eastAsia="Arial" w:hAnsi="Arial"/>
                <w:sz w:val="13"/>
                <w:szCs w:val="13"/>
                <w:color w:val="131E29"/>
              </w:rPr>
              <w:t>$630,588</w:t>
            </w:r>
          </w:p>
        </w:tc>
        <w:tc>
          <w:tcPr>
            <w:tcW w:w="80" w:type="dxa"/>
            <w:vAlign w:val="bottom"/>
            <w:shd w:val="clear" w:color="auto" w:fill="D2DCE5"/>
          </w:tcPr>
          <w:p>
            <w:pPr>
              <w:spacing w:after="0"/>
              <w:rPr>
                <w:sz w:val="16"/>
                <w:szCs w:val="16"/>
                <w:color w:val="auto"/>
              </w:rPr>
            </w:pPr>
          </w:p>
        </w:tc>
        <w:tc>
          <w:tcPr>
            <w:tcW w:w="1120" w:type="dxa"/>
            <w:vAlign w:val="bottom"/>
            <w:shd w:val="clear" w:color="auto" w:fill="D2DCE5"/>
          </w:tcPr>
          <w:p>
            <w:pPr>
              <w:jc w:val="right"/>
              <w:ind w:right="296"/>
              <w:spacing w:after="0"/>
              <w:rPr>
                <w:sz w:val="20"/>
                <w:szCs w:val="20"/>
                <w:color w:val="auto"/>
              </w:rPr>
            </w:pPr>
            <w:r>
              <w:rPr>
                <w:rFonts w:ascii="Arial" w:cs="Arial" w:eastAsia="Arial" w:hAnsi="Arial"/>
                <w:sz w:val="13"/>
                <w:szCs w:val="13"/>
                <w:color w:val="131E29"/>
              </w:rPr>
              <w:t>$221,060</w:t>
            </w:r>
          </w:p>
        </w:tc>
        <w:tc>
          <w:tcPr>
            <w:tcW w:w="880" w:type="dxa"/>
            <w:vAlign w:val="bottom"/>
            <w:shd w:val="clear" w:color="auto" w:fill="D2DCE5"/>
          </w:tcPr>
          <w:p>
            <w:pPr>
              <w:jc w:val="right"/>
              <w:ind w:right="236"/>
              <w:spacing w:after="0"/>
              <w:rPr>
                <w:sz w:val="20"/>
                <w:szCs w:val="20"/>
                <w:color w:val="auto"/>
              </w:rPr>
            </w:pPr>
            <w:r>
              <w:rPr>
                <w:rFonts w:ascii="Arial" w:cs="Arial" w:eastAsia="Arial" w:hAnsi="Arial"/>
                <w:sz w:val="13"/>
                <w:szCs w:val="13"/>
                <w:color w:val="131E29"/>
              </w:rPr>
              <w:t>35.1%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company-operated shop revenue increase was driven by the following:</w:t>
      </w:r>
    </w:p>
    <w:p>
      <w:pPr>
        <w:spacing w:after="0" w:line="136" w:lineRule="exact"/>
        <w:rPr>
          <w:sz w:val="20"/>
          <w:szCs w:val="20"/>
          <w:color w:val="auto"/>
        </w:rPr>
      </w:pPr>
    </w:p>
    <w:p>
      <w:pPr>
        <w:ind w:left="240" w:hanging="235"/>
        <w:spacing w:after="0"/>
        <w:tabs>
          <w:tab w:leader="none" w:pos="240" w:val="left"/>
        </w:tabs>
        <w:numPr>
          <w:ilvl w:val="0"/>
          <w:numId w:val="16"/>
        </w:numPr>
        <w:rPr>
          <w:rFonts w:ascii="Arial" w:cs="Arial" w:eastAsia="Arial" w:hAnsi="Arial"/>
          <w:sz w:val="14"/>
          <w:szCs w:val="14"/>
          <w:b w:val="1"/>
          <w:bCs w:val="1"/>
          <w:color w:val="006098"/>
        </w:rPr>
      </w:pPr>
      <w:r>
        <w:rPr>
          <w:rFonts w:ascii="Arial" w:cs="Arial" w:eastAsia="Arial" w:hAnsi="Arial"/>
          <w:sz w:val="14"/>
          <w:szCs w:val="14"/>
          <w:color w:val="131E29"/>
        </w:rPr>
        <w:t>$64.9 million from company-operated shops not yet in the comparable shop base.</w:t>
      </w:r>
    </w:p>
    <w:p>
      <w:pPr>
        <w:spacing w:after="0" w:line="93" w:lineRule="exact"/>
        <w:rPr>
          <w:rFonts w:ascii="Arial" w:cs="Arial" w:eastAsia="Arial" w:hAnsi="Arial"/>
          <w:sz w:val="14"/>
          <w:szCs w:val="14"/>
          <w:b w:val="1"/>
          <w:bCs w:val="1"/>
          <w:color w:val="006098"/>
        </w:rPr>
      </w:pPr>
    </w:p>
    <w:p>
      <w:pPr>
        <w:ind w:left="240" w:hanging="235"/>
        <w:spacing w:after="0"/>
        <w:tabs>
          <w:tab w:leader="none" w:pos="240" w:val="left"/>
        </w:tabs>
        <w:numPr>
          <w:ilvl w:val="0"/>
          <w:numId w:val="16"/>
        </w:numPr>
        <w:rPr>
          <w:rFonts w:ascii="Arial" w:cs="Arial" w:eastAsia="Arial" w:hAnsi="Arial"/>
          <w:sz w:val="14"/>
          <w:szCs w:val="14"/>
          <w:b w:val="1"/>
          <w:bCs w:val="1"/>
          <w:color w:val="006098"/>
        </w:rPr>
      </w:pPr>
      <w:r>
        <w:rPr>
          <w:rFonts w:ascii="Arial" w:cs="Arial" w:eastAsia="Arial" w:hAnsi="Arial"/>
          <w:sz w:val="14"/>
          <w:szCs w:val="14"/>
          <w:color w:val="131E29"/>
        </w:rPr>
        <w:t>$7.0 million from increase in same shop sales in the comparable shop base.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company-operated shop revenue increase was primarily driven by the following:</w:t>
      </w:r>
    </w:p>
    <w:p>
      <w:pPr>
        <w:spacing w:after="0" w:line="136" w:lineRule="exact"/>
        <w:rPr>
          <w:sz w:val="20"/>
          <w:szCs w:val="20"/>
          <w:color w:val="auto"/>
        </w:rPr>
      </w:pPr>
    </w:p>
    <w:p>
      <w:pPr>
        <w:ind w:left="240" w:hanging="235"/>
        <w:spacing w:after="0"/>
        <w:tabs>
          <w:tab w:leader="none" w:pos="240" w:val="left"/>
        </w:tabs>
        <w:numPr>
          <w:ilvl w:val="0"/>
          <w:numId w:val="17"/>
        </w:numPr>
        <w:rPr>
          <w:rFonts w:ascii="Arial" w:cs="Arial" w:eastAsia="Arial" w:hAnsi="Arial"/>
          <w:sz w:val="14"/>
          <w:szCs w:val="14"/>
          <w:b w:val="1"/>
          <w:bCs w:val="1"/>
          <w:color w:val="006098"/>
        </w:rPr>
      </w:pPr>
      <w:r>
        <w:rPr>
          <w:rFonts w:ascii="Arial" w:cs="Arial" w:eastAsia="Arial" w:hAnsi="Arial"/>
          <w:sz w:val="14"/>
          <w:szCs w:val="14"/>
          <w:color w:val="131E29"/>
        </w:rPr>
        <w:t>$191.1 million from company-operated shops not yet in the comparable shop base.</w:t>
      </w:r>
    </w:p>
    <w:p>
      <w:pPr>
        <w:spacing w:after="0" w:line="93" w:lineRule="exact"/>
        <w:rPr>
          <w:rFonts w:ascii="Arial" w:cs="Arial" w:eastAsia="Arial" w:hAnsi="Arial"/>
          <w:sz w:val="14"/>
          <w:szCs w:val="14"/>
          <w:b w:val="1"/>
          <w:bCs w:val="1"/>
          <w:color w:val="006098"/>
        </w:rPr>
      </w:pPr>
    </w:p>
    <w:p>
      <w:pPr>
        <w:ind w:left="240" w:hanging="235"/>
        <w:spacing w:after="0"/>
        <w:tabs>
          <w:tab w:leader="none" w:pos="240" w:val="left"/>
        </w:tabs>
        <w:numPr>
          <w:ilvl w:val="0"/>
          <w:numId w:val="17"/>
        </w:numPr>
        <w:rPr>
          <w:rFonts w:ascii="Arial" w:cs="Arial" w:eastAsia="Arial" w:hAnsi="Arial"/>
          <w:sz w:val="14"/>
          <w:szCs w:val="14"/>
          <w:b w:val="1"/>
          <w:bCs w:val="1"/>
          <w:color w:val="006098"/>
        </w:rPr>
      </w:pPr>
      <w:r>
        <w:rPr>
          <w:rFonts w:ascii="Arial" w:cs="Arial" w:eastAsia="Arial" w:hAnsi="Arial"/>
          <w:sz w:val="14"/>
          <w:szCs w:val="14"/>
          <w:color w:val="131E29"/>
        </w:rPr>
        <w:t>$29.9 million from an increase in same shop sales in the comparable shop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651510</wp:posOffset>
            </wp:positionV>
            <wp:extent cx="4204335" cy="1097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0433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66" w:lineRule="exact"/>
        <w:rPr>
          <w:sz w:val="20"/>
          <w:szCs w:val="20"/>
          <w:color w:val="auto"/>
        </w:rPr>
      </w:pPr>
    </w:p>
    <w:p>
      <w:pPr>
        <w:ind w:left="140" w:hanging="135"/>
        <w:spacing w:after="0" w:line="238" w:lineRule="auto"/>
        <w:tabs>
          <w:tab w:leader="none" w:pos="146" w:val="left"/>
        </w:tabs>
        <w:numPr>
          <w:ilvl w:val="0"/>
          <w:numId w:val="18"/>
        </w:numPr>
        <w:rPr>
          <w:rFonts w:ascii="Arial" w:cs="Arial" w:eastAsia="Arial" w:hAnsi="Arial"/>
          <w:sz w:val="15"/>
          <w:szCs w:val="15"/>
          <w:color w:val="131E29"/>
          <w:vertAlign w:val="superscript"/>
        </w:rPr>
      </w:pPr>
      <w:r>
        <w:rPr>
          <w:rFonts w:ascii="Arial" w:cs="Arial" w:eastAsia="Arial" w:hAnsi="Arial"/>
          <w:sz w:val="11"/>
          <w:szCs w:val="11"/>
          <w:color w:val="131E29"/>
        </w:rPr>
        <w:t>The comparable same shop bases were 438 and 310 for the three months ended September 30, 2024 and 2023, respectively, and 370 and 246 for the nine months ended September 30, 2024 and 2023, respectively. The comparable same shop bases include mature shops, which we define as open longer than 15 months.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Beverage, Food, and Packaging Costs</w:t>
      </w:r>
    </w:p>
    <w:p>
      <w:pPr>
        <w:sectPr>
          <w:pgSz w:w="11900" w:h="16838" w:orient="portrait"/>
          <w:cols w:equalWidth="0" w:num="1">
            <w:col w:w="11280"/>
          </w:cols>
          <w:pgMar w:left="300" w:top="133"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unaudited)</w:t>
      </w:r>
    </w:p>
    <w:p>
      <w:pPr>
        <w:spacing w:after="0" w:line="60" w:lineRule="exact"/>
        <w:rPr>
          <w:sz w:val="20"/>
          <w:szCs w:val="20"/>
          <w:color w:val="auto"/>
        </w:rPr>
      </w:pPr>
    </w:p>
    <w:p>
      <w:pPr>
        <w:ind w:left="20"/>
        <w:spacing w:after="0" w:line="282" w:lineRule="auto"/>
        <w:rPr>
          <w:sz w:val="20"/>
          <w:szCs w:val="20"/>
          <w:color w:val="auto"/>
        </w:rPr>
      </w:pPr>
      <w:r>
        <w:rPr>
          <w:rFonts w:ascii="Arial" w:cs="Arial" w:eastAsia="Arial" w:hAnsi="Arial"/>
          <w:sz w:val="13"/>
          <w:szCs w:val="13"/>
          <w:color w:val="131E29"/>
        </w:rPr>
        <w:t>Beverage, food and packaging costs</w:t>
      </w:r>
    </w:p>
    <w:p>
      <w:pPr>
        <w:spacing w:after="0" w:line="1" w:lineRule="exact"/>
        <w:rPr>
          <w:sz w:val="20"/>
          <w:szCs w:val="20"/>
          <w:color w:val="auto"/>
        </w:rPr>
      </w:pPr>
    </w:p>
    <w:p>
      <w:pPr>
        <w:ind w:left="20" w:right="60"/>
        <w:spacing w:after="0" w:line="324" w:lineRule="auto"/>
        <w:rPr>
          <w:sz w:val="20"/>
          <w:szCs w:val="20"/>
          <w:color w:val="auto"/>
        </w:rPr>
      </w:pPr>
      <w:r>
        <w:rPr>
          <w:rFonts w:ascii="Arial" w:cs="Arial" w:eastAsia="Arial" w:hAnsi="Arial"/>
          <w:sz w:val="12"/>
          <w:szCs w:val="12"/>
          <w:i w:val="1"/>
          <w:iCs w:val="1"/>
          <w:color w:val="131E29"/>
        </w:rPr>
        <w:t>As a percentage of company-operated shop revenues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131E29"/>
              </w:rPr>
              <w:t>Three Months Ended September 30,</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131E29"/>
              </w:rPr>
              <w:t>Nine Months Ended September 30,</w:t>
            </w:r>
          </w:p>
        </w:tc>
        <w:tc>
          <w:tcPr>
            <w:tcW w:w="1060" w:type="dxa"/>
            <w:vAlign w:val="bottom"/>
            <w:tcBorders>
              <w:bottom w:val="single" w:sz="8" w:color="auto"/>
            </w:tcBorders>
          </w:tcPr>
          <w:p>
            <w:pPr>
              <w:spacing w:after="0"/>
              <w:rPr>
                <w:sz w:val="17"/>
                <w:szCs w:val="17"/>
                <w:color w:val="auto"/>
              </w:rPr>
            </w:pPr>
          </w:p>
        </w:tc>
      </w:tr>
      <w:tr>
        <w:trPr>
          <w:trHeight w:val="203"/>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7"/>
                <w:szCs w:val="17"/>
                <w:color w:val="auto"/>
              </w:rPr>
            </w:pPr>
          </w:p>
        </w:tc>
        <w:tc>
          <w:tcPr>
            <w:tcW w:w="102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2360" w:type="dxa"/>
            <w:vAlign w:val="bottom"/>
            <w:tcBorders>
              <w:bottom w:val="single" w:sz="8" w:color="131E29"/>
            </w:tcBorders>
            <w:gridSpan w:val="2"/>
          </w:tcPr>
          <w:p>
            <w:pPr>
              <w:ind w:left="78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Pr>
          <w:p>
            <w:pPr>
              <w:spacing w:after="0"/>
              <w:rPr>
                <w:sz w:val="17"/>
                <w:szCs w:val="17"/>
                <w:color w:val="auto"/>
              </w:rPr>
            </w:pPr>
          </w:p>
        </w:tc>
        <w:tc>
          <w:tcPr>
            <w:tcW w:w="112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2360" w:type="dxa"/>
            <w:vAlign w:val="bottom"/>
            <w:tcBorders>
              <w:bottom w:val="single" w:sz="8" w:color="131E29"/>
            </w:tcBorders>
            <w:gridSpan w:val="2"/>
          </w:tcPr>
          <w:p>
            <w:pPr>
              <w:ind w:left="780"/>
              <w:spacing w:after="0"/>
              <w:rPr>
                <w:sz w:val="20"/>
                <w:szCs w:val="20"/>
                <w:color w:val="auto"/>
              </w:rPr>
            </w:pPr>
            <w:r>
              <w:rPr>
                <w:rFonts w:ascii="Arial" w:cs="Arial" w:eastAsia="Arial" w:hAnsi="Arial"/>
                <w:sz w:val="14"/>
                <w:szCs w:val="14"/>
                <w:b w:val="1"/>
                <w:bCs w:val="1"/>
                <w:color w:val="131E29"/>
              </w:rPr>
              <w:t>2024 v. 2023</w:t>
            </w:r>
          </w:p>
        </w:tc>
      </w:tr>
      <w:tr>
        <w:trPr>
          <w:trHeight w:val="327"/>
        </w:trPr>
        <w:tc>
          <w:tcPr>
            <w:tcW w:w="1020" w:type="dxa"/>
            <w:vAlign w:val="bottom"/>
          </w:tcPr>
          <w:p>
            <w:pPr>
              <w:jc w:val="center"/>
              <w:spacing w:after="0"/>
              <w:rPr>
                <w:sz w:val="20"/>
                <w:szCs w:val="20"/>
                <w:color w:val="auto"/>
              </w:rPr>
            </w:pPr>
            <w:r>
              <w:rPr>
                <w:rFonts w:ascii="Arial" w:cs="Arial" w:eastAsia="Arial" w:hAnsi="Arial"/>
                <w:sz w:val="14"/>
                <w:szCs w:val="14"/>
                <w:color w:val="131E29"/>
              </w:rPr>
              <w:t>$78,060</w:t>
            </w:r>
          </w:p>
        </w:tc>
        <w:tc>
          <w:tcPr>
            <w:tcW w:w="1100" w:type="dxa"/>
            <w:vAlign w:val="bottom"/>
            <w:gridSpan w:val="2"/>
          </w:tcPr>
          <w:p>
            <w:pPr>
              <w:jc w:val="center"/>
              <w:ind w:left="9"/>
              <w:spacing w:after="0"/>
              <w:rPr>
                <w:sz w:val="20"/>
                <w:szCs w:val="20"/>
                <w:color w:val="auto"/>
              </w:rPr>
            </w:pPr>
            <w:r>
              <w:rPr>
                <w:rFonts w:ascii="Arial" w:cs="Arial" w:eastAsia="Arial" w:hAnsi="Arial"/>
                <w:sz w:val="14"/>
                <w:szCs w:val="14"/>
                <w:color w:val="131E29"/>
                <w:w w:val="98"/>
              </w:rPr>
              <w:t>$61,317</w:t>
            </w:r>
          </w:p>
        </w:tc>
        <w:tc>
          <w:tcPr>
            <w:tcW w:w="80" w:type="dxa"/>
            <w:vAlign w:val="bottom"/>
          </w:tcPr>
          <w:p>
            <w:pPr>
              <w:spacing w:after="0"/>
              <w:rPr>
                <w:sz w:val="24"/>
                <w:szCs w:val="24"/>
                <w:color w:val="auto"/>
              </w:rPr>
            </w:pPr>
          </w:p>
        </w:tc>
        <w:tc>
          <w:tcPr>
            <w:tcW w:w="1380" w:type="dxa"/>
            <w:vAlign w:val="bottom"/>
          </w:tcPr>
          <w:p>
            <w:pPr>
              <w:jc w:val="right"/>
              <w:ind w:right="509"/>
              <w:spacing w:after="0"/>
              <w:rPr>
                <w:sz w:val="20"/>
                <w:szCs w:val="20"/>
                <w:color w:val="auto"/>
              </w:rPr>
            </w:pPr>
            <w:r>
              <w:rPr>
                <w:rFonts w:ascii="Arial" w:cs="Arial" w:eastAsia="Arial" w:hAnsi="Arial"/>
                <w:sz w:val="14"/>
                <w:szCs w:val="14"/>
                <w:color w:val="131E29"/>
              </w:rPr>
              <w:t>$16,743</w:t>
            </w:r>
          </w:p>
        </w:tc>
        <w:tc>
          <w:tcPr>
            <w:tcW w:w="980" w:type="dxa"/>
            <w:vAlign w:val="bottom"/>
          </w:tcPr>
          <w:p>
            <w:pPr>
              <w:jc w:val="right"/>
              <w:ind w:right="329"/>
              <w:spacing w:after="0"/>
              <w:rPr>
                <w:sz w:val="20"/>
                <w:szCs w:val="20"/>
                <w:color w:val="auto"/>
              </w:rPr>
            </w:pPr>
            <w:r>
              <w:rPr>
                <w:rFonts w:ascii="Arial" w:cs="Arial" w:eastAsia="Arial" w:hAnsi="Arial"/>
                <w:sz w:val="14"/>
                <w:szCs w:val="14"/>
                <w:color w:val="131E29"/>
              </w:rPr>
              <w:t>27.3%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w w:val="99"/>
              </w:rPr>
              <w:t>$216,923</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131E29"/>
              </w:rPr>
              <w:t>$169,702</w:t>
            </w:r>
          </w:p>
        </w:tc>
        <w:tc>
          <w:tcPr>
            <w:tcW w:w="80" w:type="dxa"/>
            <w:vAlign w:val="bottom"/>
          </w:tcPr>
          <w:p>
            <w:pPr>
              <w:spacing w:after="0"/>
              <w:rPr>
                <w:sz w:val="24"/>
                <w:szCs w:val="24"/>
                <w:color w:val="auto"/>
              </w:rPr>
            </w:pPr>
          </w:p>
        </w:tc>
        <w:tc>
          <w:tcPr>
            <w:tcW w:w="1300" w:type="dxa"/>
            <w:vAlign w:val="bottom"/>
          </w:tcPr>
          <w:p>
            <w:pPr>
              <w:jc w:val="right"/>
              <w:ind w:right="429"/>
              <w:spacing w:after="0"/>
              <w:rPr>
                <w:sz w:val="20"/>
                <w:szCs w:val="20"/>
                <w:color w:val="auto"/>
              </w:rPr>
            </w:pPr>
            <w:r>
              <w:rPr>
                <w:rFonts w:ascii="Arial" w:cs="Arial" w:eastAsia="Arial" w:hAnsi="Arial"/>
                <w:sz w:val="14"/>
                <w:szCs w:val="14"/>
                <w:color w:val="131E29"/>
              </w:rPr>
              <w:t>$47,221</w:t>
            </w:r>
          </w:p>
        </w:tc>
        <w:tc>
          <w:tcPr>
            <w:tcW w:w="1060" w:type="dxa"/>
            <w:vAlign w:val="bottom"/>
          </w:tcPr>
          <w:p>
            <w:pPr>
              <w:jc w:val="right"/>
              <w:ind w:right="329"/>
              <w:spacing w:after="0"/>
              <w:rPr>
                <w:sz w:val="20"/>
                <w:szCs w:val="20"/>
                <w:color w:val="auto"/>
              </w:rPr>
            </w:pPr>
            <w:r>
              <w:rPr>
                <w:rFonts w:ascii="Arial" w:cs="Arial" w:eastAsia="Arial" w:hAnsi="Arial"/>
                <w:sz w:val="14"/>
                <w:szCs w:val="14"/>
                <w:color w:val="131E29"/>
              </w:rPr>
              <w:t>27.8%</w:t>
            </w:r>
          </w:p>
        </w:tc>
      </w:tr>
      <w:tr>
        <w:trPr>
          <w:trHeight w:val="350"/>
        </w:trPr>
        <w:tc>
          <w:tcPr>
            <w:tcW w:w="1020" w:type="dxa"/>
            <w:vAlign w:val="bottom"/>
          </w:tcPr>
          <w:p>
            <w:pPr>
              <w:jc w:val="center"/>
              <w:spacing w:after="0"/>
              <w:rPr>
                <w:sz w:val="20"/>
                <w:szCs w:val="20"/>
                <w:color w:val="auto"/>
              </w:rPr>
            </w:pPr>
            <w:r>
              <w:rPr>
                <w:rFonts w:ascii="Arial" w:cs="Arial" w:eastAsia="Arial" w:hAnsi="Arial"/>
                <w:sz w:val="14"/>
                <w:szCs w:val="14"/>
                <w:color w:val="131E29"/>
              </w:rPr>
              <w:t>25.3%</w:t>
            </w:r>
          </w:p>
        </w:tc>
        <w:tc>
          <w:tcPr>
            <w:tcW w:w="1100" w:type="dxa"/>
            <w:vAlign w:val="bottom"/>
            <w:gridSpan w:val="2"/>
          </w:tcPr>
          <w:p>
            <w:pPr>
              <w:jc w:val="center"/>
              <w:spacing w:after="0"/>
              <w:rPr>
                <w:sz w:val="20"/>
                <w:szCs w:val="20"/>
                <w:color w:val="auto"/>
              </w:rPr>
            </w:pPr>
            <w:r>
              <w:rPr>
                <w:rFonts w:ascii="Arial" w:cs="Arial" w:eastAsia="Arial" w:hAnsi="Arial"/>
                <w:sz w:val="14"/>
                <w:szCs w:val="14"/>
                <w:color w:val="131E29"/>
              </w:rPr>
              <w:t>25.9%</w:t>
            </w:r>
          </w:p>
        </w:tc>
        <w:tc>
          <w:tcPr>
            <w:tcW w:w="80" w:type="dxa"/>
            <w:vAlign w:val="bottom"/>
          </w:tcPr>
          <w:p>
            <w:pPr>
              <w:spacing w:after="0"/>
              <w:rPr>
                <w:sz w:val="24"/>
                <w:szCs w:val="24"/>
                <w:color w:val="auto"/>
              </w:rPr>
            </w:pPr>
          </w:p>
        </w:tc>
        <w:tc>
          <w:tcPr>
            <w:tcW w:w="1380" w:type="dxa"/>
            <w:vAlign w:val="bottom"/>
          </w:tcPr>
          <w:p>
            <w:pPr>
              <w:jc w:val="center"/>
              <w:ind w:right="229"/>
              <w:spacing w:after="0"/>
              <w:rPr>
                <w:sz w:val="20"/>
                <w:szCs w:val="20"/>
                <w:color w:val="auto"/>
              </w:rPr>
            </w:pPr>
            <w:r>
              <w:rPr>
                <w:rFonts w:ascii="Arial" w:cs="Arial" w:eastAsia="Arial" w:hAnsi="Arial"/>
                <w:sz w:val="14"/>
                <w:szCs w:val="14"/>
                <w:color w:val="131E29"/>
              </w:rPr>
              <w:t>N/A</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131E29"/>
              </w:rPr>
              <w:t>(60) bps</w:t>
            </w:r>
          </w:p>
        </w:tc>
        <w:tc>
          <w:tcPr>
            <w:tcW w:w="1100" w:type="dxa"/>
            <w:vAlign w:val="bottom"/>
          </w:tcPr>
          <w:p>
            <w:pPr>
              <w:jc w:val="center"/>
              <w:spacing w:after="0"/>
              <w:rPr>
                <w:sz w:val="20"/>
                <w:szCs w:val="20"/>
                <w:color w:val="auto"/>
              </w:rPr>
            </w:pPr>
            <w:r>
              <w:rPr>
                <w:rFonts w:ascii="Arial" w:cs="Arial" w:eastAsia="Arial" w:hAnsi="Arial"/>
                <w:sz w:val="14"/>
                <w:szCs w:val="14"/>
                <w:color w:val="131E29"/>
              </w:rPr>
              <w:t>25.5%</w:t>
            </w: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131E29"/>
              </w:rPr>
              <w:t>26.8%</w:t>
            </w:r>
          </w:p>
        </w:tc>
        <w:tc>
          <w:tcPr>
            <w:tcW w:w="80" w:type="dxa"/>
            <w:vAlign w:val="bottom"/>
          </w:tcPr>
          <w:p>
            <w:pPr>
              <w:spacing w:after="0"/>
              <w:rPr>
                <w:sz w:val="24"/>
                <w:szCs w:val="24"/>
                <w:color w:val="auto"/>
              </w:rPr>
            </w:pPr>
          </w:p>
        </w:tc>
        <w:tc>
          <w:tcPr>
            <w:tcW w:w="1300" w:type="dxa"/>
            <w:vAlign w:val="bottom"/>
          </w:tcPr>
          <w:p>
            <w:pPr>
              <w:jc w:val="center"/>
              <w:ind w:right="149"/>
              <w:spacing w:after="0"/>
              <w:rPr>
                <w:sz w:val="20"/>
                <w:szCs w:val="20"/>
                <w:color w:val="auto"/>
              </w:rPr>
            </w:pPr>
            <w:r>
              <w:rPr>
                <w:rFonts w:ascii="Arial" w:cs="Arial" w:eastAsia="Arial" w:hAnsi="Arial"/>
                <w:sz w:val="14"/>
                <w:szCs w:val="14"/>
                <w:color w:val="131E29"/>
              </w:rPr>
              <w:t>N/A</w:t>
            </w:r>
          </w:p>
        </w:tc>
        <w:tc>
          <w:tcPr>
            <w:tcW w:w="1060" w:type="dxa"/>
            <w:vAlign w:val="bottom"/>
          </w:tcPr>
          <w:p>
            <w:pPr>
              <w:jc w:val="center"/>
              <w:ind w:right="69"/>
              <w:spacing w:after="0"/>
              <w:rPr>
                <w:sz w:val="20"/>
                <w:szCs w:val="20"/>
                <w:color w:val="auto"/>
              </w:rPr>
            </w:pPr>
            <w:r>
              <w:rPr>
                <w:rFonts w:ascii="Arial" w:cs="Arial" w:eastAsia="Arial" w:hAnsi="Arial"/>
                <w:sz w:val="14"/>
                <w:szCs w:val="14"/>
                <w:color w:val="131E29"/>
              </w:rPr>
              <w:t>(130)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-438150</wp:posOffset>
            </wp:positionV>
            <wp:extent cx="7161530" cy="229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1740" w:space="160"/>
            <w:col w:w="9380"/>
          </w:cols>
          <w:pgMar w:left="300" w:top="133" w:right="319" w:bottom="1440" w:gutter="0" w:footer="0" w:header="0"/>
          <w:type w:val="continuous"/>
        </w:sect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beverage, food and packaging costs impacts for the year-over-year comparison, in dollars and basis points (as a percentage of current year company-operated shop revenues), were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55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131E29"/>
            </w:tcBorders>
          </w:tcPr>
          <w:p>
            <w:pPr>
              <w:jc w:val="right"/>
              <w:ind w:right="435"/>
              <w:spacing w:after="0"/>
              <w:rPr>
                <w:sz w:val="20"/>
                <w:szCs w:val="20"/>
                <w:color w:val="auto"/>
              </w:rPr>
            </w:pPr>
            <w:r>
              <w:rPr>
                <w:rFonts w:ascii="Arial" w:cs="Arial" w:eastAsia="Arial" w:hAnsi="Arial"/>
                <w:sz w:val="14"/>
                <w:szCs w:val="14"/>
                <w:b w:val="1"/>
                <w:bCs w:val="1"/>
                <w:color w:val="131E29"/>
              </w:rPr>
              <w:t>BPS</w:t>
            </w:r>
          </w:p>
        </w:tc>
      </w:tr>
      <w:tr>
        <w:trPr>
          <w:trHeight w:val="187"/>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16,586</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Volume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120</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 ¹</w:t>
            </w:r>
          </w:p>
        </w:tc>
        <w:tc>
          <w:tcPr>
            <w:tcW w:w="360" w:type="dxa"/>
            <w:vAlign w:val="bottom"/>
            <w:shd w:val="clear" w:color="auto" w:fill="D2DCE5"/>
          </w:tcPr>
          <w:p>
            <w:pPr>
              <w:spacing w:after="0"/>
              <w:rPr>
                <w:sz w:val="17"/>
                <w:szCs w:val="17"/>
                <w:color w:val="auto"/>
              </w:rPr>
            </w:pP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(80)</w:t>
            </w:r>
          </w:p>
        </w:tc>
      </w:tr>
      <w:tr>
        <w:trPr>
          <w:trHeight w:val="184"/>
        </w:trPr>
        <w:tc>
          <w:tcPr>
            <w:tcW w:w="856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Other</w:t>
            </w:r>
          </w:p>
        </w:tc>
        <w:tc>
          <w:tcPr>
            <w:tcW w:w="360" w:type="dxa"/>
            <w:vAlign w:val="bottom"/>
            <w:tcBorders>
              <w:bottom w:val="single" w:sz="8" w:color="131E29"/>
            </w:tcBorders>
          </w:tcPr>
          <w:p>
            <w:pPr>
              <w:spacing w:after="0"/>
              <w:rPr>
                <w:sz w:val="16"/>
                <w:szCs w:val="16"/>
                <w:color w:val="auto"/>
              </w:rPr>
            </w:pP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37</w:t>
            </w:r>
          </w:p>
        </w:tc>
        <w:tc>
          <w:tcPr>
            <w:tcW w:w="80" w:type="dxa"/>
            <w:vAlign w:val="bottom"/>
            <w:tcBorders>
              <w:bottom w:val="single" w:sz="8" w:color="D2DCE5"/>
            </w:tcBorders>
          </w:tcPr>
          <w:p>
            <w:pPr>
              <w:spacing w:after="0"/>
              <w:rPr>
                <w:sz w:val="16"/>
                <w:szCs w:val="16"/>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10</w:t>
            </w:r>
          </w:p>
        </w:tc>
      </w:tr>
      <w:tr>
        <w:trPr>
          <w:trHeight w:val="185"/>
        </w:trPr>
        <w:tc>
          <w:tcPr>
            <w:tcW w:w="8560" w:type="dxa"/>
            <w:vAlign w:val="bottom"/>
            <w:gridSpan w:val="2"/>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360" w:type="dxa"/>
            <w:vAlign w:val="bottom"/>
            <w:tcBorders>
              <w:bottom w:val="single" w:sz="8" w:color="131E29"/>
            </w:tcBorders>
            <w:shd w:val="clear" w:color="auto" w:fill="D2DCE5"/>
          </w:tcPr>
          <w:p>
            <w:pPr>
              <w:jc w:val="right"/>
              <w:ind w:right="196"/>
              <w:spacing w:after="0"/>
              <w:rPr>
                <w:sz w:val="20"/>
                <w:szCs w:val="20"/>
                <w:color w:val="auto"/>
              </w:rPr>
            </w:pPr>
            <w:r>
              <w:rPr>
                <w:rFonts w:ascii="Arial" w:cs="Arial" w:eastAsia="Arial" w:hAnsi="Arial"/>
                <w:sz w:val="13"/>
                <w:szCs w:val="13"/>
                <w:b w:val="1"/>
                <w:bCs w:val="1"/>
                <w:color w:val="131E29"/>
              </w:rPr>
              <w:t>$</w:t>
            </w:r>
          </w:p>
        </w:tc>
        <w:tc>
          <w:tcPr>
            <w:tcW w:w="9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16,743</w:t>
            </w:r>
          </w:p>
        </w:tc>
        <w:tc>
          <w:tcPr>
            <w:tcW w:w="80" w:type="dxa"/>
            <w:vAlign w:val="bottom"/>
            <w:shd w:val="clear" w:color="auto" w:fill="D2DCE5"/>
          </w:tcPr>
          <w:p>
            <w:pPr>
              <w:spacing w:after="0"/>
              <w:rPr>
                <w:sz w:val="16"/>
                <w:szCs w:val="16"/>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(60)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120" w:lineRule="exact"/>
        <w:rPr>
          <w:sz w:val="20"/>
          <w:szCs w:val="20"/>
          <w:color w:val="auto"/>
        </w:rPr>
      </w:pPr>
    </w:p>
    <w:p>
      <w:pPr>
        <w:ind w:left="120" w:hanging="115"/>
        <w:spacing w:after="0"/>
        <w:tabs>
          <w:tab w:leader="none" w:pos="120" w:val="left"/>
        </w:tabs>
        <w:numPr>
          <w:ilvl w:val="0"/>
          <w:numId w:val="19"/>
        </w:numPr>
        <w:rPr>
          <w:rFonts w:ascii="Arial" w:cs="Arial" w:eastAsia="Arial" w:hAnsi="Arial"/>
          <w:sz w:val="15"/>
          <w:szCs w:val="15"/>
          <w:color w:val="131E29"/>
          <w:vertAlign w:val="superscript"/>
        </w:rPr>
      </w:pPr>
      <w:r>
        <w:rPr>
          <w:rFonts w:ascii="Arial" w:cs="Arial" w:eastAsia="Arial" w:hAnsi="Arial"/>
          <w:sz w:val="11"/>
          <w:szCs w:val="11"/>
          <w:color w:val="131E29"/>
        </w:rPr>
        <w:t>Unless otherwise noted, pricing impacts in this table and the tables below are on the comparable shop base only.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beverage, food and packaging costs impacts for the year-over-year comparison, in dollars and basis points (as a percentage of current year company-operated shop revenues), were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55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131E29"/>
            </w:tcBorders>
          </w:tcPr>
          <w:p>
            <w:pPr>
              <w:jc w:val="right"/>
              <w:ind w:right="435"/>
              <w:spacing w:after="0"/>
              <w:rPr>
                <w:sz w:val="20"/>
                <w:szCs w:val="20"/>
                <w:color w:val="auto"/>
              </w:rPr>
            </w:pPr>
            <w:r>
              <w:rPr>
                <w:rFonts w:ascii="Arial" w:cs="Arial" w:eastAsia="Arial" w:hAnsi="Arial"/>
                <w:sz w:val="14"/>
                <w:szCs w:val="14"/>
                <w:b w:val="1"/>
                <w:bCs w:val="1"/>
                <w:color w:val="131E29"/>
              </w:rPr>
              <w:t>BPS</w:t>
            </w:r>
          </w:p>
        </w:tc>
      </w:tr>
      <w:tr>
        <w:trPr>
          <w:trHeight w:val="187"/>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48,793</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Volume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468</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360" w:type="dxa"/>
            <w:vAlign w:val="bottom"/>
            <w:shd w:val="clear" w:color="auto" w:fill="D2DCE5"/>
          </w:tcPr>
          <w:p>
            <w:pPr>
              <w:spacing w:after="0"/>
              <w:rPr>
                <w:sz w:val="17"/>
                <w:szCs w:val="17"/>
                <w:color w:val="auto"/>
              </w:rPr>
            </w:pP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(120)</w:t>
            </w:r>
          </w:p>
        </w:tc>
      </w:tr>
      <w:tr>
        <w:trPr>
          <w:trHeight w:val="184"/>
        </w:trPr>
        <w:tc>
          <w:tcPr>
            <w:tcW w:w="856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Other</w:t>
            </w:r>
          </w:p>
        </w:tc>
        <w:tc>
          <w:tcPr>
            <w:tcW w:w="360" w:type="dxa"/>
            <w:vAlign w:val="bottom"/>
            <w:tcBorders>
              <w:bottom w:val="single" w:sz="8" w:color="131E29"/>
            </w:tcBorders>
          </w:tcPr>
          <w:p>
            <w:pPr>
              <w:spacing w:after="0"/>
              <w:rPr>
                <w:sz w:val="16"/>
                <w:szCs w:val="16"/>
                <w:color w:val="auto"/>
              </w:rPr>
            </w:pP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(2,040)</w:t>
            </w:r>
          </w:p>
        </w:tc>
        <w:tc>
          <w:tcPr>
            <w:tcW w:w="80" w:type="dxa"/>
            <w:vAlign w:val="bottom"/>
            <w:tcBorders>
              <w:bottom w:val="single" w:sz="8" w:color="D2DCE5"/>
            </w:tcBorders>
          </w:tcPr>
          <w:p>
            <w:pPr>
              <w:spacing w:after="0"/>
              <w:rPr>
                <w:sz w:val="16"/>
                <w:szCs w:val="16"/>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(10)</w:t>
            </w:r>
          </w:p>
        </w:tc>
      </w:tr>
      <w:tr>
        <w:trPr>
          <w:trHeight w:val="185"/>
        </w:trPr>
        <w:tc>
          <w:tcPr>
            <w:tcW w:w="8560" w:type="dxa"/>
            <w:vAlign w:val="bottom"/>
            <w:gridSpan w:val="2"/>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360" w:type="dxa"/>
            <w:vAlign w:val="bottom"/>
            <w:tcBorders>
              <w:bottom w:val="single" w:sz="8" w:color="131E29"/>
            </w:tcBorders>
            <w:shd w:val="clear" w:color="auto" w:fill="D2DCE5"/>
          </w:tcPr>
          <w:p>
            <w:pPr>
              <w:jc w:val="right"/>
              <w:ind w:right="196"/>
              <w:spacing w:after="0"/>
              <w:rPr>
                <w:sz w:val="20"/>
                <w:szCs w:val="20"/>
                <w:color w:val="auto"/>
              </w:rPr>
            </w:pPr>
            <w:r>
              <w:rPr>
                <w:rFonts w:ascii="Arial" w:cs="Arial" w:eastAsia="Arial" w:hAnsi="Arial"/>
                <w:sz w:val="13"/>
                <w:szCs w:val="13"/>
                <w:b w:val="1"/>
                <w:bCs w:val="1"/>
                <w:color w:val="131E29"/>
              </w:rPr>
              <w:t>$</w:t>
            </w:r>
          </w:p>
        </w:tc>
        <w:tc>
          <w:tcPr>
            <w:tcW w:w="9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47,221</w:t>
            </w:r>
          </w:p>
        </w:tc>
        <w:tc>
          <w:tcPr>
            <w:tcW w:w="80" w:type="dxa"/>
            <w:vAlign w:val="bottom"/>
            <w:shd w:val="clear" w:color="auto" w:fill="D2DCE5"/>
          </w:tcPr>
          <w:p>
            <w:pPr>
              <w:spacing w:after="0"/>
              <w:rPr>
                <w:sz w:val="16"/>
                <w:szCs w:val="16"/>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Labor Costs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unaudited)</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131E29"/>
        </w:rPr>
        <w:t>Labor costs</w:t>
      </w:r>
    </w:p>
    <w:p>
      <w:pPr>
        <w:spacing w:after="0" w:line="43" w:lineRule="exact"/>
        <w:rPr>
          <w:sz w:val="20"/>
          <w:szCs w:val="20"/>
          <w:color w:val="auto"/>
        </w:rPr>
      </w:pPr>
    </w:p>
    <w:p>
      <w:pPr>
        <w:ind w:left="20"/>
        <w:spacing w:after="0" w:line="305" w:lineRule="auto"/>
        <w:rPr>
          <w:sz w:val="20"/>
          <w:szCs w:val="20"/>
          <w:color w:val="auto"/>
        </w:rPr>
      </w:pPr>
      <w:r>
        <w:rPr>
          <w:rFonts w:ascii="Arial" w:cs="Arial" w:eastAsia="Arial" w:hAnsi="Arial"/>
          <w:sz w:val="12"/>
          <w:szCs w:val="12"/>
          <w:i w:val="1"/>
          <w:iCs w:val="1"/>
          <w:color w:val="131E29"/>
        </w:rPr>
        <w:t>As a percentage of company-operated shop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9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131E29"/>
              </w:rPr>
              <w:t>Three Months Ended September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131E29"/>
              </w:rPr>
              <w:t>Nine Months Ended September 30,</w:t>
            </w:r>
          </w:p>
        </w:tc>
        <w:tc>
          <w:tcPr>
            <w:tcW w:w="720" w:type="dxa"/>
            <w:vAlign w:val="bottom"/>
            <w:tcBorders>
              <w:bottom w:val="single" w:sz="8" w:color="auto"/>
            </w:tcBorders>
          </w:tcPr>
          <w:p>
            <w:pPr>
              <w:spacing w:after="0"/>
              <w:rPr>
                <w:sz w:val="17"/>
                <w:szCs w:val="17"/>
                <w:color w:val="auto"/>
              </w:rPr>
            </w:pPr>
          </w:p>
        </w:tc>
      </w:tr>
      <w:tr>
        <w:trPr>
          <w:trHeight w:val="203"/>
        </w:trPr>
        <w:tc>
          <w:tcPr>
            <w:tcW w:w="96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131E29"/>
              </w:rPr>
              <w:t>2024</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2120" w:type="dxa"/>
            <w:vAlign w:val="bottom"/>
            <w:tcBorders>
              <w:bottom w:val="single" w:sz="8" w:color="131E29"/>
            </w:tcBorders>
            <w:gridSpan w:val="2"/>
          </w:tcPr>
          <w:p>
            <w:pPr>
              <w:ind w:left="66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Pr>
          <w:p>
            <w:pPr>
              <w:spacing w:after="0"/>
              <w:rPr>
                <w:sz w:val="17"/>
                <w:szCs w:val="17"/>
                <w:color w:val="auto"/>
              </w:rPr>
            </w:pPr>
          </w:p>
        </w:tc>
        <w:tc>
          <w:tcPr>
            <w:tcW w:w="11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100" w:type="dxa"/>
            <w:vAlign w:val="bottom"/>
          </w:tcPr>
          <w:p>
            <w:pPr>
              <w:spacing w:after="0"/>
              <w:rPr>
                <w:sz w:val="17"/>
                <w:szCs w:val="17"/>
                <w:color w:val="auto"/>
              </w:rPr>
            </w:pPr>
          </w:p>
        </w:tc>
        <w:tc>
          <w:tcPr>
            <w:tcW w:w="114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100" w:type="dxa"/>
            <w:vAlign w:val="bottom"/>
          </w:tcPr>
          <w:p>
            <w:pPr>
              <w:spacing w:after="0"/>
              <w:rPr>
                <w:sz w:val="17"/>
                <w:szCs w:val="17"/>
                <w:color w:val="auto"/>
              </w:rPr>
            </w:pPr>
          </w:p>
        </w:tc>
        <w:tc>
          <w:tcPr>
            <w:tcW w:w="1540" w:type="dxa"/>
            <w:vAlign w:val="bottom"/>
            <w:tcBorders>
              <w:bottom w:val="single" w:sz="8" w:color="131E29"/>
            </w:tcBorders>
          </w:tcPr>
          <w:p>
            <w:pPr>
              <w:ind w:left="720"/>
              <w:spacing w:after="0"/>
              <w:rPr>
                <w:sz w:val="20"/>
                <w:szCs w:val="20"/>
                <w:color w:val="auto"/>
              </w:rPr>
            </w:pPr>
            <w:r>
              <w:rPr>
                <w:rFonts w:ascii="Arial" w:cs="Arial" w:eastAsia="Arial" w:hAnsi="Arial"/>
                <w:sz w:val="14"/>
                <w:szCs w:val="14"/>
                <w:b w:val="1"/>
                <w:bCs w:val="1"/>
                <w:color w:val="131E29"/>
                <w:w w:val="97"/>
              </w:rPr>
              <w:t>2024 v. 2023</w:t>
            </w:r>
          </w:p>
        </w:tc>
        <w:tc>
          <w:tcPr>
            <w:tcW w:w="720" w:type="dxa"/>
            <w:vAlign w:val="bottom"/>
            <w:tcBorders>
              <w:bottom w:val="single" w:sz="8" w:color="131E29"/>
            </w:tcBorders>
          </w:tcPr>
          <w:p>
            <w:pPr>
              <w:spacing w:after="0"/>
              <w:rPr>
                <w:sz w:val="17"/>
                <w:szCs w:val="17"/>
                <w:color w:val="auto"/>
              </w:rPr>
            </w:pPr>
          </w:p>
        </w:tc>
      </w:tr>
      <w:tr>
        <w:trPr>
          <w:trHeight w:val="189"/>
        </w:trPr>
        <w:tc>
          <w:tcPr>
            <w:tcW w:w="960" w:type="dxa"/>
            <w:vAlign w:val="bottom"/>
          </w:tcPr>
          <w:p>
            <w:pPr>
              <w:jc w:val="center"/>
              <w:ind w:left="129"/>
              <w:spacing w:after="0"/>
              <w:rPr>
                <w:sz w:val="20"/>
                <w:szCs w:val="20"/>
                <w:color w:val="auto"/>
              </w:rPr>
            </w:pPr>
            <w:r>
              <w:rPr>
                <w:rFonts w:ascii="Arial" w:cs="Arial" w:eastAsia="Arial" w:hAnsi="Arial"/>
                <w:sz w:val="14"/>
                <w:szCs w:val="14"/>
                <w:color w:val="131E29"/>
              </w:rPr>
              <w:t>$85,144</w:t>
            </w:r>
          </w:p>
        </w:tc>
        <w:tc>
          <w:tcPr>
            <w:tcW w:w="1380" w:type="dxa"/>
            <w:vAlign w:val="bottom"/>
            <w:gridSpan w:val="3"/>
          </w:tcPr>
          <w:p>
            <w:pPr>
              <w:jc w:val="center"/>
              <w:ind w:left="209"/>
              <w:spacing w:after="0"/>
              <w:rPr>
                <w:sz w:val="20"/>
                <w:szCs w:val="20"/>
                <w:color w:val="auto"/>
              </w:rPr>
            </w:pPr>
            <w:r>
              <w:rPr>
                <w:rFonts w:ascii="Arial" w:cs="Arial" w:eastAsia="Arial" w:hAnsi="Arial"/>
                <w:sz w:val="14"/>
                <w:szCs w:val="14"/>
                <w:color w:val="131E29"/>
                <w:w w:val="98"/>
              </w:rPr>
              <w:t>$61,521</w:t>
            </w:r>
          </w:p>
        </w:tc>
        <w:tc>
          <w:tcPr>
            <w:tcW w:w="80" w:type="dxa"/>
            <w:vAlign w:val="bottom"/>
          </w:tcPr>
          <w:p>
            <w:pPr>
              <w:spacing w:after="0"/>
              <w:rPr>
                <w:sz w:val="16"/>
                <w:szCs w:val="16"/>
                <w:color w:val="auto"/>
              </w:rPr>
            </w:pPr>
          </w:p>
        </w:tc>
        <w:tc>
          <w:tcPr>
            <w:tcW w:w="1220" w:type="dxa"/>
            <w:vAlign w:val="bottom"/>
          </w:tcPr>
          <w:p>
            <w:pPr>
              <w:jc w:val="right"/>
              <w:ind w:right="389"/>
              <w:spacing w:after="0"/>
              <w:rPr>
                <w:sz w:val="20"/>
                <w:szCs w:val="20"/>
                <w:color w:val="auto"/>
              </w:rPr>
            </w:pPr>
            <w:r>
              <w:rPr>
                <w:rFonts w:ascii="Arial" w:cs="Arial" w:eastAsia="Arial" w:hAnsi="Arial"/>
                <w:sz w:val="14"/>
                <w:szCs w:val="14"/>
                <w:color w:val="131E29"/>
              </w:rPr>
              <w:t>$23,623</w:t>
            </w:r>
          </w:p>
        </w:tc>
        <w:tc>
          <w:tcPr>
            <w:tcW w:w="900" w:type="dxa"/>
            <w:vAlign w:val="bottom"/>
          </w:tcPr>
          <w:p>
            <w:pPr>
              <w:jc w:val="right"/>
              <w:ind w:right="229"/>
              <w:spacing w:after="0"/>
              <w:rPr>
                <w:sz w:val="20"/>
                <w:szCs w:val="20"/>
                <w:color w:val="auto"/>
              </w:rPr>
            </w:pPr>
            <w:r>
              <w:rPr>
                <w:rFonts w:ascii="Arial" w:cs="Arial" w:eastAsia="Arial" w:hAnsi="Arial"/>
                <w:sz w:val="14"/>
                <w:szCs w:val="14"/>
                <w:color w:val="131E29"/>
              </w:rPr>
              <w:t>38.4%</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131E29"/>
                <w:w w:val="99"/>
              </w:rPr>
              <w:t>$230,807</w:t>
            </w:r>
          </w:p>
        </w:tc>
        <w:tc>
          <w:tcPr>
            <w:tcW w:w="1240" w:type="dxa"/>
            <w:vAlign w:val="bottom"/>
            <w:gridSpan w:val="2"/>
          </w:tcPr>
          <w:p>
            <w:pPr>
              <w:jc w:val="center"/>
              <w:ind w:left="29"/>
              <w:spacing w:after="0"/>
              <w:rPr>
                <w:sz w:val="20"/>
                <w:szCs w:val="20"/>
                <w:color w:val="auto"/>
              </w:rPr>
            </w:pPr>
            <w:r>
              <w:rPr>
                <w:rFonts w:ascii="Arial" w:cs="Arial" w:eastAsia="Arial" w:hAnsi="Arial"/>
                <w:sz w:val="14"/>
                <w:szCs w:val="14"/>
                <w:color w:val="131E29"/>
                <w:w w:val="99"/>
              </w:rPr>
              <w:t>$168,805</w:t>
            </w:r>
          </w:p>
        </w:tc>
        <w:tc>
          <w:tcPr>
            <w:tcW w:w="100" w:type="dxa"/>
            <w:vAlign w:val="bottom"/>
          </w:tcPr>
          <w:p>
            <w:pPr>
              <w:spacing w:after="0"/>
              <w:rPr>
                <w:sz w:val="16"/>
                <w:szCs w:val="16"/>
                <w:color w:val="auto"/>
              </w:rPr>
            </w:pPr>
          </w:p>
        </w:tc>
        <w:tc>
          <w:tcPr>
            <w:tcW w:w="1540" w:type="dxa"/>
            <w:vAlign w:val="bottom"/>
          </w:tcPr>
          <w:p>
            <w:pPr>
              <w:jc w:val="right"/>
              <w:ind w:right="649"/>
              <w:spacing w:after="0"/>
              <w:rPr>
                <w:sz w:val="20"/>
                <w:szCs w:val="20"/>
                <w:color w:val="auto"/>
              </w:rPr>
            </w:pPr>
            <w:r>
              <w:rPr>
                <w:rFonts w:ascii="Arial" w:cs="Arial" w:eastAsia="Arial" w:hAnsi="Arial"/>
                <w:sz w:val="14"/>
                <w:szCs w:val="14"/>
                <w:color w:val="131E29"/>
              </w:rPr>
              <w:t>$62,002</w:t>
            </w:r>
          </w:p>
        </w:tc>
        <w:tc>
          <w:tcPr>
            <w:tcW w:w="720" w:type="dxa"/>
            <w:vAlign w:val="bottom"/>
          </w:tcPr>
          <w:p>
            <w:pPr>
              <w:spacing w:after="0"/>
              <w:rPr>
                <w:sz w:val="20"/>
                <w:szCs w:val="20"/>
                <w:color w:val="auto"/>
              </w:rPr>
            </w:pPr>
            <w:r>
              <w:rPr>
                <w:rFonts w:ascii="Arial" w:cs="Arial" w:eastAsia="Arial" w:hAnsi="Arial"/>
                <w:sz w:val="14"/>
                <w:szCs w:val="14"/>
                <w:color w:val="131E29"/>
              </w:rPr>
              <w:t>36.7%</w:t>
            </w:r>
          </w:p>
        </w:tc>
      </w:tr>
      <w:tr>
        <w:trPr>
          <w:trHeight w:val="350"/>
        </w:trPr>
        <w:tc>
          <w:tcPr>
            <w:tcW w:w="960" w:type="dxa"/>
            <w:vAlign w:val="bottom"/>
          </w:tcPr>
          <w:p>
            <w:pPr>
              <w:jc w:val="center"/>
              <w:ind w:left="129"/>
              <w:spacing w:after="0"/>
              <w:rPr>
                <w:sz w:val="20"/>
                <w:szCs w:val="20"/>
                <w:color w:val="auto"/>
              </w:rPr>
            </w:pPr>
            <w:r>
              <w:rPr>
                <w:rFonts w:ascii="Arial" w:cs="Arial" w:eastAsia="Arial" w:hAnsi="Arial"/>
                <w:sz w:val="14"/>
                <w:szCs w:val="14"/>
                <w:color w:val="131E29"/>
              </w:rPr>
              <w:t>27.6%</w:t>
            </w:r>
          </w:p>
        </w:tc>
        <w:tc>
          <w:tcPr>
            <w:tcW w:w="1380" w:type="dxa"/>
            <w:vAlign w:val="bottom"/>
            <w:gridSpan w:val="3"/>
          </w:tcPr>
          <w:p>
            <w:pPr>
              <w:jc w:val="center"/>
              <w:ind w:left="189"/>
              <w:spacing w:after="0"/>
              <w:rPr>
                <w:sz w:val="20"/>
                <w:szCs w:val="20"/>
                <w:color w:val="auto"/>
              </w:rPr>
            </w:pPr>
            <w:r>
              <w:rPr>
                <w:rFonts w:ascii="Arial" w:cs="Arial" w:eastAsia="Arial" w:hAnsi="Arial"/>
                <w:sz w:val="14"/>
                <w:szCs w:val="14"/>
                <w:color w:val="131E29"/>
              </w:rPr>
              <w:t>26.0%</w:t>
            </w:r>
          </w:p>
        </w:tc>
        <w:tc>
          <w:tcPr>
            <w:tcW w:w="80" w:type="dxa"/>
            <w:vAlign w:val="bottom"/>
          </w:tcPr>
          <w:p>
            <w:pPr>
              <w:spacing w:after="0"/>
              <w:rPr>
                <w:sz w:val="24"/>
                <w:szCs w:val="24"/>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131E29"/>
              </w:rPr>
              <w:t>N/A</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131E29"/>
              </w:rPr>
              <w:t>160 bps</w:t>
            </w:r>
          </w:p>
        </w:tc>
        <w:tc>
          <w:tcPr>
            <w:tcW w:w="1160" w:type="dxa"/>
            <w:vAlign w:val="bottom"/>
          </w:tcPr>
          <w:p>
            <w:pPr>
              <w:jc w:val="center"/>
              <w:spacing w:after="0"/>
              <w:rPr>
                <w:sz w:val="20"/>
                <w:szCs w:val="20"/>
                <w:color w:val="auto"/>
              </w:rPr>
            </w:pPr>
            <w:r>
              <w:rPr>
                <w:rFonts w:ascii="Arial" w:cs="Arial" w:eastAsia="Arial" w:hAnsi="Arial"/>
                <w:sz w:val="14"/>
                <w:szCs w:val="14"/>
                <w:color w:val="131E29"/>
              </w:rPr>
              <w:t>27.1%</w:t>
            </w:r>
          </w:p>
        </w:tc>
        <w:tc>
          <w:tcPr>
            <w:tcW w:w="1240" w:type="dxa"/>
            <w:vAlign w:val="bottom"/>
            <w:gridSpan w:val="2"/>
          </w:tcPr>
          <w:p>
            <w:pPr>
              <w:jc w:val="center"/>
              <w:ind w:left="29"/>
              <w:spacing w:after="0"/>
              <w:rPr>
                <w:sz w:val="20"/>
                <w:szCs w:val="20"/>
                <w:color w:val="auto"/>
              </w:rPr>
            </w:pPr>
            <w:r>
              <w:rPr>
                <w:rFonts w:ascii="Arial" w:cs="Arial" w:eastAsia="Arial" w:hAnsi="Arial"/>
                <w:sz w:val="14"/>
                <w:szCs w:val="14"/>
                <w:color w:val="131E29"/>
              </w:rPr>
              <w:t>26.8%</w:t>
            </w:r>
          </w:p>
        </w:tc>
        <w:tc>
          <w:tcPr>
            <w:tcW w:w="100" w:type="dxa"/>
            <w:vAlign w:val="bottom"/>
          </w:tcPr>
          <w:p>
            <w:pPr>
              <w:spacing w:after="0"/>
              <w:rPr>
                <w:sz w:val="24"/>
                <w:szCs w:val="24"/>
                <w:color w:val="auto"/>
              </w:rPr>
            </w:pPr>
          </w:p>
        </w:tc>
        <w:tc>
          <w:tcPr>
            <w:tcW w:w="1540" w:type="dxa"/>
            <w:vAlign w:val="bottom"/>
          </w:tcPr>
          <w:p>
            <w:pPr>
              <w:jc w:val="center"/>
              <w:ind w:right="329"/>
              <w:spacing w:after="0"/>
              <w:rPr>
                <w:sz w:val="20"/>
                <w:szCs w:val="20"/>
                <w:color w:val="auto"/>
              </w:rPr>
            </w:pPr>
            <w:r>
              <w:rPr>
                <w:rFonts w:ascii="Arial" w:cs="Arial" w:eastAsia="Arial" w:hAnsi="Arial"/>
                <w:sz w:val="14"/>
                <w:szCs w:val="14"/>
                <w:color w:val="131E29"/>
                <w:w w:val="94"/>
              </w:rPr>
              <w:t>N/A</w:t>
            </w:r>
          </w:p>
        </w:tc>
        <w:tc>
          <w:tcPr>
            <w:tcW w:w="720" w:type="dxa"/>
            <w:vAlign w:val="bottom"/>
          </w:tcPr>
          <w:p>
            <w:pPr>
              <w:spacing w:after="0"/>
              <w:rPr>
                <w:sz w:val="20"/>
                <w:szCs w:val="20"/>
                <w:color w:val="auto"/>
              </w:rPr>
            </w:pPr>
            <w:r>
              <w:rPr>
                <w:rFonts w:ascii="Arial" w:cs="Arial" w:eastAsia="Arial" w:hAnsi="Arial"/>
                <w:sz w:val="14"/>
                <w:szCs w:val="14"/>
                <w:color w:val="131E29"/>
              </w:rPr>
              <w:t>30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-350520</wp:posOffset>
            </wp:positionV>
            <wp:extent cx="7161530" cy="141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1680" w:space="220"/>
            <w:col w:w="9380"/>
          </w:cols>
          <w:pgMar w:left="300" w:top="133" w:right="319" w:bottom="1440" w:gutter="0" w:footer="0" w:header="0"/>
        </w:sect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labor costs impacts for the year-over-year comparison, presented in dollars and basis points (as a percentage of current year company-operated shop revenues), were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55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131E29"/>
            </w:tcBorders>
          </w:tcPr>
          <w:p>
            <w:pPr>
              <w:jc w:val="right"/>
              <w:ind w:right="435"/>
              <w:spacing w:after="0"/>
              <w:rPr>
                <w:sz w:val="20"/>
                <w:szCs w:val="20"/>
                <w:color w:val="auto"/>
              </w:rPr>
            </w:pPr>
            <w:r>
              <w:rPr>
                <w:rFonts w:ascii="Arial" w:cs="Arial" w:eastAsia="Arial" w:hAnsi="Arial"/>
                <w:sz w:val="14"/>
                <w:szCs w:val="14"/>
                <w:b w:val="1"/>
                <w:bCs w:val="1"/>
                <w:color w:val="131E29"/>
              </w:rPr>
              <w:t>BPS</w:t>
            </w:r>
          </w:p>
        </w:tc>
      </w:tr>
      <w:tr>
        <w:trPr>
          <w:trHeight w:val="187"/>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17,086</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30</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Wage inflation</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7,510</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240</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Volume</w:t>
            </w:r>
          </w:p>
        </w:tc>
        <w:tc>
          <w:tcPr>
            <w:tcW w:w="360" w:type="dxa"/>
            <w:vAlign w:val="bottom"/>
            <w:shd w:val="clear" w:color="auto" w:fill="D2DCE5"/>
          </w:tcPr>
          <w:p>
            <w:pPr>
              <w:spacing w:after="0"/>
              <w:rPr>
                <w:sz w:val="17"/>
                <w:szCs w:val="17"/>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97</w:t>
            </w:r>
          </w:p>
        </w:tc>
        <w:tc>
          <w:tcPr>
            <w:tcW w:w="80" w:type="dxa"/>
            <w:vAlign w:val="bottom"/>
            <w:shd w:val="clear" w:color="auto" w:fill="D2DCE5"/>
          </w:tcPr>
          <w:p>
            <w:pPr>
              <w:spacing w:after="0"/>
              <w:rPr>
                <w:sz w:val="17"/>
                <w:szCs w:val="17"/>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Pricing impacts</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1320" w:type="dxa"/>
            <w:vAlign w:val="bottom"/>
          </w:tcPr>
          <w:p>
            <w:pPr>
              <w:jc w:val="right"/>
              <w:spacing w:after="0"/>
              <w:rPr>
                <w:sz w:val="20"/>
                <w:szCs w:val="20"/>
                <w:color w:val="auto"/>
              </w:rPr>
            </w:pPr>
            <w:r>
              <w:rPr>
                <w:rFonts w:ascii="Arial" w:cs="Arial" w:eastAsia="Arial" w:hAnsi="Arial"/>
                <w:sz w:val="13"/>
                <w:szCs w:val="13"/>
                <w:color w:val="131E29"/>
              </w:rPr>
              <w:t>(100)</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Staffing management and other</w:t>
            </w:r>
          </w:p>
        </w:tc>
        <w:tc>
          <w:tcPr>
            <w:tcW w:w="360" w:type="dxa"/>
            <w:vAlign w:val="bottom"/>
            <w:tcBorders>
              <w:bottom w:val="single" w:sz="8" w:color="auto"/>
            </w:tcBorders>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(1,070)</w:t>
            </w:r>
          </w:p>
        </w:tc>
        <w:tc>
          <w:tcPr>
            <w:tcW w:w="80" w:type="dxa"/>
            <w:vAlign w:val="bottom"/>
            <w:shd w:val="clear" w:color="auto" w:fill="D2DCE5"/>
          </w:tcPr>
          <w:p>
            <w:pPr>
              <w:spacing w:after="0"/>
              <w:rPr>
                <w:sz w:val="17"/>
                <w:szCs w:val="17"/>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(10)</w:t>
            </w:r>
          </w:p>
        </w:tc>
      </w:tr>
      <w:tr>
        <w:trPr>
          <w:trHeight w:val="178"/>
        </w:trPr>
        <w:tc>
          <w:tcPr>
            <w:tcW w:w="8560" w:type="dxa"/>
            <w:vAlign w:val="bottom"/>
            <w:gridSpan w:val="2"/>
          </w:tcPr>
          <w:p>
            <w:pPr>
              <w:ind w:left="100"/>
              <w:spacing w:after="0"/>
              <w:rPr>
                <w:sz w:val="20"/>
                <w:szCs w:val="20"/>
                <w:color w:val="auto"/>
              </w:rPr>
            </w:pPr>
            <w:r>
              <w:rPr>
                <w:rFonts w:ascii="Arial" w:cs="Arial" w:eastAsia="Arial" w:hAnsi="Arial"/>
                <w:sz w:val="13"/>
                <w:szCs w:val="13"/>
                <w:b w:val="1"/>
                <w:bCs w:val="1"/>
                <w:color w:val="131E29"/>
              </w:rPr>
              <w:t>Total change</w:t>
            </w:r>
          </w:p>
        </w:tc>
        <w:tc>
          <w:tcPr>
            <w:tcW w:w="360" w:type="dxa"/>
            <w:vAlign w:val="bottom"/>
            <w:tcBorders>
              <w:bottom w:val="single" w:sz="8" w:color="131E29"/>
            </w:tcBorders>
          </w:tcPr>
          <w:p>
            <w:pPr>
              <w:jc w:val="right"/>
              <w:ind w:right="196"/>
              <w:spacing w:after="0"/>
              <w:rPr>
                <w:sz w:val="20"/>
                <w:szCs w:val="20"/>
                <w:color w:val="auto"/>
              </w:rPr>
            </w:pPr>
            <w:r>
              <w:rPr>
                <w:rFonts w:ascii="Arial" w:cs="Arial" w:eastAsia="Arial" w:hAnsi="Arial"/>
                <w:sz w:val="13"/>
                <w:szCs w:val="13"/>
                <w:b w:val="1"/>
                <w:bCs w:val="1"/>
                <w:color w:val="131E29"/>
              </w:rPr>
              <w:t>$</w:t>
            </w: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3"/>
                <w:szCs w:val="13"/>
                <w:b w:val="1"/>
                <w:bCs w:val="1"/>
                <w:color w:val="131E29"/>
              </w:rPr>
              <w:t>23,623</w:t>
            </w:r>
          </w:p>
        </w:tc>
        <w:tc>
          <w:tcPr>
            <w:tcW w:w="80" w:type="dxa"/>
            <w:vAlign w:val="bottom"/>
          </w:tcPr>
          <w:p>
            <w:pPr>
              <w:spacing w:after="0"/>
              <w:rPr>
                <w:sz w:val="15"/>
                <w:szCs w:val="15"/>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3"/>
                <w:szCs w:val="13"/>
                <w:b w:val="1"/>
                <w:bCs w:val="1"/>
                <w:color w:val="131E29"/>
              </w:rPr>
              <w:t>160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labor costs impacts for the year-over-year comparison, presented in dollars and basis points (as a percentage of current year company-operated shop revenues), were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55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131E29"/>
            </w:tcBorders>
          </w:tcPr>
          <w:p>
            <w:pPr>
              <w:jc w:val="right"/>
              <w:ind w:right="435"/>
              <w:spacing w:after="0"/>
              <w:rPr>
                <w:sz w:val="20"/>
                <w:szCs w:val="20"/>
                <w:color w:val="auto"/>
              </w:rPr>
            </w:pPr>
            <w:r>
              <w:rPr>
                <w:rFonts w:ascii="Arial" w:cs="Arial" w:eastAsia="Arial" w:hAnsi="Arial"/>
                <w:sz w:val="14"/>
                <w:szCs w:val="14"/>
                <w:b w:val="1"/>
                <w:bCs w:val="1"/>
                <w:color w:val="131E29"/>
              </w:rPr>
              <w:t>BPS</w:t>
            </w:r>
          </w:p>
        </w:tc>
      </w:tr>
      <w:tr>
        <w:trPr>
          <w:trHeight w:val="187"/>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49,752</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Wage inflation</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17,747</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210</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Volume</w:t>
            </w:r>
          </w:p>
        </w:tc>
        <w:tc>
          <w:tcPr>
            <w:tcW w:w="360" w:type="dxa"/>
            <w:vAlign w:val="bottom"/>
            <w:shd w:val="clear" w:color="auto" w:fill="D2DCE5"/>
          </w:tcPr>
          <w:p>
            <w:pPr>
              <w:spacing w:after="0"/>
              <w:rPr>
                <w:sz w:val="17"/>
                <w:szCs w:val="17"/>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364</w:t>
            </w:r>
          </w:p>
        </w:tc>
        <w:tc>
          <w:tcPr>
            <w:tcW w:w="80" w:type="dxa"/>
            <w:vAlign w:val="bottom"/>
            <w:shd w:val="clear" w:color="auto" w:fill="D2DCE5"/>
          </w:tcPr>
          <w:p>
            <w:pPr>
              <w:spacing w:after="0"/>
              <w:rPr>
                <w:sz w:val="17"/>
                <w:szCs w:val="17"/>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Pricing impacts</w:t>
            </w:r>
          </w:p>
        </w:tc>
        <w:tc>
          <w:tcPr>
            <w:tcW w:w="3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1320" w:type="dxa"/>
            <w:vAlign w:val="bottom"/>
          </w:tcPr>
          <w:p>
            <w:pPr>
              <w:jc w:val="right"/>
              <w:spacing w:after="0"/>
              <w:rPr>
                <w:sz w:val="20"/>
                <w:szCs w:val="20"/>
                <w:color w:val="auto"/>
              </w:rPr>
            </w:pPr>
            <w:r>
              <w:rPr>
                <w:rFonts w:ascii="Arial" w:cs="Arial" w:eastAsia="Arial" w:hAnsi="Arial"/>
                <w:sz w:val="13"/>
                <w:szCs w:val="13"/>
                <w:color w:val="131E29"/>
              </w:rPr>
              <w:t>(120)</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Staffing management and other</w:t>
            </w:r>
          </w:p>
        </w:tc>
        <w:tc>
          <w:tcPr>
            <w:tcW w:w="360" w:type="dxa"/>
            <w:vAlign w:val="bottom"/>
            <w:tcBorders>
              <w:bottom w:val="single" w:sz="8" w:color="auto"/>
            </w:tcBorders>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(5,861)</w:t>
            </w:r>
          </w:p>
        </w:tc>
        <w:tc>
          <w:tcPr>
            <w:tcW w:w="80" w:type="dxa"/>
            <w:vAlign w:val="bottom"/>
            <w:shd w:val="clear" w:color="auto" w:fill="D2DCE5"/>
          </w:tcPr>
          <w:p>
            <w:pPr>
              <w:spacing w:after="0"/>
              <w:rPr>
                <w:sz w:val="17"/>
                <w:szCs w:val="17"/>
                <w:color w:val="auto"/>
              </w:rPr>
            </w:pP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(70)</w:t>
            </w:r>
          </w:p>
        </w:tc>
      </w:tr>
      <w:tr>
        <w:trPr>
          <w:trHeight w:val="178"/>
        </w:trPr>
        <w:tc>
          <w:tcPr>
            <w:tcW w:w="8560" w:type="dxa"/>
            <w:vAlign w:val="bottom"/>
            <w:gridSpan w:val="2"/>
          </w:tcPr>
          <w:p>
            <w:pPr>
              <w:ind w:left="100"/>
              <w:spacing w:after="0"/>
              <w:rPr>
                <w:sz w:val="20"/>
                <w:szCs w:val="20"/>
                <w:color w:val="auto"/>
              </w:rPr>
            </w:pPr>
            <w:r>
              <w:rPr>
                <w:rFonts w:ascii="Arial" w:cs="Arial" w:eastAsia="Arial" w:hAnsi="Arial"/>
                <w:sz w:val="13"/>
                <w:szCs w:val="13"/>
                <w:b w:val="1"/>
                <w:bCs w:val="1"/>
                <w:color w:val="131E29"/>
              </w:rPr>
              <w:t>Total change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131E2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62,002</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30</w:t>
            </w:r>
          </w:p>
        </w:tc>
      </w:tr>
    </w:tbl>
    <w:p>
      <w:pPr>
        <w:spacing w:after="0" w:line="189" w:lineRule="exact"/>
        <w:rPr>
          <w:sz w:val="20"/>
          <w:szCs w:val="20"/>
          <w:color w:val="auto"/>
        </w:rPr>
      </w:pPr>
    </w:p>
    <w:p>
      <w:pPr>
        <w:sectPr>
          <w:pgSz w:w="11900" w:h="16838" w:orient="portrait"/>
          <w:cols w:equalWidth="0" w:num="1">
            <w:col w:w="11280"/>
          </w:cols>
          <w:pgMar w:left="300" w:top="133" w:right="31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006098"/>
        </w:rPr>
        <w:t>Occupancy and Other Costs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unaudited)</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131E29"/>
        </w:rPr>
        <w:t>Occupancy and other costs</w:t>
      </w:r>
    </w:p>
    <w:p>
      <w:pPr>
        <w:spacing w:after="0" w:line="43" w:lineRule="exact"/>
        <w:rPr>
          <w:sz w:val="20"/>
          <w:szCs w:val="20"/>
          <w:color w:val="auto"/>
        </w:rPr>
      </w:pPr>
    </w:p>
    <w:p>
      <w:pPr>
        <w:ind w:left="20" w:right="220"/>
        <w:spacing w:after="0" w:line="305" w:lineRule="auto"/>
        <w:rPr>
          <w:sz w:val="20"/>
          <w:szCs w:val="20"/>
          <w:color w:val="auto"/>
        </w:rPr>
      </w:pPr>
      <w:r>
        <w:rPr>
          <w:rFonts w:ascii="Arial" w:cs="Arial" w:eastAsia="Arial" w:hAnsi="Arial"/>
          <w:sz w:val="12"/>
          <w:szCs w:val="12"/>
          <w:i w:val="1"/>
          <w:iCs w:val="1"/>
          <w:color w:val="131E29"/>
        </w:rPr>
        <w:t>As a percentage of company-operated shop revenues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40" w:type="dxa"/>
            <w:vAlign w:val="bottom"/>
          </w:tcPr>
          <w:p>
            <w:pPr>
              <w:spacing w:after="0"/>
              <w:rPr>
                <w:sz w:val="17"/>
                <w:szCs w:val="17"/>
                <w:color w:val="auto"/>
              </w:rPr>
            </w:pPr>
          </w:p>
        </w:tc>
        <w:tc>
          <w:tcPr>
            <w:tcW w:w="2720" w:type="dxa"/>
            <w:vAlign w:val="bottom"/>
            <w:gridSpan w:val="4"/>
          </w:tcPr>
          <w:p>
            <w:pPr>
              <w:ind w:left="160"/>
              <w:spacing w:after="0"/>
              <w:rPr>
                <w:sz w:val="20"/>
                <w:szCs w:val="20"/>
                <w:color w:val="auto"/>
              </w:rPr>
            </w:pPr>
            <w:r>
              <w:rPr>
                <w:rFonts w:ascii="Arial" w:cs="Arial" w:eastAsia="Arial" w:hAnsi="Arial"/>
                <w:sz w:val="14"/>
                <w:szCs w:val="14"/>
                <w:b w:val="1"/>
                <w:bCs w:val="1"/>
                <w:color w:val="131E29"/>
              </w:rPr>
              <w:t>Three Months Ended 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131E29"/>
              </w:rPr>
              <w:t>Nine Months Ended September 30,</w:t>
            </w:r>
          </w:p>
        </w:tc>
        <w:tc>
          <w:tcPr>
            <w:tcW w:w="720" w:type="dxa"/>
            <w:vAlign w:val="bottom"/>
            <w:tcBorders>
              <w:bottom w:val="single" w:sz="8" w:color="auto"/>
            </w:tcBorders>
          </w:tcPr>
          <w:p>
            <w:pPr>
              <w:spacing w:after="0"/>
              <w:rPr>
                <w:sz w:val="17"/>
                <w:szCs w:val="17"/>
                <w:color w:val="auto"/>
              </w:rPr>
            </w:pPr>
          </w:p>
        </w:tc>
      </w:tr>
      <w:tr>
        <w:trPr>
          <w:trHeight w:val="203"/>
        </w:trPr>
        <w:tc>
          <w:tcPr>
            <w:tcW w:w="640" w:type="dxa"/>
            <w:vAlign w:val="bottom"/>
          </w:tcPr>
          <w:p>
            <w:pPr>
              <w:jc w:val="center"/>
              <w:ind w:right="69"/>
              <w:spacing w:after="0"/>
              <w:rPr>
                <w:sz w:val="20"/>
                <w:szCs w:val="20"/>
                <w:color w:val="auto"/>
              </w:rPr>
            </w:pPr>
            <w:r>
              <w:rPr>
                <w:rFonts w:ascii="Arial" w:cs="Arial" w:eastAsia="Arial" w:hAnsi="Arial"/>
                <w:sz w:val="14"/>
                <w:szCs w:val="14"/>
                <w:b w:val="1"/>
                <w:bCs w:val="1"/>
                <w:color w:val="131E29"/>
                <w:w w:val="96"/>
              </w:rPr>
              <w:t>2024</w:t>
            </w:r>
          </w:p>
        </w:tc>
        <w:tc>
          <w:tcPr>
            <w:tcW w:w="220" w:type="dxa"/>
            <w:vAlign w:val="bottom"/>
          </w:tcPr>
          <w:p>
            <w:pPr>
              <w:spacing w:after="0"/>
              <w:rPr>
                <w:sz w:val="17"/>
                <w:szCs w:val="17"/>
                <w:color w:val="auto"/>
              </w:rPr>
            </w:pPr>
          </w:p>
        </w:tc>
        <w:tc>
          <w:tcPr>
            <w:tcW w:w="11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2180" w:type="dxa"/>
            <w:vAlign w:val="bottom"/>
            <w:tcBorders>
              <w:bottom w:val="single" w:sz="8" w:color="131E29"/>
            </w:tcBorders>
            <w:gridSpan w:val="2"/>
          </w:tcPr>
          <w:p>
            <w:pPr>
              <w:ind w:left="68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Pr>
          <w:p>
            <w:pPr>
              <w:spacing w:after="0"/>
              <w:rPr>
                <w:sz w:val="17"/>
                <w:szCs w:val="17"/>
                <w:color w:val="auto"/>
              </w:rPr>
            </w:pPr>
          </w:p>
        </w:tc>
        <w:tc>
          <w:tcPr>
            <w:tcW w:w="11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7"/>
                <w:szCs w:val="17"/>
                <w:color w:val="auto"/>
              </w:rPr>
            </w:pPr>
          </w:p>
        </w:tc>
        <w:tc>
          <w:tcPr>
            <w:tcW w:w="114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100" w:type="dxa"/>
            <w:vAlign w:val="bottom"/>
          </w:tcPr>
          <w:p>
            <w:pPr>
              <w:spacing w:after="0"/>
              <w:rPr>
                <w:sz w:val="17"/>
                <w:szCs w:val="17"/>
                <w:color w:val="auto"/>
              </w:rPr>
            </w:pPr>
          </w:p>
        </w:tc>
        <w:tc>
          <w:tcPr>
            <w:tcW w:w="1540" w:type="dxa"/>
            <w:vAlign w:val="bottom"/>
            <w:tcBorders>
              <w:bottom w:val="single" w:sz="8" w:color="131E29"/>
            </w:tcBorders>
          </w:tcPr>
          <w:p>
            <w:pPr>
              <w:ind w:left="720"/>
              <w:spacing w:after="0"/>
              <w:rPr>
                <w:sz w:val="20"/>
                <w:szCs w:val="20"/>
                <w:color w:val="auto"/>
              </w:rPr>
            </w:pPr>
            <w:r>
              <w:rPr>
                <w:rFonts w:ascii="Arial" w:cs="Arial" w:eastAsia="Arial" w:hAnsi="Arial"/>
                <w:sz w:val="14"/>
                <w:szCs w:val="14"/>
                <w:b w:val="1"/>
                <w:bCs w:val="1"/>
                <w:color w:val="131E29"/>
                <w:w w:val="97"/>
              </w:rPr>
              <w:t>2024 v. 2023</w:t>
            </w:r>
          </w:p>
        </w:tc>
        <w:tc>
          <w:tcPr>
            <w:tcW w:w="720" w:type="dxa"/>
            <w:vAlign w:val="bottom"/>
            <w:tcBorders>
              <w:bottom w:val="single" w:sz="8" w:color="131E29"/>
            </w:tcBorders>
          </w:tcPr>
          <w:p>
            <w:pPr>
              <w:spacing w:after="0"/>
              <w:rPr>
                <w:sz w:val="17"/>
                <w:szCs w:val="17"/>
                <w:color w:val="auto"/>
              </w:rPr>
            </w:pPr>
          </w:p>
        </w:tc>
      </w:tr>
      <w:tr>
        <w:trPr>
          <w:trHeight w:val="193"/>
        </w:trPr>
        <w:tc>
          <w:tcPr>
            <w:tcW w:w="640" w:type="dxa"/>
            <w:vAlign w:val="bottom"/>
          </w:tcPr>
          <w:p>
            <w:pPr>
              <w:jc w:val="center"/>
              <w:ind w:right="69"/>
              <w:spacing w:after="0"/>
              <w:rPr>
                <w:sz w:val="20"/>
                <w:szCs w:val="20"/>
                <w:color w:val="auto"/>
              </w:rPr>
            </w:pPr>
            <w:r>
              <w:rPr>
                <w:rFonts w:ascii="Arial" w:cs="Arial" w:eastAsia="Arial" w:hAnsi="Arial"/>
                <w:sz w:val="14"/>
                <w:szCs w:val="14"/>
                <w:color w:val="131E29"/>
                <w:w w:val="98"/>
              </w:rPr>
              <w:t>$50,693</w:t>
            </w:r>
          </w:p>
        </w:tc>
        <w:tc>
          <w:tcPr>
            <w:tcW w:w="1380" w:type="dxa"/>
            <w:vAlign w:val="bottom"/>
            <w:gridSpan w:val="2"/>
          </w:tcPr>
          <w:p>
            <w:pPr>
              <w:jc w:val="center"/>
              <w:ind w:left="149"/>
              <w:spacing w:after="0"/>
              <w:rPr>
                <w:sz w:val="20"/>
                <w:szCs w:val="20"/>
                <w:color w:val="auto"/>
              </w:rPr>
            </w:pPr>
            <w:r>
              <w:rPr>
                <w:rFonts w:ascii="Arial" w:cs="Arial" w:eastAsia="Arial" w:hAnsi="Arial"/>
                <w:sz w:val="14"/>
                <w:szCs w:val="14"/>
                <w:color w:val="131E29"/>
              </w:rPr>
              <w:t>$36,126</w:t>
            </w:r>
          </w:p>
        </w:tc>
        <w:tc>
          <w:tcPr>
            <w:tcW w:w="80" w:type="dxa"/>
            <w:vAlign w:val="bottom"/>
          </w:tcPr>
          <w:p>
            <w:pPr>
              <w:spacing w:after="0"/>
              <w:rPr>
                <w:sz w:val="16"/>
                <w:szCs w:val="16"/>
                <w:color w:val="auto"/>
              </w:rPr>
            </w:pPr>
          </w:p>
        </w:tc>
        <w:tc>
          <w:tcPr>
            <w:tcW w:w="1260" w:type="dxa"/>
            <w:vAlign w:val="bottom"/>
          </w:tcPr>
          <w:p>
            <w:pPr>
              <w:jc w:val="right"/>
              <w:ind w:right="389"/>
              <w:spacing w:after="0"/>
              <w:rPr>
                <w:sz w:val="20"/>
                <w:szCs w:val="20"/>
                <w:color w:val="auto"/>
              </w:rPr>
            </w:pPr>
            <w:r>
              <w:rPr>
                <w:rFonts w:ascii="Arial" w:cs="Arial" w:eastAsia="Arial" w:hAnsi="Arial"/>
                <w:sz w:val="14"/>
                <w:szCs w:val="14"/>
                <w:color w:val="131E29"/>
              </w:rPr>
              <w:t>$14,567</w:t>
            </w:r>
          </w:p>
        </w:tc>
        <w:tc>
          <w:tcPr>
            <w:tcW w:w="920" w:type="dxa"/>
            <w:vAlign w:val="bottom"/>
          </w:tcPr>
          <w:p>
            <w:pPr>
              <w:jc w:val="right"/>
              <w:ind w:right="249"/>
              <w:spacing w:after="0"/>
              <w:rPr>
                <w:sz w:val="20"/>
                <w:szCs w:val="20"/>
                <w:color w:val="auto"/>
              </w:rPr>
            </w:pPr>
            <w:r>
              <w:rPr>
                <w:rFonts w:ascii="Arial" w:cs="Arial" w:eastAsia="Arial" w:hAnsi="Arial"/>
                <w:sz w:val="14"/>
                <w:szCs w:val="14"/>
                <w:color w:val="131E29"/>
              </w:rPr>
              <w:t>40.3%</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131E29"/>
              </w:rPr>
              <w:t>$136,466</w:t>
            </w:r>
          </w:p>
        </w:tc>
        <w:tc>
          <w:tcPr>
            <w:tcW w:w="1220" w:type="dxa"/>
            <w:vAlign w:val="bottom"/>
            <w:gridSpan w:val="2"/>
          </w:tcPr>
          <w:p>
            <w:pPr>
              <w:jc w:val="center"/>
              <w:ind w:left="29"/>
              <w:spacing w:after="0"/>
              <w:rPr>
                <w:sz w:val="20"/>
                <w:szCs w:val="20"/>
                <w:color w:val="auto"/>
              </w:rPr>
            </w:pPr>
            <w:r>
              <w:rPr>
                <w:rFonts w:ascii="Arial" w:cs="Arial" w:eastAsia="Arial" w:hAnsi="Arial"/>
                <w:sz w:val="14"/>
                <w:szCs w:val="14"/>
                <w:color w:val="131E29"/>
              </w:rPr>
              <w:t>$99,327</w:t>
            </w:r>
          </w:p>
        </w:tc>
        <w:tc>
          <w:tcPr>
            <w:tcW w:w="100" w:type="dxa"/>
            <w:vAlign w:val="bottom"/>
          </w:tcPr>
          <w:p>
            <w:pPr>
              <w:spacing w:after="0"/>
              <w:rPr>
                <w:sz w:val="16"/>
                <w:szCs w:val="16"/>
                <w:color w:val="auto"/>
              </w:rPr>
            </w:pPr>
          </w:p>
        </w:tc>
        <w:tc>
          <w:tcPr>
            <w:tcW w:w="1540" w:type="dxa"/>
            <w:vAlign w:val="bottom"/>
          </w:tcPr>
          <w:p>
            <w:pPr>
              <w:jc w:val="right"/>
              <w:ind w:right="649"/>
              <w:spacing w:after="0"/>
              <w:rPr>
                <w:sz w:val="20"/>
                <w:szCs w:val="20"/>
                <w:color w:val="auto"/>
              </w:rPr>
            </w:pPr>
            <w:r>
              <w:rPr>
                <w:rFonts w:ascii="Arial" w:cs="Arial" w:eastAsia="Arial" w:hAnsi="Arial"/>
                <w:sz w:val="14"/>
                <w:szCs w:val="14"/>
                <w:color w:val="131E29"/>
              </w:rPr>
              <w:t>$37,139</w:t>
            </w:r>
          </w:p>
        </w:tc>
        <w:tc>
          <w:tcPr>
            <w:tcW w:w="720" w:type="dxa"/>
            <w:vAlign w:val="bottom"/>
          </w:tcPr>
          <w:p>
            <w:pPr>
              <w:spacing w:after="0"/>
              <w:rPr>
                <w:sz w:val="20"/>
                <w:szCs w:val="20"/>
                <w:color w:val="auto"/>
              </w:rPr>
            </w:pPr>
            <w:r>
              <w:rPr>
                <w:rFonts w:ascii="Arial" w:cs="Arial" w:eastAsia="Arial" w:hAnsi="Arial"/>
                <w:sz w:val="14"/>
                <w:szCs w:val="14"/>
                <w:color w:val="131E29"/>
              </w:rPr>
              <w:t>37.4%</w:t>
            </w:r>
          </w:p>
        </w:tc>
      </w:tr>
      <w:tr>
        <w:trPr>
          <w:trHeight w:val="350"/>
        </w:trPr>
        <w:tc>
          <w:tcPr>
            <w:tcW w:w="640" w:type="dxa"/>
            <w:vAlign w:val="bottom"/>
          </w:tcPr>
          <w:p>
            <w:pPr>
              <w:jc w:val="center"/>
              <w:ind w:right="89"/>
              <w:spacing w:after="0"/>
              <w:rPr>
                <w:sz w:val="20"/>
                <w:szCs w:val="20"/>
                <w:color w:val="auto"/>
              </w:rPr>
            </w:pPr>
            <w:r>
              <w:rPr>
                <w:rFonts w:ascii="Arial" w:cs="Arial" w:eastAsia="Arial" w:hAnsi="Arial"/>
                <w:sz w:val="14"/>
                <w:szCs w:val="14"/>
                <w:color w:val="131E29"/>
              </w:rPr>
              <w:t>16.4%</w:t>
            </w:r>
          </w:p>
        </w:tc>
        <w:tc>
          <w:tcPr>
            <w:tcW w:w="1380" w:type="dxa"/>
            <w:vAlign w:val="bottom"/>
            <w:gridSpan w:val="2"/>
          </w:tcPr>
          <w:p>
            <w:pPr>
              <w:jc w:val="center"/>
              <w:ind w:left="149"/>
              <w:spacing w:after="0"/>
              <w:rPr>
                <w:sz w:val="20"/>
                <w:szCs w:val="20"/>
                <w:color w:val="auto"/>
              </w:rPr>
            </w:pPr>
            <w:r>
              <w:rPr>
                <w:rFonts w:ascii="Arial" w:cs="Arial" w:eastAsia="Arial" w:hAnsi="Arial"/>
                <w:sz w:val="14"/>
                <w:szCs w:val="14"/>
                <w:color w:val="131E29"/>
              </w:rPr>
              <w:t>15.3%</w:t>
            </w:r>
          </w:p>
        </w:tc>
        <w:tc>
          <w:tcPr>
            <w:tcW w:w="80" w:type="dxa"/>
            <w:vAlign w:val="bottom"/>
          </w:tcPr>
          <w:p>
            <w:pPr>
              <w:spacing w:after="0"/>
              <w:rPr>
                <w:sz w:val="24"/>
                <w:szCs w:val="24"/>
                <w:color w:val="auto"/>
              </w:rPr>
            </w:pPr>
          </w:p>
        </w:tc>
        <w:tc>
          <w:tcPr>
            <w:tcW w:w="1260" w:type="dxa"/>
            <w:vAlign w:val="bottom"/>
          </w:tcPr>
          <w:p>
            <w:pPr>
              <w:jc w:val="center"/>
              <w:ind w:right="109"/>
              <w:spacing w:after="0"/>
              <w:rPr>
                <w:sz w:val="20"/>
                <w:szCs w:val="20"/>
                <w:color w:val="auto"/>
              </w:rPr>
            </w:pPr>
            <w:r>
              <w:rPr>
                <w:rFonts w:ascii="Arial" w:cs="Arial" w:eastAsia="Arial" w:hAnsi="Arial"/>
                <w:sz w:val="14"/>
                <w:szCs w:val="14"/>
                <w:color w:val="131E29"/>
              </w:rPr>
              <w:t>N/A</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131E29"/>
              </w:rPr>
              <w:t>110 bps</w:t>
            </w:r>
          </w:p>
        </w:tc>
        <w:tc>
          <w:tcPr>
            <w:tcW w:w="1160" w:type="dxa"/>
            <w:vAlign w:val="bottom"/>
          </w:tcPr>
          <w:p>
            <w:pPr>
              <w:jc w:val="center"/>
              <w:spacing w:after="0"/>
              <w:rPr>
                <w:sz w:val="20"/>
                <w:szCs w:val="20"/>
                <w:color w:val="auto"/>
              </w:rPr>
            </w:pPr>
            <w:r>
              <w:rPr>
                <w:rFonts w:ascii="Arial" w:cs="Arial" w:eastAsia="Arial" w:hAnsi="Arial"/>
                <w:sz w:val="14"/>
                <w:szCs w:val="14"/>
                <w:color w:val="131E29"/>
              </w:rPr>
              <w:t>16.0%</w:t>
            </w:r>
          </w:p>
        </w:tc>
        <w:tc>
          <w:tcPr>
            <w:tcW w:w="1220" w:type="dxa"/>
            <w:vAlign w:val="bottom"/>
            <w:gridSpan w:val="2"/>
          </w:tcPr>
          <w:p>
            <w:pPr>
              <w:jc w:val="center"/>
              <w:ind w:left="29"/>
              <w:spacing w:after="0"/>
              <w:rPr>
                <w:sz w:val="20"/>
                <w:szCs w:val="20"/>
                <w:color w:val="auto"/>
              </w:rPr>
            </w:pPr>
            <w:r>
              <w:rPr>
                <w:rFonts w:ascii="Arial" w:cs="Arial" w:eastAsia="Arial" w:hAnsi="Arial"/>
                <w:sz w:val="14"/>
                <w:szCs w:val="14"/>
                <w:color w:val="131E29"/>
              </w:rPr>
              <w:t>15.8%</w:t>
            </w:r>
          </w:p>
        </w:tc>
        <w:tc>
          <w:tcPr>
            <w:tcW w:w="100" w:type="dxa"/>
            <w:vAlign w:val="bottom"/>
          </w:tcPr>
          <w:p>
            <w:pPr>
              <w:spacing w:after="0"/>
              <w:rPr>
                <w:sz w:val="24"/>
                <w:szCs w:val="24"/>
                <w:color w:val="auto"/>
              </w:rPr>
            </w:pPr>
          </w:p>
        </w:tc>
        <w:tc>
          <w:tcPr>
            <w:tcW w:w="1540" w:type="dxa"/>
            <w:vAlign w:val="bottom"/>
          </w:tcPr>
          <w:p>
            <w:pPr>
              <w:jc w:val="center"/>
              <w:ind w:right="329"/>
              <w:spacing w:after="0"/>
              <w:rPr>
                <w:sz w:val="20"/>
                <w:szCs w:val="20"/>
                <w:color w:val="auto"/>
              </w:rPr>
            </w:pPr>
            <w:r>
              <w:rPr>
                <w:rFonts w:ascii="Arial" w:cs="Arial" w:eastAsia="Arial" w:hAnsi="Arial"/>
                <w:sz w:val="14"/>
                <w:szCs w:val="14"/>
                <w:color w:val="131E29"/>
                <w:w w:val="94"/>
              </w:rPr>
              <w:t>N/A</w:t>
            </w:r>
          </w:p>
        </w:tc>
        <w:tc>
          <w:tcPr>
            <w:tcW w:w="720" w:type="dxa"/>
            <w:vAlign w:val="bottom"/>
          </w:tcPr>
          <w:p>
            <w:pPr>
              <w:spacing w:after="0"/>
              <w:rPr>
                <w:sz w:val="20"/>
                <w:szCs w:val="20"/>
                <w:color w:val="auto"/>
              </w:rPr>
            </w:pPr>
            <w:r>
              <w:rPr>
                <w:rFonts w:ascii="Arial" w:cs="Arial" w:eastAsia="Arial" w:hAnsi="Arial"/>
                <w:sz w:val="14"/>
                <w:szCs w:val="14"/>
                <w:color w:val="131E29"/>
              </w:rPr>
              <w:t>20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-350520</wp:posOffset>
            </wp:positionV>
            <wp:extent cx="7161530" cy="141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-492125</wp:posOffset>
            </wp:positionV>
            <wp:extent cx="289687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6870" cy="698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1900" w:space="280"/>
            <w:col w:w="9100"/>
          </w:cols>
          <w:pgMar w:left="300" w:top="13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60"/>
        <w:spacing w:after="0"/>
        <w:rPr>
          <w:sz w:val="20"/>
          <w:szCs w:val="20"/>
          <w:color w:val="auto"/>
        </w:rPr>
      </w:pPr>
      <w:r>
        <w:rPr>
          <w:sz w:val="1"/>
          <w:szCs w:val="1"/>
          <w:color w:val="auto"/>
        </w:rPr>
        <w:drawing>
          <wp:inline distT="0" distB="0" distL="0" distR="0">
            <wp:extent cx="134620" cy="18859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occupancy and other costs impacts for the year-over-year comparison, presented in dollars and basis points (as a percentage of current year company-operated shop revenues), were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55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131E29"/>
            </w:tcBorders>
          </w:tcPr>
          <w:p>
            <w:pPr>
              <w:jc w:val="right"/>
              <w:ind w:right="435"/>
              <w:spacing w:after="0"/>
              <w:rPr>
                <w:sz w:val="20"/>
                <w:szCs w:val="20"/>
                <w:color w:val="auto"/>
              </w:rPr>
            </w:pPr>
            <w:r>
              <w:rPr>
                <w:rFonts w:ascii="Arial" w:cs="Arial" w:eastAsia="Arial" w:hAnsi="Arial"/>
                <w:sz w:val="14"/>
                <w:szCs w:val="14"/>
                <w:b w:val="1"/>
                <w:bCs w:val="1"/>
                <w:color w:val="131E29"/>
              </w:rPr>
              <w:t>BPS</w:t>
            </w:r>
          </w:p>
        </w:tc>
      </w:tr>
      <w:tr>
        <w:trPr>
          <w:trHeight w:val="187"/>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10,954</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40</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Repairs and maintenance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2,028</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70</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360" w:type="dxa"/>
            <w:vAlign w:val="bottom"/>
            <w:shd w:val="clear" w:color="auto" w:fill="D2DCE5"/>
          </w:tcPr>
          <w:p>
            <w:pPr>
              <w:spacing w:after="0"/>
              <w:rPr>
                <w:sz w:val="17"/>
                <w:szCs w:val="17"/>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452</w:t>
            </w:r>
          </w:p>
        </w:tc>
        <w:tc>
          <w:tcPr>
            <w:tcW w:w="80" w:type="dxa"/>
            <w:vAlign w:val="bottom"/>
            <w:shd w:val="clear" w:color="auto" w:fill="D2DCE5"/>
          </w:tcPr>
          <w:p>
            <w:pPr>
              <w:spacing w:after="0"/>
              <w:rPr>
                <w:sz w:val="17"/>
                <w:szCs w:val="17"/>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(40)</w:t>
            </w:r>
          </w:p>
        </w:tc>
      </w:tr>
      <w:tr>
        <w:trPr>
          <w:trHeight w:val="184"/>
        </w:trPr>
        <w:tc>
          <w:tcPr>
            <w:tcW w:w="8560" w:type="dxa"/>
            <w:vAlign w:val="bottom"/>
            <w:tcBorders>
              <w:bottom w:val="single" w:sz="8" w:color="D2DCE5"/>
            </w:tcBorders>
            <w:gridSpan w:val="2"/>
          </w:tcPr>
          <w:p>
            <w:pPr>
              <w:ind w:left="20"/>
              <w:spacing w:after="0"/>
              <w:rPr>
                <w:sz w:val="20"/>
                <w:szCs w:val="20"/>
                <w:color w:val="auto"/>
              </w:rPr>
            </w:pPr>
            <w:r>
              <w:rPr>
                <w:rFonts w:ascii="Arial" w:cs="Arial" w:eastAsia="Arial" w:hAnsi="Arial"/>
                <w:sz w:val="13"/>
                <w:szCs w:val="13"/>
                <w:color w:val="131E29"/>
              </w:rPr>
              <w:t>Other</w:t>
            </w:r>
          </w:p>
        </w:tc>
        <w:tc>
          <w:tcPr>
            <w:tcW w:w="360" w:type="dxa"/>
            <w:vAlign w:val="bottom"/>
            <w:tcBorders>
              <w:bottom w:val="single" w:sz="8" w:color="131E29"/>
            </w:tcBorders>
          </w:tcPr>
          <w:p>
            <w:pPr>
              <w:spacing w:after="0"/>
              <w:rPr>
                <w:sz w:val="16"/>
                <w:szCs w:val="16"/>
                <w:color w:val="auto"/>
              </w:rPr>
            </w:pP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1,133</w:t>
            </w:r>
          </w:p>
        </w:tc>
        <w:tc>
          <w:tcPr>
            <w:tcW w:w="80" w:type="dxa"/>
            <w:vAlign w:val="bottom"/>
            <w:tcBorders>
              <w:bottom w:val="single" w:sz="8" w:color="D2DCE5"/>
            </w:tcBorders>
          </w:tcPr>
          <w:p>
            <w:pPr>
              <w:spacing w:after="0"/>
              <w:rPr>
                <w:sz w:val="16"/>
                <w:szCs w:val="16"/>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3"/>
                <w:szCs w:val="13"/>
                <w:color w:val="131E29"/>
              </w:rPr>
              <w:t>40</w:t>
            </w:r>
          </w:p>
        </w:tc>
      </w:tr>
      <w:tr>
        <w:trPr>
          <w:trHeight w:val="185"/>
        </w:trPr>
        <w:tc>
          <w:tcPr>
            <w:tcW w:w="8560" w:type="dxa"/>
            <w:vAlign w:val="bottom"/>
            <w:gridSpan w:val="2"/>
            <w:shd w:val="clear" w:color="auto" w:fill="D2DCE5"/>
          </w:tcPr>
          <w:p>
            <w:pPr>
              <w:ind w:left="100"/>
              <w:spacing w:after="0"/>
              <w:rPr>
                <w:sz w:val="20"/>
                <w:szCs w:val="20"/>
                <w:color w:val="auto"/>
              </w:rPr>
            </w:pPr>
            <w:r>
              <w:rPr>
                <w:rFonts w:ascii="Arial" w:cs="Arial" w:eastAsia="Arial" w:hAnsi="Arial"/>
                <w:sz w:val="13"/>
                <w:szCs w:val="13"/>
                <w:b w:val="1"/>
                <w:bCs w:val="1"/>
                <w:color w:val="131E29"/>
              </w:rPr>
              <w:t>Total change</w:t>
            </w:r>
          </w:p>
        </w:tc>
        <w:tc>
          <w:tcPr>
            <w:tcW w:w="360" w:type="dxa"/>
            <w:vAlign w:val="bottom"/>
            <w:tcBorders>
              <w:bottom w:val="single" w:sz="8" w:color="131E29"/>
            </w:tcBorders>
            <w:shd w:val="clear" w:color="auto" w:fill="D2DCE5"/>
          </w:tcPr>
          <w:p>
            <w:pPr>
              <w:jc w:val="right"/>
              <w:ind w:right="196"/>
              <w:spacing w:after="0"/>
              <w:rPr>
                <w:sz w:val="20"/>
                <w:szCs w:val="20"/>
                <w:color w:val="auto"/>
              </w:rPr>
            </w:pPr>
            <w:r>
              <w:rPr>
                <w:rFonts w:ascii="Arial" w:cs="Arial" w:eastAsia="Arial" w:hAnsi="Arial"/>
                <w:sz w:val="13"/>
                <w:szCs w:val="13"/>
                <w:b w:val="1"/>
                <w:bCs w:val="1"/>
                <w:color w:val="131E29"/>
              </w:rPr>
              <w:t>$</w:t>
            </w:r>
          </w:p>
        </w:tc>
        <w:tc>
          <w:tcPr>
            <w:tcW w:w="9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14,567</w:t>
            </w:r>
          </w:p>
        </w:tc>
        <w:tc>
          <w:tcPr>
            <w:tcW w:w="80" w:type="dxa"/>
            <w:vAlign w:val="bottom"/>
            <w:shd w:val="clear" w:color="auto" w:fill="D2DCE5"/>
          </w:tcPr>
          <w:p>
            <w:pPr>
              <w:spacing w:after="0"/>
              <w:rPr>
                <w:sz w:val="16"/>
                <w:szCs w:val="16"/>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b w:val="1"/>
                <w:bCs w:val="1"/>
                <w:color w:val="131E29"/>
              </w:rPr>
              <w:t>110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occupancy and other costs impacts for the year-over-year comparison, presented in dollars and basis points (as a percentage of current year company-operated shop revenues), were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BPS; unaudited)</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960" w:type="dxa"/>
            <w:vAlign w:val="bottom"/>
            <w:tcBorders>
              <w:bottom w:val="single" w:sz="8" w:color="131E29"/>
            </w:tcBorders>
          </w:tcPr>
          <w:p>
            <w:pPr>
              <w:jc w:val="right"/>
              <w:ind w:right="555"/>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131E29"/>
            </w:tcBorders>
          </w:tcPr>
          <w:p>
            <w:pPr>
              <w:jc w:val="right"/>
              <w:ind w:right="435"/>
              <w:spacing w:after="0"/>
              <w:rPr>
                <w:sz w:val="20"/>
                <w:szCs w:val="20"/>
                <w:color w:val="auto"/>
              </w:rPr>
            </w:pPr>
            <w:r>
              <w:rPr>
                <w:rFonts w:ascii="Arial" w:cs="Arial" w:eastAsia="Arial" w:hAnsi="Arial"/>
                <w:sz w:val="14"/>
                <w:szCs w:val="14"/>
                <w:b w:val="1"/>
                <w:bCs w:val="1"/>
                <w:color w:val="131E29"/>
              </w:rPr>
              <w:t>BPS</w:t>
            </w:r>
          </w:p>
        </w:tc>
      </w:tr>
      <w:tr>
        <w:trPr>
          <w:trHeight w:val="187"/>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Shop weeks</w:t>
            </w:r>
          </w:p>
        </w:tc>
        <w:tc>
          <w:tcPr>
            <w:tcW w:w="360" w:type="dxa"/>
            <w:vAlign w:val="bottom"/>
            <w:shd w:val="clear" w:color="auto" w:fill="D2DCE5"/>
          </w:tcPr>
          <w:p>
            <w:pPr>
              <w:jc w:val="right"/>
              <w:ind w:right="196"/>
              <w:spacing w:after="0"/>
              <w:rPr>
                <w:sz w:val="20"/>
                <w:szCs w:val="20"/>
                <w:color w:val="auto"/>
              </w:rPr>
            </w:pPr>
            <w:r>
              <w:rPr>
                <w:rFonts w:ascii="Arial" w:cs="Arial" w:eastAsia="Arial" w:hAnsi="Arial"/>
                <w:sz w:val="13"/>
                <w:szCs w:val="13"/>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31,308</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20</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Repairs and maintenance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3,823</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40</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Pricing impacts</w:t>
            </w:r>
          </w:p>
        </w:tc>
        <w:tc>
          <w:tcPr>
            <w:tcW w:w="360" w:type="dxa"/>
            <w:vAlign w:val="bottom"/>
            <w:shd w:val="clear" w:color="auto" w:fill="D2DCE5"/>
          </w:tcPr>
          <w:p>
            <w:pPr>
              <w:spacing w:after="0"/>
              <w:rPr>
                <w:sz w:val="17"/>
                <w:szCs w:val="17"/>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1,390</w:t>
            </w:r>
          </w:p>
        </w:tc>
        <w:tc>
          <w:tcPr>
            <w:tcW w:w="80" w:type="dxa"/>
            <w:vAlign w:val="bottom"/>
            <w:shd w:val="clear" w:color="auto" w:fill="D2DCE5"/>
          </w:tcPr>
          <w:p>
            <w:pPr>
              <w:spacing w:after="0"/>
              <w:rPr>
                <w:sz w:val="17"/>
                <w:szCs w:val="17"/>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(50)</w:t>
            </w: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3"/>
                <w:szCs w:val="13"/>
                <w:color w:val="131E29"/>
              </w:rPr>
              <w:t>Volume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123</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8"/>
        </w:trPr>
        <w:tc>
          <w:tcPr>
            <w:tcW w:w="856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Other</w:t>
            </w:r>
          </w:p>
        </w:tc>
        <w:tc>
          <w:tcPr>
            <w:tcW w:w="360" w:type="dxa"/>
            <w:vAlign w:val="bottom"/>
            <w:tcBorders>
              <w:bottom w:val="single" w:sz="8" w:color="131E29"/>
            </w:tcBorders>
            <w:shd w:val="clear" w:color="auto" w:fill="D2DCE5"/>
          </w:tcPr>
          <w:p>
            <w:pPr>
              <w:spacing w:after="0"/>
              <w:rPr>
                <w:sz w:val="17"/>
                <w:szCs w:val="17"/>
                <w:color w:val="auto"/>
              </w:rPr>
            </w:pPr>
          </w:p>
        </w:tc>
        <w:tc>
          <w:tcPr>
            <w:tcW w:w="9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color w:val="131E29"/>
              </w:rPr>
              <w:t>495</w:t>
            </w:r>
          </w:p>
        </w:tc>
        <w:tc>
          <w:tcPr>
            <w:tcW w:w="80" w:type="dxa"/>
            <w:vAlign w:val="bottom"/>
            <w:shd w:val="clear" w:color="auto" w:fill="D2DCE5"/>
          </w:tcPr>
          <w:p>
            <w:pPr>
              <w:spacing w:after="0"/>
              <w:rPr>
                <w:sz w:val="17"/>
                <w:szCs w:val="17"/>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3"/>
                <w:szCs w:val="13"/>
                <w:color w:val="131E29"/>
              </w:rPr>
              <w:t>10</w:t>
            </w:r>
          </w:p>
        </w:tc>
      </w:tr>
      <w:tr>
        <w:trPr>
          <w:trHeight w:val="178"/>
        </w:trPr>
        <w:tc>
          <w:tcPr>
            <w:tcW w:w="8560" w:type="dxa"/>
            <w:vAlign w:val="bottom"/>
            <w:gridSpan w:val="2"/>
          </w:tcPr>
          <w:p>
            <w:pPr>
              <w:ind w:left="100"/>
              <w:spacing w:after="0"/>
              <w:rPr>
                <w:sz w:val="20"/>
                <w:szCs w:val="20"/>
                <w:color w:val="auto"/>
              </w:rPr>
            </w:pPr>
            <w:r>
              <w:rPr>
                <w:rFonts w:ascii="Arial" w:cs="Arial" w:eastAsia="Arial" w:hAnsi="Arial"/>
                <w:sz w:val="13"/>
                <w:szCs w:val="13"/>
                <w:b w:val="1"/>
                <w:bCs w:val="1"/>
                <w:color w:val="131E29"/>
              </w:rPr>
              <w:t>Total change</w:t>
            </w:r>
          </w:p>
        </w:tc>
        <w:tc>
          <w:tcPr>
            <w:tcW w:w="360" w:type="dxa"/>
            <w:vAlign w:val="bottom"/>
            <w:tcBorders>
              <w:bottom w:val="single" w:sz="8" w:color="131E29"/>
            </w:tcBorders>
          </w:tcPr>
          <w:p>
            <w:pPr>
              <w:jc w:val="right"/>
              <w:ind w:right="196"/>
              <w:spacing w:after="0"/>
              <w:rPr>
                <w:sz w:val="20"/>
                <w:szCs w:val="20"/>
                <w:color w:val="auto"/>
              </w:rPr>
            </w:pPr>
            <w:r>
              <w:rPr>
                <w:rFonts w:ascii="Arial" w:cs="Arial" w:eastAsia="Arial" w:hAnsi="Arial"/>
                <w:sz w:val="13"/>
                <w:szCs w:val="13"/>
                <w:b w:val="1"/>
                <w:bCs w:val="1"/>
                <w:color w:val="131E29"/>
              </w:rPr>
              <w:t>$</w:t>
            </w: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3"/>
                <w:szCs w:val="13"/>
                <w:b w:val="1"/>
                <w:bCs w:val="1"/>
                <w:color w:val="131E29"/>
              </w:rPr>
              <w:t>37,139</w:t>
            </w:r>
          </w:p>
        </w:tc>
        <w:tc>
          <w:tcPr>
            <w:tcW w:w="80" w:type="dxa"/>
            <w:vAlign w:val="bottom"/>
          </w:tcPr>
          <w:p>
            <w:pPr>
              <w:spacing w:after="0"/>
              <w:rPr>
                <w:sz w:val="15"/>
                <w:szCs w:val="15"/>
                <w:color w:val="auto"/>
              </w:rPr>
            </w:pP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3"/>
                <w:szCs w:val="13"/>
                <w:b w:val="1"/>
                <w:bCs w:val="1"/>
                <w:color w:val="131E29"/>
              </w:rPr>
              <w:t>20</w:t>
            </w:r>
          </w:p>
        </w:tc>
      </w:tr>
    </w:tbl>
    <w:p>
      <w:pPr>
        <w:spacing w:after="0" w:line="178" w:lineRule="exact"/>
        <w:rPr>
          <w:sz w:val="20"/>
          <w:szCs w:val="20"/>
          <w:color w:val="auto"/>
        </w:rPr>
      </w:pPr>
    </w:p>
    <w:p>
      <w:pPr>
        <w:sectPr>
          <w:pgSz w:w="11900" w:h="16838" w:orient="portrait"/>
          <w:cols w:equalWidth="0" w:num="1">
            <w:col w:w="11280"/>
          </w:cols>
          <w:pgMar w:left="300" w:top="133" w:right="319" w:bottom="1440" w:gutter="0" w:footer="0" w:header="0"/>
        </w:sectPr>
      </w:pPr>
    </w:p>
    <w:p>
      <w:pPr>
        <w:spacing w:after="0"/>
        <w:rPr>
          <w:sz w:val="20"/>
          <w:szCs w:val="20"/>
          <w:color w:val="auto"/>
        </w:rPr>
      </w:pPr>
      <w:r>
        <w:rPr>
          <w:rFonts w:ascii="Arial" w:cs="Arial" w:eastAsia="Arial" w:hAnsi="Arial"/>
          <w:sz w:val="14"/>
          <w:szCs w:val="14"/>
          <w:b w:val="1"/>
          <w:bCs w:val="1"/>
          <w:i w:val="1"/>
          <w:iCs w:val="1"/>
          <w:color w:val="006098"/>
        </w:rPr>
        <w:t>Pre-opening Costs</w:t>
      </w:r>
    </w:p>
    <w:p>
      <w:pPr>
        <w:spacing w:after="0" w:line="397" w:lineRule="exact"/>
        <w:rPr>
          <w:sz w:val="20"/>
          <w:szCs w:val="20"/>
          <w:color w:val="auto"/>
        </w:rPr>
      </w:pPr>
    </w:p>
    <w:p>
      <w:pPr>
        <w:ind w:left="20" w:right="80"/>
        <w:spacing w:after="0" w:line="303" w:lineRule="auto"/>
        <w:rPr>
          <w:sz w:val="20"/>
          <w:szCs w:val="20"/>
          <w:color w:val="auto"/>
        </w:rPr>
      </w:pPr>
      <w:r>
        <w:rPr>
          <w:rFonts w:ascii="Arial" w:cs="Arial" w:eastAsia="Arial" w:hAnsi="Arial"/>
          <w:sz w:val="11"/>
          <w:szCs w:val="11"/>
          <w:color w:val="131E29"/>
        </w:rPr>
        <w:t>(in thousands, except shop data; unaudited)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131E29"/>
        </w:rPr>
        <w:t>Pre-opening costs</w:t>
      </w:r>
    </w:p>
    <w:p>
      <w:pPr>
        <w:spacing w:after="0" w:line="43" w:lineRule="exact"/>
        <w:rPr>
          <w:sz w:val="20"/>
          <w:szCs w:val="20"/>
          <w:color w:val="auto"/>
        </w:rPr>
      </w:pPr>
    </w:p>
    <w:p>
      <w:pPr>
        <w:ind w:left="20" w:right="60"/>
        <w:spacing w:after="0" w:line="302" w:lineRule="auto"/>
        <w:rPr>
          <w:sz w:val="20"/>
          <w:szCs w:val="20"/>
          <w:color w:val="auto"/>
        </w:rPr>
      </w:pPr>
      <w:r>
        <w:rPr>
          <w:rFonts w:ascii="Arial" w:cs="Arial" w:eastAsia="Arial" w:hAnsi="Arial"/>
          <w:sz w:val="12"/>
          <w:szCs w:val="12"/>
          <w:i w:val="1"/>
          <w:iCs w:val="1"/>
          <w:color w:val="131E29"/>
        </w:rPr>
        <w:t>As a percentage of company-operated shop revenues</w:t>
      </w:r>
    </w:p>
    <w:p>
      <w:pPr>
        <w:spacing w:after="0" w:line="1" w:lineRule="exact"/>
        <w:rPr>
          <w:sz w:val="20"/>
          <w:szCs w:val="20"/>
          <w:color w:val="auto"/>
        </w:rPr>
      </w:pPr>
    </w:p>
    <w:p>
      <w:pPr>
        <w:ind w:left="20"/>
        <w:spacing w:after="0" w:line="281" w:lineRule="auto"/>
        <w:rPr>
          <w:sz w:val="20"/>
          <w:szCs w:val="20"/>
          <w:color w:val="auto"/>
        </w:rPr>
      </w:pPr>
      <w:r>
        <w:rPr>
          <w:rFonts w:ascii="Arial" w:cs="Arial" w:eastAsia="Arial" w:hAnsi="Arial"/>
          <w:sz w:val="13"/>
          <w:szCs w:val="13"/>
          <w:color w:val="131E29"/>
        </w:rPr>
        <w:t>New company-operated shops opened</w:t>
      </w:r>
    </w:p>
    <w:p>
      <w:pPr>
        <w:ind w:left="20" w:right="200"/>
        <w:spacing w:after="0" w:line="327" w:lineRule="auto"/>
        <w:rPr>
          <w:sz w:val="20"/>
          <w:szCs w:val="20"/>
          <w:color w:val="auto"/>
        </w:rPr>
      </w:pPr>
      <w:r>
        <w:rPr>
          <w:rFonts w:ascii="Arial" w:cs="Arial" w:eastAsia="Arial" w:hAnsi="Arial"/>
          <w:sz w:val="12"/>
          <w:szCs w:val="12"/>
          <w:color w:val="131E29"/>
        </w:rPr>
        <w:t>Pre-opening costs per new company-operated shop</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131E29"/>
              </w:rPr>
              <w:t>Three Months Ended September 30,</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131E29"/>
              </w:rPr>
              <w:t>Nine Months Ended September 30,</w:t>
            </w:r>
          </w:p>
        </w:tc>
      </w:tr>
      <w:tr>
        <w:trPr>
          <w:trHeight w:val="298"/>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24"/>
                <w:szCs w:val="24"/>
                <w:color w:val="auto"/>
              </w:rPr>
            </w:pPr>
          </w:p>
        </w:tc>
        <w:tc>
          <w:tcPr>
            <w:tcW w:w="102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100" w:type="dxa"/>
            <w:vAlign w:val="bottom"/>
          </w:tcPr>
          <w:p>
            <w:pPr>
              <w:spacing w:after="0"/>
              <w:rPr>
                <w:sz w:val="24"/>
                <w:szCs w:val="24"/>
                <w:color w:val="auto"/>
              </w:rPr>
            </w:pPr>
          </w:p>
        </w:tc>
        <w:tc>
          <w:tcPr>
            <w:tcW w:w="2240" w:type="dxa"/>
            <w:vAlign w:val="bottom"/>
            <w:tcBorders>
              <w:bottom w:val="single" w:sz="8" w:color="131E29"/>
            </w:tcBorders>
            <w:gridSpan w:val="2"/>
          </w:tcPr>
          <w:p>
            <w:pPr>
              <w:ind w:left="70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Pr>
          <w:p>
            <w:pPr>
              <w:spacing w:after="0"/>
              <w:rPr>
                <w:sz w:val="24"/>
                <w:szCs w:val="24"/>
                <w:color w:val="auto"/>
              </w:rPr>
            </w:pPr>
          </w:p>
        </w:tc>
        <w:tc>
          <w:tcPr>
            <w:tcW w:w="12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24"/>
                <w:szCs w:val="24"/>
                <w:color w:val="auto"/>
              </w:rPr>
            </w:pPr>
          </w:p>
        </w:tc>
        <w:tc>
          <w:tcPr>
            <w:tcW w:w="12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100" w:type="dxa"/>
            <w:vAlign w:val="bottom"/>
          </w:tcPr>
          <w:p>
            <w:pPr>
              <w:spacing w:after="0"/>
              <w:rPr>
                <w:sz w:val="24"/>
                <w:szCs w:val="24"/>
                <w:color w:val="auto"/>
              </w:rPr>
            </w:pPr>
          </w:p>
        </w:tc>
        <w:tc>
          <w:tcPr>
            <w:tcW w:w="700" w:type="dxa"/>
            <w:vAlign w:val="bottom"/>
            <w:tcBorders>
              <w:bottom w:val="single" w:sz="8" w:color="131E29"/>
            </w:tcBorders>
          </w:tcPr>
          <w:p>
            <w:pPr>
              <w:spacing w:after="0"/>
              <w:rPr>
                <w:sz w:val="24"/>
                <w:szCs w:val="24"/>
                <w:color w:val="auto"/>
              </w:rPr>
            </w:pPr>
          </w:p>
        </w:tc>
        <w:tc>
          <w:tcPr>
            <w:tcW w:w="1540" w:type="dxa"/>
            <w:vAlign w:val="bottom"/>
            <w:tcBorders>
              <w:bottom w:val="single" w:sz="8" w:color="131E29"/>
            </w:tcBorders>
          </w:tcPr>
          <w:p>
            <w:pPr>
              <w:ind w:left="20"/>
              <w:spacing w:after="0"/>
              <w:rPr>
                <w:sz w:val="20"/>
                <w:szCs w:val="20"/>
                <w:color w:val="auto"/>
              </w:rPr>
            </w:pPr>
            <w:r>
              <w:rPr>
                <w:rFonts w:ascii="Arial" w:cs="Arial" w:eastAsia="Arial" w:hAnsi="Arial"/>
                <w:sz w:val="14"/>
                <w:szCs w:val="14"/>
                <w:b w:val="1"/>
                <w:bCs w:val="1"/>
                <w:color w:val="131E29"/>
              </w:rPr>
              <w:t>2024 v. 2023</w:t>
            </w:r>
          </w:p>
        </w:tc>
      </w:tr>
      <w:tr>
        <w:trPr>
          <w:trHeight w:val="189"/>
        </w:trPr>
        <w:tc>
          <w:tcPr>
            <w:tcW w:w="1020" w:type="dxa"/>
            <w:vAlign w:val="bottom"/>
          </w:tcPr>
          <w:p>
            <w:pPr>
              <w:jc w:val="center"/>
              <w:spacing w:after="0"/>
              <w:rPr>
                <w:sz w:val="20"/>
                <w:szCs w:val="20"/>
                <w:color w:val="auto"/>
              </w:rPr>
            </w:pPr>
            <w:r>
              <w:rPr>
                <w:rFonts w:ascii="Arial" w:cs="Arial" w:eastAsia="Arial" w:hAnsi="Arial"/>
                <w:sz w:val="14"/>
                <w:szCs w:val="14"/>
                <w:color w:val="131E29"/>
              </w:rPr>
              <w:t>$3,551</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131E29"/>
              </w:rPr>
              <w:t>$4,184</w:t>
            </w:r>
          </w:p>
        </w:tc>
        <w:tc>
          <w:tcPr>
            <w:tcW w:w="100" w:type="dxa"/>
            <w:vAlign w:val="bottom"/>
          </w:tcPr>
          <w:p>
            <w:pPr>
              <w:spacing w:after="0"/>
              <w:rPr>
                <w:sz w:val="16"/>
                <w:szCs w:val="16"/>
                <w:color w:val="auto"/>
              </w:rPr>
            </w:pPr>
          </w:p>
        </w:tc>
        <w:tc>
          <w:tcPr>
            <w:tcW w:w="1320" w:type="dxa"/>
            <w:vAlign w:val="bottom"/>
          </w:tcPr>
          <w:p>
            <w:pPr>
              <w:jc w:val="center"/>
              <w:ind w:right="189"/>
              <w:spacing w:after="0"/>
              <w:rPr>
                <w:sz w:val="20"/>
                <w:szCs w:val="20"/>
                <w:color w:val="auto"/>
              </w:rPr>
            </w:pPr>
            <w:r>
              <w:rPr>
                <w:rFonts w:ascii="Arial" w:cs="Arial" w:eastAsia="Arial" w:hAnsi="Arial"/>
                <w:sz w:val="14"/>
                <w:szCs w:val="14"/>
                <w:color w:val="131E29"/>
              </w:rPr>
              <w:t>$(633)</w:t>
            </w:r>
          </w:p>
        </w:tc>
        <w:tc>
          <w:tcPr>
            <w:tcW w:w="920" w:type="dxa"/>
            <w:vAlign w:val="bottom"/>
          </w:tcPr>
          <w:p>
            <w:pPr>
              <w:jc w:val="center"/>
              <w:ind w:right="109"/>
              <w:spacing w:after="0"/>
              <w:rPr>
                <w:sz w:val="20"/>
                <w:szCs w:val="20"/>
                <w:color w:val="auto"/>
              </w:rPr>
            </w:pPr>
            <w:r>
              <w:rPr>
                <w:rFonts w:ascii="Arial" w:cs="Arial" w:eastAsia="Arial" w:hAnsi="Arial"/>
                <w:sz w:val="14"/>
                <w:szCs w:val="14"/>
                <w:color w:val="131E29"/>
              </w:rPr>
              <w:t>(15.1)%</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131E29"/>
                <w:w w:val="98"/>
              </w:rPr>
              <w:t>$11,552</w:t>
            </w:r>
          </w:p>
        </w:tc>
        <w:tc>
          <w:tcPr>
            <w:tcW w:w="1280" w:type="dxa"/>
            <w:vAlign w:val="bottom"/>
            <w:gridSpan w:val="2"/>
          </w:tcPr>
          <w:p>
            <w:pPr>
              <w:jc w:val="center"/>
              <w:ind w:left="9"/>
              <w:spacing w:after="0"/>
              <w:rPr>
                <w:sz w:val="20"/>
                <w:szCs w:val="20"/>
                <w:color w:val="auto"/>
              </w:rPr>
            </w:pPr>
            <w:r>
              <w:rPr>
                <w:rFonts w:ascii="Arial" w:cs="Arial" w:eastAsia="Arial" w:hAnsi="Arial"/>
                <w:sz w:val="14"/>
                <w:szCs w:val="14"/>
                <w:color w:val="131E29"/>
              </w:rPr>
              <w:t>$10,679</w:t>
            </w:r>
          </w:p>
        </w:tc>
        <w:tc>
          <w:tcPr>
            <w:tcW w:w="100" w:type="dxa"/>
            <w:vAlign w:val="bottom"/>
          </w:tcPr>
          <w:p>
            <w:pPr>
              <w:spacing w:after="0"/>
              <w:rPr>
                <w:sz w:val="16"/>
                <w:szCs w:val="16"/>
                <w:color w:val="auto"/>
              </w:rPr>
            </w:pPr>
          </w:p>
        </w:tc>
        <w:tc>
          <w:tcPr>
            <w:tcW w:w="700" w:type="dxa"/>
            <w:vAlign w:val="bottom"/>
          </w:tcPr>
          <w:p>
            <w:pPr>
              <w:jc w:val="center"/>
              <w:ind w:left="309"/>
              <w:spacing w:after="0"/>
              <w:rPr>
                <w:sz w:val="20"/>
                <w:szCs w:val="20"/>
                <w:color w:val="auto"/>
              </w:rPr>
            </w:pPr>
            <w:r>
              <w:rPr>
                <w:rFonts w:ascii="Arial" w:cs="Arial" w:eastAsia="Arial" w:hAnsi="Arial"/>
                <w:sz w:val="14"/>
                <w:szCs w:val="14"/>
                <w:color w:val="131E29"/>
              </w:rPr>
              <w:t>$873</w:t>
            </w:r>
          </w:p>
        </w:tc>
        <w:tc>
          <w:tcPr>
            <w:tcW w:w="1540" w:type="dxa"/>
            <w:vAlign w:val="bottom"/>
          </w:tcPr>
          <w:p>
            <w:pPr>
              <w:jc w:val="center"/>
              <w:ind w:left="389"/>
              <w:spacing w:after="0"/>
              <w:rPr>
                <w:sz w:val="20"/>
                <w:szCs w:val="20"/>
                <w:color w:val="auto"/>
              </w:rPr>
            </w:pPr>
            <w:r>
              <w:rPr>
                <w:rFonts w:ascii="Arial" w:cs="Arial" w:eastAsia="Arial" w:hAnsi="Arial"/>
                <w:sz w:val="14"/>
                <w:szCs w:val="14"/>
                <w:color w:val="131E29"/>
              </w:rPr>
              <w:t>8.2%</w:t>
            </w:r>
          </w:p>
        </w:tc>
      </w:tr>
      <w:tr>
        <w:trPr>
          <w:trHeight w:val="350"/>
        </w:trPr>
        <w:tc>
          <w:tcPr>
            <w:tcW w:w="1020" w:type="dxa"/>
            <w:vAlign w:val="bottom"/>
          </w:tcPr>
          <w:p>
            <w:pPr>
              <w:jc w:val="center"/>
              <w:spacing w:after="0"/>
              <w:rPr>
                <w:sz w:val="20"/>
                <w:szCs w:val="20"/>
                <w:color w:val="auto"/>
              </w:rPr>
            </w:pPr>
            <w:r>
              <w:rPr>
                <w:rFonts w:ascii="Arial" w:cs="Arial" w:eastAsia="Arial" w:hAnsi="Arial"/>
                <w:sz w:val="14"/>
                <w:szCs w:val="14"/>
                <w:color w:val="131E29"/>
              </w:rPr>
              <w:t>1.2%</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131E29"/>
              </w:rPr>
              <w:t>1.8%</w:t>
            </w:r>
          </w:p>
        </w:tc>
        <w:tc>
          <w:tcPr>
            <w:tcW w:w="100" w:type="dxa"/>
            <w:vAlign w:val="bottom"/>
          </w:tcPr>
          <w:p>
            <w:pPr>
              <w:spacing w:after="0"/>
              <w:rPr>
                <w:sz w:val="24"/>
                <w:szCs w:val="24"/>
                <w:color w:val="auto"/>
              </w:rPr>
            </w:pPr>
          </w:p>
        </w:tc>
        <w:tc>
          <w:tcPr>
            <w:tcW w:w="1320" w:type="dxa"/>
            <w:vAlign w:val="bottom"/>
          </w:tcPr>
          <w:p>
            <w:pPr>
              <w:ind w:left="420"/>
              <w:spacing w:after="0"/>
              <w:rPr>
                <w:sz w:val="20"/>
                <w:szCs w:val="20"/>
                <w:color w:val="auto"/>
              </w:rPr>
            </w:pPr>
            <w:r>
              <w:rPr>
                <w:rFonts w:ascii="Arial" w:cs="Arial" w:eastAsia="Arial" w:hAnsi="Arial"/>
                <w:sz w:val="14"/>
                <w:szCs w:val="14"/>
                <w:color w:val="131E29"/>
              </w:rPr>
              <w:t>N/A</w:t>
            </w:r>
          </w:p>
        </w:tc>
        <w:tc>
          <w:tcPr>
            <w:tcW w:w="1000" w:type="dxa"/>
            <w:vAlign w:val="bottom"/>
            <w:gridSpan w:val="2"/>
          </w:tcPr>
          <w:p>
            <w:pPr>
              <w:ind w:left="120"/>
              <w:spacing w:after="0"/>
              <w:rPr>
                <w:sz w:val="20"/>
                <w:szCs w:val="20"/>
                <w:color w:val="auto"/>
              </w:rPr>
            </w:pPr>
            <w:r>
              <w:rPr>
                <w:rFonts w:ascii="Arial" w:cs="Arial" w:eastAsia="Arial" w:hAnsi="Arial"/>
                <w:sz w:val="14"/>
                <w:szCs w:val="14"/>
                <w:color w:val="131E29"/>
              </w:rPr>
              <w:t>(60) bps</w:t>
            </w:r>
          </w:p>
        </w:tc>
        <w:tc>
          <w:tcPr>
            <w:tcW w:w="1200" w:type="dxa"/>
            <w:vAlign w:val="bottom"/>
          </w:tcPr>
          <w:p>
            <w:pPr>
              <w:jc w:val="center"/>
              <w:spacing w:after="0"/>
              <w:rPr>
                <w:sz w:val="20"/>
                <w:szCs w:val="20"/>
                <w:color w:val="auto"/>
              </w:rPr>
            </w:pPr>
            <w:r>
              <w:rPr>
                <w:rFonts w:ascii="Arial" w:cs="Arial" w:eastAsia="Arial" w:hAnsi="Arial"/>
                <w:sz w:val="14"/>
                <w:szCs w:val="14"/>
                <w:color w:val="131E29"/>
              </w:rPr>
              <w:t>1.4%</w:t>
            </w:r>
          </w:p>
        </w:tc>
        <w:tc>
          <w:tcPr>
            <w:tcW w:w="1280" w:type="dxa"/>
            <w:vAlign w:val="bottom"/>
            <w:gridSpan w:val="2"/>
          </w:tcPr>
          <w:p>
            <w:pPr>
              <w:jc w:val="center"/>
              <w:ind w:left="9"/>
              <w:spacing w:after="0"/>
              <w:rPr>
                <w:sz w:val="20"/>
                <w:szCs w:val="20"/>
                <w:color w:val="auto"/>
              </w:rPr>
            </w:pPr>
            <w:r>
              <w:rPr>
                <w:rFonts w:ascii="Arial" w:cs="Arial" w:eastAsia="Arial" w:hAnsi="Arial"/>
                <w:sz w:val="14"/>
                <w:szCs w:val="14"/>
                <w:color w:val="131E29"/>
              </w:rPr>
              <w:t>1.7%</w:t>
            </w:r>
          </w:p>
        </w:tc>
        <w:tc>
          <w:tcPr>
            <w:tcW w:w="10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4"/>
                <w:szCs w:val="14"/>
                <w:color w:val="131E29"/>
              </w:rPr>
              <w:t>N/A</w:t>
            </w:r>
          </w:p>
        </w:tc>
        <w:tc>
          <w:tcPr>
            <w:tcW w:w="1540" w:type="dxa"/>
            <w:vAlign w:val="bottom"/>
          </w:tcPr>
          <w:p>
            <w:pPr>
              <w:ind w:left="740"/>
              <w:spacing w:after="0"/>
              <w:rPr>
                <w:sz w:val="20"/>
                <w:szCs w:val="20"/>
                <w:color w:val="auto"/>
              </w:rPr>
            </w:pPr>
            <w:r>
              <w:rPr>
                <w:rFonts w:ascii="Arial" w:cs="Arial" w:eastAsia="Arial" w:hAnsi="Arial"/>
                <w:sz w:val="14"/>
                <w:szCs w:val="14"/>
                <w:color w:val="131E29"/>
              </w:rPr>
              <w:t>(30) bps</w:t>
            </w:r>
          </w:p>
        </w:tc>
      </w:tr>
      <w:tr>
        <w:trPr>
          <w:trHeight w:val="350"/>
        </w:trPr>
        <w:tc>
          <w:tcPr>
            <w:tcW w:w="1020" w:type="dxa"/>
            <w:vAlign w:val="bottom"/>
          </w:tcPr>
          <w:p>
            <w:pPr>
              <w:jc w:val="center"/>
              <w:spacing w:after="0"/>
              <w:rPr>
                <w:sz w:val="20"/>
                <w:szCs w:val="20"/>
                <w:color w:val="auto"/>
              </w:rPr>
            </w:pPr>
            <w:r>
              <w:rPr>
                <w:rFonts w:ascii="Arial" w:cs="Arial" w:eastAsia="Arial" w:hAnsi="Arial"/>
                <w:sz w:val="14"/>
                <w:szCs w:val="14"/>
                <w:color w:val="131E29"/>
              </w:rPr>
              <w:t>33</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131E29"/>
              </w:rPr>
              <w:t>37</w:t>
            </w:r>
          </w:p>
        </w:tc>
        <w:tc>
          <w:tcPr>
            <w:tcW w:w="100" w:type="dxa"/>
            <w:vAlign w:val="bottom"/>
          </w:tcPr>
          <w:p>
            <w:pPr>
              <w:spacing w:after="0"/>
              <w:rPr>
                <w:sz w:val="24"/>
                <w:szCs w:val="24"/>
                <w:color w:val="auto"/>
              </w:rPr>
            </w:pPr>
          </w:p>
        </w:tc>
        <w:tc>
          <w:tcPr>
            <w:tcW w:w="1320" w:type="dxa"/>
            <w:vAlign w:val="bottom"/>
          </w:tcPr>
          <w:p>
            <w:pPr>
              <w:jc w:val="center"/>
              <w:ind w:right="189"/>
              <w:spacing w:after="0"/>
              <w:rPr>
                <w:sz w:val="20"/>
                <w:szCs w:val="20"/>
                <w:color w:val="auto"/>
              </w:rPr>
            </w:pPr>
            <w:r>
              <w:rPr>
                <w:rFonts w:ascii="Arial" w:cs="Arial" w:eastAsia="Arial" w:hAnsi="Arial"/>
                <w:sz w:val="14"/>
                <w:szCs w:val="14"/>
                <w:color w:val="131E29"/>
              </w:rPr>
              <w:t>(4)</w:t>
            </w:r>
          </w:p>
        </w:tc>
        <w:tc>
          <w:tcPr>
            <w:tcW w:w="920" w:type="dxa"/>
            <w:vAlign w:val="bottom"/>
          </w:tcPr>
          <w:p>
            <w:pPr>
              <w:jc w:val="center"/>
              <w:ind w:right="109"/>
              <w:spacing w:after="0"/>
              <w:rPr>
                <w:sz w:val="20"/>
                <w:szCs w:val="20"/>
                <w:color w:val="auto"/>
              </w:rPr>
            </w:pPr>
            <w:r>
              <w:rPr>
                <w:rFonts w:ascii="Arial" w:cs="Arial" w:eastAsia="Arial" w:hAnsi="Arial"/>
                <w:sz w:val="14"/>
                <w:szCs w:val="14"/>
                <w:color w:val="131E29"/>
              </w:rPr>
              <w:t>(10.8)%</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131E29"/>
              </w:rPr>
              <w:t>103</w:t>
            </w:r>
          </w:p>
        </w:tc>
        <w:tc>
          <w:tcPr>
            <w:tcW w:w="1280" w:type="dxa"/>
            <w:vAlign w:val="bottom"/>
            <w:gridSpan w:val="2"/>
          </w:tcPr>
          <w:p>
            <w:pPr>
              <w:jc w:val="center"/>
              <w:ind w:left="29"/>
              <w:spacing w:after="0"/>
              <w:rPr>
                <w:sz w:val="20"/>
                <w:szCs w:val="20"/>
                <w:color w:val="auto"/>
              </w:rPr>
            </w:pPr>
            <w:r>
              <w:rPr>
                <w:rFonts w:ascii="Arial" w:cs="Arial" w:eastAsia="Arial" w:hAnsi="Arial"/>
                <w:sz w:val="14"/>
                <w:szCs w:val="14"/>
                <w:color w:val="131E29"/>
                <w:w w:val="94"/>
              </w:rPr>
              <w:t>114</w:t>
            </w:r>
          </w:p>
        </w:tc>
        <w:tc>
          <w:tcPr>
            <w:tcW w:w="100" w:type="dxa"/>
            <w:vAlign w:val="bottom"/>
          </w:tcPr>
          <w:p>
            <w:pPr>
              <w:spacing w:after="0"/>
              <w:rPr>
                <w:sz w:val="24"/>
                <w:szCs w:val="24"/>
                <w:color w:val="auto"/>
              </w:rPr>
            </w:pPr>
          </w:p>
        </w:tc>
        <w:tc>
          <w:tcPr>
            <w:tcW w:w="700" w:type="dxa"/>
            <w:vAlign w:val="bottom"/>
          </w:tcPr>
          <w:p>
            <w:pPr>
              <w:jc w:val="center"/>
              <w:ind w:left="309"/>
              <w:spacing w:after="0"/>
              <w:rPr>
                <w:sz w:val="20"/>
                <w:szCs w:val="20"/>
                <w:color w:val="auto"/>
              </w:rPr>
            </w:pPr>
            <w:r>
              <w:rPr>
                <w:rFonts w:ascii="Arial" w:cs="Arial" w:eastAsia="Arial" w:hAnsi="Arial"/>
                <w:sz w:val="14"/>
                <w:szCs w:val="14"/>
                <w:color w:val="131E29"/>
                <w:w w:val="96"/>
              </w:rPr>
              <w:t>(11)</w:t>
            </w:r>
          </w:p>
        </w:tc>
        <w:tc>
          <w:tcPr>
            <w:tcW w:w="1540" w:type="dxa"/>
            <w:vAlign w:val="bottom"/>
          </w:tcPr>
          <w:p>
            <w:pPr>
              <w:jc w:val="center"/>
              <w:ind w:left="409"/>
              <w:spacing w:after="0"/>
              <w:rPr>
                <w:sz w:val="20"/>
                <w:szCs w:val="20"/>
                <w:color w:val="auto"/>
              </w:rPr>
            </w:pPr>
            <w:r>
              <w:rPr>
                <w:rFonts w:ascii="Arial" w:cs="Arial" w:eastAsia="Arial" w:hAnsi="Arial"/>
                <w:sz w:val="14"/>
                <w:szCs w:val="14"/>
                <w:color w:val="131E29"/>
              </w:rPr>
              <w:t>(9.6)%</w:t>
            </w:r>
          </w:p>
        </w:tc>
      </w:tr>
      <w:tr>
        <w:trPr>
          <w:trHeight w:val="350"/>
        </w:trPr>
        <w:tc>
          <w:tcPr>
            <w:tcW w:w="1020" w:type="dxa"/>
            <w:vAlign w:val="bottom"/>
          </w:tcPr>
          <w:p>
            <w:pPr>
              <w:jc w:val="center"/>
              <w:spacing w:after="0"/>
              <w:rPr>
                <w:sz w:val="20"/>
                <w:szCs w:val="20"/>
                <w:color w:val="auto"/>
              </w:rPr>
            </w:pPr>
            <w:r>
              <w:rPr>
                <w:rFonts w:ascii="Arial" w:cs="Arial" w:eastAsia="Arial" w:hAnsi="Arial"/>
                <w:sz w:val="14"/>
                <w:szCs w:val="14"/>
                <w:color w:val="131E29"/>
              </w:rPr>
              <w:t>$108</w:t>
            </w:r>
          </w:p>
        </w:tc>
        <w:tc>
          <w:tcPr>
            <w:tcW w:w="1100" w:type="dxa"/>
            <w:vAlign w:val="bottom"/>
            <w:gridSpan w:val="2"/>
          </w:tcPr>
          <w:p>
            <w:pPr>
              <w:jc w:val="center"/>
              <w:ind w:left="29"/>
              <w:spacing w:after="0"/>
              <w:rPr>
                <w:sz w:val="20"/>
                <w:szCs w:val="20"/>
                <w:color w:val="auto"/>
              </w:rPr>
            </w:pPr>
            <w:r>
              <w:rPr>
                <w:rFonts w:ascii="Arial" w:cs="Arial" w:eastAsia="Arial" w:hAnsi="Arial"/>
                <w:sz w:val="14"/>
                <w:szCs w:val="14"/>
                <w:color w:val="131E29"/>
              </w:rPr>
              <w:t>$113</w:t>
            </w:r>
          </w:p>
        </w:tc>
        <w:tc>
          <w:tcPr>
            <w:tcW w:w="100" w:type="dxa"/>
            <w:vAlign w:val="bottom"/>
          </w:tcPr>
          <w:p>
            <w:pPr>
              <w:spacing w:after="0"/>
              <w:rPr>
                <w:sz w:val="24"/>
                <w:szCs w:val="24"/>
                <w:color w:val="auto"/>
              </w:rPr>
            </w:pPr>
          </w:p>
        </w:tc>
        <w:tc>
          <w:tcPr>
            <w:tcW w:w="1320" w:type="dxa"/>
            <w:vAlign w:val="bottom"/>
          </w:tcPr>
          <w:p>
            <w:pPr>
              <w:jc w:val="center"/>
              <w:ind w:right="189"/>
              <w:spacing w:after="0"/>
              <w:rPr>
                <w:sz w:val="20"/>
                <w:szCs w:val="20"/>
                <w:color w:val="auto"/>
              </w:rPr>
            </w:pPr>
            <w:r>
              <w:rPr>
                <w:rFonts w:ascii="Arial" w:cs="Arial" w:eastAsia="Arial" w:hAnsi="Arial"/>
                <w:sz w:val="14"/>
                <w:szCs w:val="14"/>
                <w:color w:val="131E29"/>
              </w:rPr>
              <w:t>$(5)</w:t>
            </w:r>
          </w:p>
        </w:tc>
        <w:tc>
          <w:tcPr>
            <w:tcW w:w="920" w:type="dxa"/>
            <w:vAlign w:val="bottom"/>
          </w:tcPr>
          <w:p>
            <w:pPr>
              <w:jc w:val="center"/>
              <w:ind w:right="109"/>
              <w:spacing w:after="0"/>
              <w:rPr>
                <w:sz w:val="20"/>
                <w:szCs w:val="20"/>
                <w:color w:val="auto"/>
              </w:rPr>
            </w:pPr>
            <w:r>
              <w:rPr>
                <w:rFonts w:ascii="Arial" w:cs="Arial" w:eastAsia="Arial" w:hAnsi="Arial"/>
                <w:sz w:val="14"/>
                <w:szCs w:val="14"/>
                <w:color w:val="131E29"/>
              </w:rPr>
              <w:t>(4.4)%</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131E29"/>
                <w:w w:val="96"/>
              </w:rPr>
              <w:t>$112</w:t>
            </w:r>
          </w:p>
        </w:tc>
        <w:tc>
          <w:tcPr>
            <w:tcW w:w="1280" w:type="dxa"/>
            <w:vAlign w:val="bottom"/>
            <w:gridSpan w:val="2"/>
          </w:tcPr>
          <w:p>
            <w:pPr>
              <w:jc w:val="center"/>
              <w:ind w:left="9"/>
              <w:spacing w:after="0"/>
              <w:rPr>
                <w:sz w:val="20"/>
                <w:szCs w:val="20"/>
                <w:color w:val="auto"/>
              </w:rPr>
            </w:pPr>
            <w:r>
              <w:rPr>
                <w:rFonts w:ascii="Arial" w:cs="Arial" w:eastAsia="Arial" w:hAnsi="Arial"/>
                <w:sz w:val="14"/>
                <w:szCs w:val="14"/>
                <w:color w:val="131E29"/>
              </w:rPr>
              <w:t>$94</w:t>
            </w:r>
          </w:p>
        </w:tc>
        <w:tc>
          <w:tcPr>
            <w:tcW w:w="100" w:type="dxa"/>
            <w:vAlign w:val="bottom"/>
          </w:tcPr>
          <w:p>
            <w:pPr>
              <w:spacing w:after="0"/>
              <w:rPr>
                <w:sz w:val="24"/>
                <w:szCs w:val="24"/>
                <w:color w:val="auto"/>
              </w:rPr>
            </w:pPr>
          </w:p>
        </w:tc>
        <w:tc>
          <w:tcPr>
            <w:tcW w:w="700" w:type="dxa"/>
            <w:vAlign w:val="bottom"/>
          </w:tcPr>
          <w:p>
            <w:pPr>
              <w:jc w:val="center"/>
              <w:ind w:left="309"/>
              <w:spacing w:after="0"/>
              <w:rPr>
                <w:sz w:val="20"/>
                <w:szCs w:val="20"/>
                <w:color w:val="auto"/>
              </w:rPr>
            </w:pPr>
            <w:r>
              <w:rPr>
                <w:rFonts w:ascii="Arial" w:cs="Arial" w:eastAsia="Arial" w:hAnsi="Arial"/>
                <w:sz w:val="14"/>
                <w:szCs w:val="14"/>
                <w:color w:val="131E29"/>
              </w:rPr>
              <w:t>$18</w:t>
            </w:r>
          </w:p>
        </w:tc>
        <w:tc>
          <w:tcPr>
            <w:tcW w:w="1540" w:type="dxa"/>
            <w:vAlign w:val="bottom"/>
          </w:tcPr>
          <w:p>
            <w:pPr>
              <w:jc w:val="center"/>
              <w:ind w:left="389"/>
              <w:spacing w:after="0"/>
              <w:rPr>
                <w:sz w:val="20"/>
                <w:szCs w:val="20"/>
                <w:color w:val="auto"/>
              </w:rPr>
            </w:pPr>
            <w:r>
              <w:rPr>
                <w:rFonts w:ascii="Arial" w:cs="Arial" w:eastAsia="Arial" w:hAnsi="Arial"/>
                <w:sz w:val="14"/>
                <w:szCs w:val="14"/>
                <w:color w:val="131E29"/>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-431800</wp:posOffset>
            </wp:positionV>
            <wp:extent cx="7161530" cy="222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-795655</wp:posOffset>
            </wp:positionV>
            <wp:extent cx="7161530" cy="141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1740" w:space="180"/>
            <w:col w:w="9360"/>
          </w:cols>
          <w:pgMar w:left="300" w:top="133" w:right="319" w:bottom="1440" w:gutter="0" w:footer="0" w:header="0"/>
          <w:type w:val="continuous"/>
        </w:sect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decrease in pre-opening costs was primarily driven by opening a higher proportion of shops in existing markets, which do not require as much support, in the three months ended September 30, 2024 as compared to the same period in 2023.</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increase in pre-opening costs was primarily driven by opening a lower proportion of shops in existing markets, including increased travel for setup and training teams and lease expense related to unopened shops, in the nine months ended September 30, 2024 as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1"/>
          <w:szCs w:val="11"/>
          <w:u w:val="single" w:color="auto"/>
          <w:color w:val="006098"/>
        </w:rPr>
        <w:t>Table of Contents</w:t>
      </w:r>
    </w:p>
    <w:p>
      <w:pPr>
        <w:sectPr>
          <w:pgSz w:w="11900" w:h="16838" w:orient="portrait"/>
          <w:cols w:equalWidth="0" w:num="1">
            <w:col w:w="11280"/>
          </w:cols>
          <w:pgMar w:left="300" w:top="13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Depreciation and Amortization</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unaudited)</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131E29"/>
        </w:rPr>
        <w:t>Depreciation and amortization</w:t>
      </w:r>
    </w:p>
    <w:p>
      <w:pPr>
        <w:spacing w:after="0" w:line="43" w:lineRule="exact"/>
        <w:rPr>
          <w:sz w:val="20"/>
          <w:szCs w:val="20"/>
          <w:color w:val="auto"/>
        </w:rPr>
      </w:pPr>
    </w:p>
    <w:p>
      <w:pPr>
        <w:ind w:left="20" w:right="380"/>
        <w:spacing w:after="0" w:line="305" w:lineRule="auto"/>
        <w:rPr>
          <w:sz w:val="20"/>
          <w:szCs w:val="20"/>
          <w:color w:val="auto"/>
        </w:rPr>
      </w:pPr>
      <w:r>
        <w:rPr>
          <w:rFonts w:ascii="Arial" w:cs="Arial" w:eastAsia="Arial" w:hAnsi="Arial"/>
          <w:sz w:val="12"/>
          <w:szCs w:val="12"/>
          <w:i w:val="1"/>
          <w:iCs w:val="1"/>
          <w:color w:val="131E29"/>
        </w:rPr>
        <w:t>As a percentage of company-operated shop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8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131E29"/>
              </w:rPr>
              <w:t>Three Months Ended September 30,</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131E29"/>
              </w:rPr>
              <w:t>Nine Months Ended September 30,</w:t>
            </w:r>
          </w:p>
        </w:tc>
        <w:tc>
          <w:tcPr>
            <w:tcW w:w="940" w:type="dxa"/>
            <w:vAlign w:val="bottom"/>
            <w:tcBorders>
              <w:bottom w:val="single" w:sz="8" w:color="auto"/>
            </w:tcBorders>
          </w:tcPr>
          <w:p>
            <w:pPr>
              <w:spacing w:after="0"/>
              <w:rPr>
                <w:sz w:val="17"/>
                <w:szCs w:val="17"/>
                <w:color w:val="auto"/>
              </w:rPr>
            </w:pPr>
          </w:p>
        </w:tc>
      </w:tr>
      <w:tr>
        <w:trPr>
          <w:trHeight w:val="203"/>
        </w:trPr>
        <w:tc>
          <w:tcPr>
            <w:tcW w:w="8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131E29"/>
                <w:w w:val="96"/>
              </w:rPr>
              <w:t>2024</w:t>
            </w: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80" w:type="dxa"/>
            <w:vAlign w:val="bottom"/>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100" w:type="dxa"/>
            <w:vAlign w:val="bottom"/>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r>
      <w:tr>
        <w:trPr>
          <w:trHeight w:val="189"/>
        </w:trPr>
        <w:tc>
          <w:tcPr>
            <w:tcW w:w="880" w:type="dxa"/>
            <w:vAlign w:val="bottom"/>
          </w:tcPr>
          <w:p>
            <w:pPr>
              <w:jc w:val="center"/>
              <w:ind w:left="69"/>
              <w:spacing w:after="0"/>
              <w:rPr>
                <w:sz w:val="20"/>
                <w:szCs w:val="20"/>
                <w:color w:val="auto"/>
              </w:rPr>
            </w:pPr>
            <w:r>
              <w:rPr>
                <w:rFonts w:ascii="Arial" w:cs="Arial" w:eastAsia="Arial" w:hAnsi="Arial"/>
                <w:sz w:val="14"/>
                <w:szCs w:val="14"/>
                <w:color w:val="131E29"/>
                <w:w w:val="98"/>
              </w:rPr>
              <w:t>$22,470</w:t>
            </w:r>
          </w:p>
        </w:tc>
        <w:tc>
          <w:tcPr>
            <w:tcW w:w="1240" w:type="dxa"/>
            <w:vAlign w:val="bottom"/>
            <w:gridSpan w:val="3"/>
          </w:tcPr>
          <w:p>
            <w:pPr>
              <w:jc w:val="center"/>
              <w:ind w:left="149"/>
              <w:spacing w:after="0"/>
              <w:rPr>
                <w:sz w:val="20"/>
                <w:szCs w:val="20"/>
                <w:color w:val="auto"/>
              </w:rPr>
            </w:pPr>
            <w:r>
              <w:rPr>
                <w:rFonts w:ascii="Arial" w:cs="Arial" w:eastAsia="Arial" w:hAnsi="Arial"/>
                <w:sz w:val="14"/>
                <w:szCs w:val="14"/>
                <w:color w:val="131E29"/>
                <w:w w:val="98"/>
              </w:rPr>
              <w:t>$16,332</w:t>
            </w:r>
          </w:p>
        </w:tc>
        <w:tc>
          <w:tcPr>
            <w:tcW w:w="80" w:type="dxa"/>
            <w:vAlign w:val="bottom"/>
          </w:tcPr>
          <w:p>
            <w:pPr>
              <w:spacing w:after="0"/>
              <w:rPr>
                <w:sz w:val="16"/>
                <w:szCs w:val="16"/>
                <w:color w:val="auto"/>
              </w:rPr>
            </w:pPr>
          </w:p>
        </w:tc>
        <w:tc>
          <w:tcPr>
            <w:tcW w:w="1360" w:type="dxa"/>
            <w:vAlign w:val="bottom"/>
          </w:tcPr>
          <w:p>
            <w:pPr>
              <w:jc w:val="right"/>
              <w:ind w:right="529"/>
              <w:spacing w:after="0"/>
              <w:rPr>
                <w:sz w:val="20"/>
                <w:szCs w:val="20"/>
                <w:color w:val="auto"/>
              </w:rPr>
            </w:pPr>
            <w:r>
              <w:rPr>
                <w:rFonts w:ascii="Arial" w:cs="Arial" w:eastAsia="Arial" w:hAnsi="Arial"/>
                <w:sz w:val="14"/>
                <w:szCs w:val="14"/>
                <w:color w:val="131E29"/>
              </w:rPr>
              <w:t>$6,138</w:t>
            </w:r>
          </w:p>
        </w:tc>
        <w:tc>
          <w:tcPr>
            <w:tcW w:w="880" w:type="dxa"/>
            <w:vAlign w:val="bottom"/>
          </w:tcPr>
          <w:p>
            <w:pPr>
              <w:ind w:left="140"/>
              <w:spacing w:after="0"/>
              <w:rPr>
                <w:sz w:val="20"/>
                <w:szCs w:val="20"/>
                <w:color w:val="auto"/>
              </w:rPr>
            </w:pPr>
            <w:r>
              <w:rPr>
                <w:rFonts w:ascii="Arial" w:cs="Arial" w:eastAsia="Arial" w:hAnsi="Arial"/>
                <w:sz w:val="14"/>
                <w:szCs w:val="14"/>
                <w:color w:val="131E29"/>
              </w:rPr>
              <w:t>37.6%</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131E29"/>
              </w:rPr>
              <w:t>$63,202</w:t>
            </w:r>
          </w:p>
        </w:tc>
        <w:tc>
          <w:tcPr>
            <w:tcW w:w="1160" w:type="dxa"/>
            <w:vAlign w:val="bottom"/>
            <w:gridSpan w:val="2"/>
          </w:tcPr>
          <w:p>
            <w:pPr>
              <w:jc w:val="center"/>
              <w:ind w:left="29"/>
              <w:spacing w:after="0"/>
              <w:rPr>
                <w:sz w:val="20"/>
                <w:szCs w:val="20"/>
                <w:color w:val="auto"/>
              </w:rPr>
            </w:pPr>
            <w:r>
              <w:rPr>
                <w:rFonts w:ascii="Arial" w:cs="Arial" w:eastAsia="Arial" w:hAnsi="Arial"/>
                <w:sz w:val="14"/>
                <w:szCs w:val="14"/>
                <w:color w:val="131E29"/>
                <w:w w:val="98"/>
              </w:rPr>
              <w:t>$44,132</w:t>
            </w:r>
          </w:p>
        </w:tc>
        <w:tc>
          <w:tcPr>
            <w:tcW w:w="100" w:type="dxa"/>
            <w:vAlign w:val="bottom"/>
          </w:tcPr>
          <w:p>
            <w:pPr>
              <w:spacing w:after="0"/>
              <w:rPr>
                <w:sz w:val="16"/>
                <w:szCs w:val="16"/>
                <w:color w:val="auto"/>
              </w:rPr>
            </w:pPr>
          </w:p>
        </w:tc>
        <w:tc>
          <w:tcPr>
            <w:tcW w:w="1300" w:type="dxa"/>
            <w:vAlign w:val="bottom"/>
          </w:tcPr>
          <w:p>
            <w:pPr>
              <w:jc w:val="right"/>
              <w:ind w:right="429"/>
              <w:spacing w:after="0"/>
              <w:rPr>
                <w:sz w:val="20"/>
                <w:szCs w:val="20"/>
                <w:color w:val="auto"/>
              </w:rPr>
            </w:pPr>
            <w:r>
              <w:rPr>
                <w:rFonts w:ascii="Arial" w:cs="Arial" w:eastAsia="Arial" w:hAnsi="Arial"/>
                <w:sz w:val="14"/>
                <w:szCs w:val="14"/>
                <w:color w:val="131E29"/>
              </w:rPr>
              <w:t>$19,070</w:t>
            </w:r>
          </w:p>
        </w:tc>
        <w:tc>
          <w:tcPr>
            <w:tcW w:w="940" w:type="dxa"/>
            <w:vAlign w:val="bottom"/>
          </w:tcPr>
          <w:p>
            <w:pPr>
              <w:ind w:left="200"/>
              <w:spacing w:after="0"/>
              <w:rPr>
                <w:sz w:val="20"/>
                <w:szCs w:val="20"/>
                <w:color w:val="auto"/>
              </w:rPr>
            </w:pPr>
            <w:r>
              <w:rPr>
                <w:rFonts w:ascii="Arial" w:cs="Arial" w:eastAsia="Arial" w:hAnsi="Arial"/>
                <w:sz w:val="14"/>
                <w:szCs w:val="14"/>
                <w:color w:val="131E29"/>
              </w:rPr>
              <w:t>43.2%</w:t>
            </w:r>
          </w:p>
        </w:tc>
      </w:tr>
      <w:tr>
        <w:trPr>
          <w:trHeight w:val="350"/>
        </w:trPr>
        <w:tc>
          <w:tcPr>
            <w:tcW w:w="880" w:type="dxa"/>
            <w:vAlign w:val="bottom"/>
          </w:tcPr>
          <w:p>
            <w:pPr>
              <w:jc w:val="center"/>
              <w:ind w:left="69"/>
              <w:spacing w:after="0"/>
              <w:rPr>
                <w:sz w:val="20"/>
                <w:szCs w:val="20"/>
                <w:color w:val="auto"/>
              </w:rPr>
            </w:pPr>
            <w:r>
              <w:rPr>
                <w:rFonts w:ascii="Arial" w:cs="Arial" w:eastAsia="Arial" w:hAnsi="Arial"/>
                <w:sz w:val="14"/>
                <w:szCs w:val="14"/>
                <w:color w:val="131E29"/>
              </w:rPr>
              <w:t>7.3%</w:t>
            </w:r>
          </w:p>
        </w:tc>
        <w:tc>
          <w:tcPr>
            <w:tcW w:w="1240" w:type="dxa"/>
            <w:vAlign w:val="bottom"/>
            <w:gridSpan w:val="3"/>
          </w:tcPr>
          <w:p>
            <w:pPr>
              <w:jc w:val="center"/>
              <w:ind w:left="169"/>
              <w:spacing w:after="0"/>
              <w:rPr>
                <w:sz w:val="20"/>
                <w:szCs w:val="20"/>
                <w:color w:val="auto"/>
              </w:rPr>
            </w:pPr>
            <w:r>
              <w:rPr>
                <w:rFonts w:ascii="Arial" w:cs="Arial" w:eastAsia="Arial" w:hAnsi="Arial"/>
                <w:sz w:val="14"/>
                <w:szCs w:val="14"/>
                <w:color w:val="131E29"/>
              </w:rPr>
              <w:t>6.9%</w:t>
            </w:r>
          </w:p>
        </w:tc>
        <w:tc>
          <w:tcPr>
            <w:tcW w:w="80" w:type="dxa"/>
            <w:vAlign w:val="bottom"/>
          </w:tcPr>
          <w:p>
            <w:pPr>
              <w:spacing w:after="0"/>
              <w:rPr>
                <w:sz w:val="24"/>
                <w:szCs w:val="24"/>
                <w:color w:val="auto"/>
              </w:rPr>
            </w:pPr>
          </w:p>
        </w:tc>
        <w:tc>
          <w:tcPr>
            <w:tcW w:w="1360" w:type="dxa"/>
            <w:vAlign w:val="bottom"/>
          </w:tcPr>
          <w:p>
            <w:pPr>
              <w:jc w:val="center"/>
              <w:ind w:right="209"/>
              <w:spacing w:after="0"/>
              <w:rPr>
                <w:sz w:val="20"/>
                <w:szCs w:val="20"/>
                <w:color w:val="auto"/>
              </w:rPr>
            </w:pPr>
            <w:r>
              <w:rPr>
                <w:rFonts w:ascii="Arial" w:cs="Arial" w:eastAsia="Arial" w:hAnsi="Arial"/>
                <w:sz w:val="14"/>
                <w:szCs w:val="14"/>
                <w:color w:val="131E29"/>
              </w:rPr>
              <w:t>N/A</w:t>
            </w:r>
          </w:p>
        </w:tc>
        <w:tc>
          <w:tcPr>
            <w:tcW w:w="960" w:type="dxa"/>
            <w:vAlign w:val="bottom"/>
            <w:gridSpan w:val="2"/>
          </w:tcPr>
          <w:p>
            <w:pPr>
              <w:ind w:left="120"/>
              <w:spacing w:after="0"/>
              <w:rPr>
                <w:sz w:val="20"/>
                <w:szCs w:val="20"/>
                <w:color w:val="auto"/>
              </w:rPr>
            </w:pPr>
            <w:r>
              <w:rPr>
                <w:rFonts w:ascii="Arial" w:cs="Arial" w:eastAsia="Arial" w:hAnsi="Arial"/>
                <w:sz w:val="14"/>
                <w:szCs w:val="14"/>
                <w:color w:val="131E29"/>
              </w:rPr>
              <w:t>40 bps</w:t>
            </w:r>
          </w:p>
        </w:tc>
        <w:tc>
          <w:tcPr>
            <w:tcW w:w="1080" w:type="dxa"/>
            <w:vAlign w:val="bottom"/>
          </w:tcPr>
          <w:p>
            <w:pPr>
              <w:jc w:val="center"/>
              <w:spacing w:after="0"/>
              <w:rPr>
                <w:sz w:val="20"/>
                <w:szCs w:val="20"/>
                <w:color w:val="auto"/>
              </w:rPr>
            </w:pPr>
            <w:r>
              <w:rPr>
                <w:rFonts w:ascii="Arial" w:cs="Arial" w:eastAsia="Arial" w:hAnsi="Arial"/>
                <w:sz w:val="14"/>
                <w:szCs w:val="14"/>
                <w:color w:val="131E29"/>
              </w:rPr>
              <w:t>7.4%</w:t>
            </w:r>
          </w:p>
        </w:tc>
        <w:tc>
          <w:tcPr>
            <w:tcW w:w="1160" w:type="dxa"/>
            <w:vAlign w:val="bottom"/>
            <w:gridSpan w:val="2"/>
          </w:tcPr>
          <w:p>
            <w:pPr>
              <w:jc w:val="center"/>
              <w:ind w:left="9"/>
              <w:spacing w:after="0"/>
              <w:rPr>
                <w:sz w:val="20"/>
                <w:szCs w:val="20"/>
                <w:color w:val="auto"/>
              </w:rPr>
            </w:pPr>
            <w:r>
              <w:rPr>
                <w:rFonts w:ascii="Arial" w:cs="Arial" w:eastAsia="Arial" w:hAnsi="Arial"/>
                <w:sz w:val="14"/>
                <w:szCs w:val="14"/>
                <w:color w:val="131E29"/>
              </w:rPr>
              <w:t>7.0%</w:t>
            </w:r>
          </w:p>
        </w:tc>
        <w:tc>
          <w:tcPr>
            <w:tcW w:w="100" w:type="dxa"/>
            <w:vAlign w:val="bottom"/>
          </w:tcPr>
          <w:p>
            <w:pPr>
              <w:spacing w:after="0"/>
              <w:rPr>
                <w:sz w:val="24"/>
                <w:szCs w:val="24"/>
                <w:color w:val="auto"/>
              </w:rPr>
            </w:pPr>
          </w:p>
        </w:tc>
        <w:tc>
          <w:tcPr>
            <w:tcW w:w="1300" w:type="dxa"/>
            <w:vAlign w:val="bottom"/>
          </w:tcPr>
          <w:p>
            <w:pPr>
              <w:jc w:val="center"/>
              <w:ind w:right="149"/>
              <w:spacing w:after="0"/>
              <w:rPr>
                <w:sz w:val="20"/>
                <w:szCs w:val="20"/>
                <w:color w:val="auto"/>
              </w:rPr>
            </w:pPr>
            <w:r>
              <w:rPr>
                <w:rFonts w:ascii="Arial" w:cs="Arial" w:eastAsia="Arial" w:hAnsi="Arial"/>
                <w:sz w:val="14"/>
                <w:szCs w:val="14"/>
                <w:color w:val="131E29"/>
              </w:rPr>
              <w:t>N/A</w:t>
            </w:r>
          </w:p>
        </w:tc>
        <w:tc>
          <w:tcPr>
            <w:tcW w:w="940" w:type="dxa"/>
            <w:vAlign w:val="bottom"/>
          </w:tcPr>
          <w:p>
            <w:pPr>
              <w:ind w:left="180"/>
              <w:spacing w:after="0"/>
              <w:rPr>
                <w:sz w:val="20"/>
                <w:szCs w:val="20"/>
                <w:color w:val="auto"/>
              </w:rPr>
            </w:pPr>
            <w:r>
              <w:rPr>
                <w:rFonts w:ascii="Arial" w:cs="Arial" w:eastAsia="Arial" w:hAnsi="Arial"/>
                <w:sz w:val="14"/>
                <w:szCs w:val="14"/>
                <w:color w:val="131E29"/>
              </w:rPr>
              <w:t>40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-350520</wp:posOffset>
            </wp:positionV>
            <wp:extent cx="7161530" cy="141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2060" w:space="120"/>
            <w:col w:w="9100"/>
          </w:cols>
          <w:pgMar w:left="300" w:top="133" w:right="319" w:bottom="1440" w:gutter="0" w:footer="0" w:header="0"/>
          <w:type w:val="continuous"/>
        </w:sectPr>
      </w:pPr>
    </w:p>
    <w:p>
      <w:pPr>
        <w:spacing w:after="0"/>
        <w:rPr>
          <w:sz w:val="20"/>
          <w:szCs w:val="20"/>
          <w:color w:val="auto"/>
        </w:rPr>
      </w:pPr>
      <w:r>
        <w:rPr>
          <w:rFonts w:ascii="Arial" w:cs="Arial" w:eastAsia="Arial" w:hAnsi="Arial"/>
          <w:sz w:val="14"/>
          <w:szCs w:val="14"/>
          <w:u w:val="single" w:color="auto"/>
          <w:color w:val="006098"/>
        </w:rPr>
        <w:t>Three and Nine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increases in depreciation and amortization were primarily driven by the opening of new company-operated shops during both 2024 and 2023.</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Gross Profit and Contribution</w:t>
      </w:r>
      <w:r>
        <w:rPr>
          <w:rFonts w:ascii="Arial" w:cs="Arial" w:eastAsia="Arial" w:hAnsi="Arial"/>
          <w:sz w:val="18"/>
          <w:szCs w:val="18"/>
          <w:b w:val="1"/>
          <w:bCs w:val="1"/>
          <w:i w:val="1"/>
          <w:iCs w:val="1"/>
          <w:color w:val="006098"/>
          <w:vertAlign w:val="superscript"/>
        </w:rPr>
        <w:t>1</w:t>
      </w:r>
    </w:p>
    <w:p>
      <w:pPr>
        <w:sectPr>
          <w:pgSz w:w="11900" w:h="16838" w:orient="portrait"/>
          <w:cols w:equalWidth="0" w:num="1">
            <w:col w:w="11280"/>
          </w:cols>
          <w:pgMar w:left="300" w:top="133" w:right="319" w:bottom="1440" w:gutter="0" w:footer="0" w:header="0"/>
          <w:type w:val="continuous"/>
        </w:sectPr>
      </w:pPr>
    </w:p>
    <w:p>
      <w:pPr>
        <w:spacing w:after="0" w:line="398" w:lineRule="exact"/>
        <w:rPr>
          <w:sz w:val="20"/>
          <w:szCs w:val="20"/>
          <w:color w:val="auto"/>
        </w:rPr>
      </w:pPr>
    </w:p>
    <w:p>
      <w:pPr>
        <w:ind w:left="20" w:right="100"/>
        <w:spacing w:after="0" w:line="362" w:lineRule="auto"/>
        <w:rPr>
          <w:sz w:val="20"/>
          <w:szCs w:val="20"/>
          <w:color w:val="auto"/>
        </w:rPr>
      </w:pPr>
      <w:r>
        <w:rPr>
          <w:rFonts w:ascii="Arial" w:cs="Arial" w:eastAsia="Arial" w:hAnsi="Arial"/>
          <w:sz w:val="11"/>
          <w:szCs w:val="11"/>
          <w:color w:val="131E29"/>
        </w:rPr>
        <w:t>(in thousands; unaudited) Company-operated shop gross profit</w:t>
      </w:r>
    </w:p>
    <w:p>
      <w:pPr>
        <w:ind w:left="20" w:right="20"/>
        <w:spacing w:after="0" w:line="283" w:lineRule="auto"/>
        <w:rPr>
          <w:sz w:val="20"/>
          <w:szCs w:val="20"/>
          <w:color w:val="auto"/>
        </w:rPr>
      </w:pPr>
      <w:r>
        <w:rPr>
          <w:rFonts w:ascii="Arial" w:cs="Arial" w:eastAsia="Arial" w:hAnsi="Arial"/>
          <w:sz w:val="11"/>
          <w:szCs w:val="11"/>
          <w:i w:val="1"/>
          <w:iCs w:val="1"/>
          <w:color w:val="131E29"/>
        </w:rPr>
        <w:t>As a percentage of company-operated shop revenues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 xml:space="preserve">Company-operated shop contribution </w:t>
      </w:r>
      <w:r>
        <w:rPr>
          <w:rFonts w:ascii="Arial" w:cs="Arial" w:eastAsia="Arial" w:hAnsi="Arial"/>
          <w:sz w:val="14"/>
          <w:szCs w:val="14"/>
          <w:color w:val="131E29"/>
          <w:vertAlign w:val="superscript"/>
        </w:rPr>
        <w:t>1</w:t>
      </w:r>
    </w:p>
    <w:p>
      <w:pPr>
        <w:spacing w:after="0" w:line="32" w:lineRule="exact"/>
        <w:rPr>
          <w:sz w:val="20"/>
          <w:szCs w:val="20"/>
          <w:color w:val="auto"/>
        </w:rPr>
      </w:pPr>
    </w:p>
    <w:p>
      <w:pPr>
        <w:ind w:left="20" w:right="20"/>
        <w:spacing w:after="0" w:line="264" w:lineRule="auto"/>
        <w:rPr>
          <w:sz w:val="20"/>
          <w:szCs w:val="20"/>
          <w:color w:val="auto"/>
        </w:rPr>
      </w:pPr>
      <w:r>
        <w:rPr>
          <w:rFonts w:ascii="Arial" w:cs="Arial" w:eastAsia="Arial" w:hAnsi="Arial"/>
          <w:sz w:val="11"/>
          <w:szCs w:val="11"/>
          <w:i w:val="1"/>
          <w:iCs w:val="1"/>
          <w:color w:val="131E29"/>
        </w:rPr>
        <w:t>As a percentage of company-operated shop revenues</w:t>
      </w:r>
    </w:p>
    <w:p>
      <w:pPr>
        <w:spacing w:after="0" w:line="68" w:lineRule="exact"/>
        <w:rPr>
          <w:sz w:val="20"/>
          <w:szCs w:val="20"/>
          <w:color w:val="auto"/>
        </w:rPr>
      </w:pPr>
    </w:p>
    <w:p>
      <w:pPr>
        <w:spacing w:after="0"/>
        <w:rPr>
          <w:sz w:val="20"/>
          <w:szCs w:val="20"/>
          <w:color w:val="auto"/>
        </w:rPr>
      </w:pPr>
      <w:r>
        <w:rPr>
          <w:rFonts w:ascii="Arial" w:cs="Arial" w:eastAsia="Arial" w:hAnsi="Arial"/>
          <w:sz w:val="8"/>
          <w:szCs w:val="8"/>
          <w:color w:val="131E29"/>
        </w:rPr>
        <w:t>_______________________</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131E29"/>
              </w:rPr>
              <w:t>Three Months Ended September 30,</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131E29"/>
              </w:rPr>
              <w:t>Nine Months Ended September 30,</w:t>
            </w:r>
          </w:p>
        </w:tc>
        <w:tc>
          <w:tcPr>
            <w:tcW w:w="940" w:type="dxa"/>
            <w:vAlign w:val="bottom"/>
            <w:tcBorders>
              <w:bottom w:val="single" w:sz="8" w:color="auto"/>
            </w:tcBorders>
          </w:tcPr>
          <w:p>
            <w:pPr>
              <w:spacing w:after="0"/>
              <w:rPr>
                <w:sz w:val="17"/>
                <w:szCs w:val="17"/>
                <w:color w:val="auto"/>
              </w:rPr>
            </w:pPr>
          </w:p>
        </w:tc>
      </w:tr>
      <w:tr>
        <w:trPr>
          <w:trHeight w:val="203"/>
        </w:trPr>
        <w:tc>
          <w:tcPr>
            <w:tcW w:w="92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131E29"/>
                <w:w w:val="96"/>
              </w:rPr>
              <w:t>2024</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100" w:type="dxa"/>
            <w:vAlign w:val="bottom"/>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r>
      <w:tr>
        <w:trPr>
          <w:trHeight w:val="174"/>
        </w:trPr>
        <w:tc>
          <w:tcPr>
            <w:tcW w:w="920" w:type="dxa"/>
            <w:vAlign w:val="bottom"/>
          </w:tcPr>
          <w:p>
            <w:pPr>
              <w:jc w:val="center"/>
              <w:ind w:left="75"/>
              <w:spacing w:after="0"/>
              <w:rPr>
                <w:sz w:val="20"/>
                <w:szCs w:val="20"/>
                <w:color w:val="auto"/>
              </w:rPr>
            </w:pPr>
            <w:r>
              <w:rPr>
                <w:rFonts w:ascii="Arial" w:cs="Arial" w:eastAsia="Arial" w:hAnsi="Arial"/>
                <w:sz w:val="13"/>
                <w:szCs w:val="13"/>
                <w:color w:val="131E29"/>
                <w:w w:val="97"/>
              </w:rPr>
              <w:t>$68,377</w:t>
            </w:r>
          </w:p>
        </w:tc>
        <w:tc>
          <w:tcPr>
            <w:tcW w:w="1300" w:type="dxa"/>
            <w:vAlign w:val="bottom"/>
            <w:gridSpan w:val="3"/>
          </w:tcPr>
          <w:p>
            <w:pPr>
              <w:jc w:val="center"/>
              <w:ind w:left="175"/>
              <w:spacing w:after="0"/>
              <w:rPr>
                <w:sz w:val="20"/>
                <w:szCs w:val="20"/>
                <w:color w:val="auto"/>
              </w:rPr>
            </w:pPr>
            <w:r>
              <w:rPr>
                <w:rFonts w:ascii="Arial" w:cs="Arial" w:eastAsia="Arial" w:hAnsi="Arial"/>
                <w:sz w:val="13"/>
                <w:szCs w:val="13"/>
                <w:color w:val="131E29"/>
                <w:w w:val="97"/>
              </w:rPr>
              <w:t>$56,992</w:t>
            </w:r>
          </w:p>
        </w:tc>
        <w:tc>
          <w:tcPr>
            <w:tcW w:w="8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3"/>
                <w:szCs w:val="13"/>
                <w:color w:val="131E29"/>
                <w:w w:val="93"/>
              </w:rPr>
              <w:t>$11,385</w:t>
            </w:r>
          </w:p>
        </w:tc>
        <w:tc>
          <w:tcPr>
            <w:tcW w:w="940" w:type="dxa"/>
            <w:vAlign w:val="bottom"/>
          </w:tcPr>
          <w:p>
            <w:pPr>
              <w:jc w:val="center"/>
              <w:ind w:right="76"/>
              <w:spacing w:after="0"/>
              <w:rPr>
                <w:sz w:val="20"/>
                <w:szCs w:val="20"/>
                <w:color w:val="auto"/>
              </w:rPr>
            </w:pPr>
            <w:r>
              <w:rPr>
                <w:rFonts w:ascii="Arial" w:cs="Arial" w:eastAsia="Arial" w:hAnsi="Arial"/>
                <w:sz w:val="13"/>
                <w:szCs w:val="13"/>
                <w:color w:val="131E29"/>
                <w:w w:val="97"/>
              </w:rPr>
              <w:t>20.0%</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131E29"/>
                <w:w w:val="95"/>
              </w:rPr>
              <w:t>$192,698</w:t>
            </w:r>
          </w:p>
        </w:tc>
        <w:tc>
          <w:tcPr>
            <w:tcW w:w="1160" w:type="dxa"/>
            <w:vAlign w:val="bottom"/>
            <w:gridSpan w:val="2"/>
          </w:tcPr>
          <w:p>
            <w:pPr>
              <w:jc w:val="center"/>
              <w:ind w:left="35"/>
              <w:spacing w:after="0"/>
              <w:rPr>
                <w:sz w:val="20"/>
                <w:szCs w:val="20"/>
                <w:color w:val="auto"/>
              </w:rPr>
            </w:pPr>
            <w:r>
              <w:rPr>
                <w:rFonts w:ascii="Arial" w:cs="Arial" w:eastAsia="Arial" w:hAnsi="Arial"/>
                <w:sz w:val="13"/>
                <w:szCs w:val="13"/>
                <w:color w:val="131E29"/>
                <w:w w:val="99"/>
              </w:rPr>
              <w:t>$137,943</w:t>
            </w:r>
          </w:p>
        </w:tc>
        <w:tc>
          <w:tcPr>
            <w:tcW w:w="100" w:type="dxa"/>
            <w:vAlign w:val="bottom"/>
          </w:tcPr>
          <w:p>
            <w:pPr>
              <w:spacing w:after="0"/>
              <w:rPr>
                <w:sz w:val="15"/>
                <w:szCs w:val="15"/>
                <w:color w:val="auto"/>
              </w:rPr>
            </w:pPr>
          </w:p>
        </w:tc>
        <w:tc>
          <w:tcPr>
            <w:tcW w:w="1300" w:type="dxa"/>
            <w:vAlign w:val="bottom"/>
          </w:tcPr>
          <w:p>
            <w:pPr>
              <w:jc w:val="center"/>
              <w:ind w:right="175"/>
              <w:spacing w:after="0"/>
              <w:rPr>
                <w:sz w:val="20"/>
                <w:szCs w:val="20"/>
                <w:color w:val="auto"/>
              </w:rPr>
            </w:pPr>
            <w:r>
              <w:rPr>
                <w:rFonts w:ascii="Arial" w:cs="Arial" w:eastAsia="Arial" w:hAnsi="Arial"/>
                <w:sz w:val="13"/>
                <w:szCs w:val="13"/>
                <w:color w:val="131E29"/>
                <w:w w:val="97"/>
              </w:rPr>
              <w:t>$54,755</w:t>
            </w:r>
          </w:p>
        </w:tc>
        <w:tc>
          <w:tcPr>
            <w:tcW w:w="940" w:type="dxa"/>
            <w:vAlign w:val="bottom"/>
          </w:tcPr>
          <w:p>
            <w:pPr>
              <w:jc w:val="center"/>
              <w:ind w:right="76"/>
              <w:spacing w:after="0"/>
              <w:rPr>
                <w:sz w:val="20"/>
                <w:szCs w:val="20"/>
                <w:color w:val="auto"/>
              </w:rPr>
            </w:pPr>
            <w:r>
              <w:rPr>
                <w:rFonts w:ascii="Arial" w:cs="Arial" w:eastAsia="Arial" w:hAnsi="Arial"/>
                <w:sz w:val="13"/>
                <w:szCs w:val="13"/>
                <w:color w:val="131E29"/>
                <w:w w:val="97"/>
              </w:rPr>
              <w:t>39.7%</w:t>
            </w:r>
          </w:p>
        </w:tc>
      </w:tr>
      <w:tr>
        <w:trPr>
          <w:trHeight w:val="318"/>
        </w:trPr>
        <w:tc>
          <w:tcPr>
            <w:tcW w:w="920" w:type="dxa"/>
            <w:vAlign w:val="bottom"/>
          </w:tcPr>
          <w:p>
            <w:pPr>
              <w:jc w:val="center"/>
              <w:ind w:left="75"/>
              <w:spacing w:after="0"/>
              <w:rPr>
                <w:sz w:val="20"/>
                <w:szCs w:val="20"/>
                <w:color w:val="auto"/>
              </w:rPr>
            </w:pPr>
            <w:r>
              <w:rPr>
                <w:rFonts w:ascii="Arial" w:cs="Arial" w:eastAsia="Arial" w:hAnsi="Arial"/>
                <w:sz w:val="13"/>
                <w:szCs w:val="13"/>
                <w:color w:val="131E29"/>
              </w:rPr>
              <w:t>22.2%</w:t>
            </w:r>
          </w:p>
        </w:tc>
        <w:tc>
          <w:tcPr>
            <w:tcW w:w="1300" w:type="dxa"/>
            <w:vAlign w:val="bottom"/>
            <w:gridSpan w:val="3"/>
          </w:tcPr>
          <w:p>
            <w:pPr>
              <w:jc w:val="center"/>
              <w:ind w:left="155"/>
              <w:spacing w:after="0"/>
              <w:rPr>
                <w:sz w:val="20"/>
                <w:szCs w:val="20"/>
                <w:color w:val="auto"/>
              </w:rPr>
            </w:pPr>
            <w:r>
              <w:rPr>
                <w:rFonts w:ascii="Arial" w:cs="Arial" w:eastAsia="Arial" w:hAnsi="Arial"/>
                <w:sz w:val="13"/>
                <w:szCs w:val="13"/>
                <w:color w:val="131E29"/>
                <w:w w:val="97"/>
              </w:rPr>
              <w:t>24.1%</w:t>
            </w:r>
          </w:p>
        </w:tc>
        <w:tc>
          <w:tcPr>
            <w:tcW w:w="80" w:type="dxa"/>
            <w:vAlign w:val="bottom"/>
          </w:tcPr>
          <w:p>
            <w:pPr>
              <w:spacing w:after="0"/>
              <w:rPr>
                <w:sz w:val="24"/>
                <w:szCs w:val="24"/>
                <w:color w:val="auto"/>
              </w:rPr>
            </w:pPr>
          </w:p>
        </w:tc>
        <w:tc>
          <w:tcPr>
            <w:tcW w:w="1300" w:type="dxa"/>
            <w:vAlign w:val="bottom"/>
          </w:tcPr>
          <w:p>
            <w:pPr>
              <w:jc w:val="center"/>
              <w:ind w:right="155"/>
              <w:spacing w:after="0"/>
              <w:rPr>
                <w:sz w:val="20"/>
                <w:szCs w:val="20"/>
                <w:color w:val="auto"/>
              </w:rPr>
            </w:pPr>
            <w:r>
              <w:rPr>
                <w:rFonts w:ascii="Arial" w:cs="Arial" w:eastAsia="Arial" w:hAnsi="Arial"/>
                <w:sz w:val="13"/>
                <w:szCs w:val="13"/>
                <w:color w:val="131E29"/>
                <w:w w:val="92"/>
              </w:rPr>
              <w:t>N/A</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color w:val="131E29"/>
                <w:w w:val="94"/>
              </w:rPr>
              <w:t>(190) bps</w:t>
            </w:r>
          </w:p>
        </w:tc>
        <w:tc>
          <w:tcPr>
            <w:tcW w:w="1080" w:type="dxa"/>
            <w:vAlign w:val="bottom"/>
          </w:tcPr>
          <w:p>
            <w:pPr>
              <w:jc w:val="center"/>
              <w:spacing w:after="0"/>
              <w:rPr>
                <w:sz w:val="20"/>
                <w:szCs w:val="20"/>
                <w:color w:val="auto"/>
              </w:rPr>
            </w:pPr>
            <w:r>
              <w:rPr>
                <w:rFonts w:ascii="Arial" w:cs="Arial" w:eastAsia="Arial" w:hAnsi="Arial"/>
                <w:sz w:val="13"/>
                <w:szCs w:val="13"/>
                <w:color w:val="131E29"/>
                <w:w w:val="97"/>
              </w:rPr>
              <w:t>22.6%</w:t>
            </w:r>
          </w:p>
        </w:tc>
        <w:tc>
          <w:tcPr>
            <w:tcW w:w="1160" w:type="dxa"/>
            <w:vAlign w:val="bottom"/>
            <w:gridSpan w:val="2"/>
          </w:tcPr>
          <w:p>
            <w:pPr>
              <w:jc w:val="center"/>
              <w:ind w:left="15"/>
              <w:spacing w:after="0"/>
              <w:rPr>
                <w:sz w:val="20"/>
                <w:szCs w:val="20"/>
                <w:color w:val="auto"/>
              </w:rPr>
            </w:pPr>
            <w:r>
              <w:rPr>
                <w:rFonts w:ascii="Arial" w:cs="Arial" w:eastAsia="Arial" w:hAnsi="Arial"/>
                <w:sz w:val="13"/>
                <w:szCs w:val="13"/>
                <w:color w:val="131E29"/>
                <w:w w:val="97"/>
              </w:rPr>
              <w:t>21.9%</w:t>
            </w:r>
          </w:p>
        </w:tc>
        <w:tc>
          <w:tcPr>
            <w:tcW w:w="100" w:type="dxa"/>
            <w:vAlign w:val="bottom"/>
          </w:tcPr>
          <w:p>
            <w:pPr>
              <w:spacing w:after="0"/>
              <w:rPr>
                <w:sz w:val="24"/>
                <w:szCs w:val="24"/>
                <w:color w:val="auto"/>
              </w:rPr>
            </w:pPr>
          </w:p>
        </w:tc>
        <w:tc>
          <w:tcPr>
            <w:tcW w:w="1300" w:type="dxa"/>
            <w:vAlign w:val="bottom"/>
          </w:tcPr>
          <w:p>
            <w:pPr>
              <w:jc w:val="center"/>
              <w:ind w:right="175"/>
              <w:spacing w:after="0"/>
              <w:rPr>
                <w:sz w:val="20"/>
                <w:szCs w:val="20"/>
                <w:color w:val="auto"/>
              </w:rPr>
            </w:pPr>
            <w:r>
              <w:rPr>
                <w:rFonts w:ascii="Arial" w:cs="Arial" w:eastAsia="Arial" w:hAnsi="Arial"/>
                <w:sz w:val="13"/>
                <w:szCs w:val="13"/>
                <w:color w:val="131E29"/>
              </w:rPr>
              <w:t>N/A</w:t>
            </w:r>
          </w:p>
        </w:tc>
        <w:tc>
          <w:tcPr>
            <w:tcW w:w="940" w:type="dxa"/>
            <w:vAlign w:val="bottom"/>
          </w:tcPr>
          <w:p>
            <w:pPr>
              <w:jc w:val="center"/>
              <w:ind w:right="56"/>
              <w:spacing w:after="0"/>
              <w:rPr>
                <w:sz w:val="20"/>
                <w:szCs w:val="20"/>
                <w:color w:val="auto"/>
              </w:rPr>
            </w:pPr>
            <w:r>
              <w:rPr>
                <w:rFonts w:ascii="Arial" w:cs="Arial" w:eastAsia="Arial" w:hAnsi="Arial"/>
                <w:sz w:val="13"/>
                <w:szCs w:val="13"/>
                <w:color w:val="131E29"/>
                <w:w w:val="97"/>
              </w:rPr>
              <w:t>70 bps</w:t>
            </w:r>
          </w:p>
        </w:tc>
      </w:tr>
      <w:tr>
        <w:trPr>
          <w:trHeight w:val="191"/>
        </w:trPr>
        <w:tc>
          <w:tcPr>
            <w:tcW w:w="920" w:type="dxa"/>
            <w:vAlign w:val="bottom"/>
          </w:tcPr>
          <w:p>
            <w:pPr>
              <w:jc w:val="center"/>
              <w:ind w:left="75"/>
              <w:spacing w:after="0"/>
              <w:rPr>
                <w:sz w:val="20"/>
                <w:szCs w:val="20"/>
                <w:color w:val="auto"/>
              </w:rPr>
            </w:pPr>
            <w:r>
              <w:rPr>
                <w:rFonts w:ascii="Arial" w:cs="Arial" w:eastAsia="Arial" w:hAnsi="Arial"/>
                <w:sz w:val="13"/>
                <w:szCs w:val="13"/>
                <w:color w:val="131E29"/>
                <w:w w:val="97"/>
              </w:rPr>
              <w:t>$90,847</w:t>
            </w:r>
          </w:p>
        </w:tc>
        <w:tc>
          <w:tcPr>
            <w:tcW w:w="1300" w:type="dxa"/>
            <w:vAlign w:val="bottom"/>
            <w:gridSpan w:val="3"/>
          </w:tcPr>
          <w:p>
            <w:pPr>
              <w:jc w:val="center"/>
              <w:ind w:left="175"/>
              <w:spacing w:after="0"/>
              <w:rPr>
                <w:sz w:val="20"/>
                <w:szCs w:val="20"/>
                <w:color w:val="auto"/>
              </w:rPr>
            </w:pPr>
            <w:r>
              <w:rPr>
                <w:rFonts w:ascii="Arial" w:cs="Arial" w:eastAsia="Arial" w:hAnsi="Arial"/>
                <w:sz w:val="13"/>
                <w:szCs w:val="13"/>
                <w:color w:val="131E29"/>
                <w:w w:val="97"/>
              </w:rPr>
              <w:t>$73,324</w:t>
            </w:r>
          </w:p>
        </w:tc>
        <w:tc>
          <w:tcPr>
            <w:tcW w:w="8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Arial" w:cs="Arial" w:eastAsia="Arial" w:hAnsi="Arial"/>
                <w:sz w:val="13"/>
                <w:szCs w:val="13"/>
                <w:color w:val="131E29"/>
                <w:w w:val="97"/>
              </w:rPr>
              <w:t>$17,523</w:t>
            </w:r>
          </w:p>
        </w:tc>
        <w:tc>
          <w:tcPr>
            <w:tcW w:w="940" w:type="dxa"/>
            <w:vAlign w:val="bottom"/>
          </w:tcPr>
          <w:p>
            <w:pPr>
              <w:jc w:val="center"/>
              <w:ind w:right="76"/>
              <w:spacing w:after="0"/>
              <w:rPr>
                <w:sz w:val="20"/>
                <w:szCs w:val="20"/>
                <w:color w:val="auto"/>
              </w:rPr>
            </w:pPr>
            <w:r>
              <w:rPr>
                <w:rFonts w:ascii="Arial" w:cs="Arial" w:eastAsia="Arial" w:hAnsi="Arial"/>
                <w:sz w:val="13"/>
                <w:szCs w:val="13"/>
                <w:color w:val="131E29"/>
                <w:w w:val="97"/>
              </w:rPr>
              <w:t>23.9%</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131E29"/>
                <w:w w:val="95"/>
              </w:rPr>
              <w:t>$255,900</w:t>
            </w:r>
          </w:p>
        </w:tc>
        <w:tc>
          <w:tcPr>
            <w:tcW w:w="1160" w:type="dxa"/>
            <w:vAlign w:val="bottom"/>
            <w:gridSpan w:val="2"/>
          </w:tcPr>
          <w:p>
            <w:pPr>
              <w:jc w:val="center"/>
              <w:ind w:left="35"/>
              <w:spacing w:after="0"/>
              <w:rPr>
                <w:sz w:val="20"/>
                <w:szCs w:val="20"/>
                <w:color w:val="auto"/>
              </w:rPr>
            </w:pPr>
            <w:r>
              <w:rPr>
                <w:rFonts w:ascii="Arial" w:cs="Arial" w:eastAsia="Arial" w:hAnsi="Arial"/>
                <w:sz w:val="13"/>
                <w:szCs w:val="13"/>
                <w:color w:val="131E29"/>
                <w:w w:val="99"/>
              </w:rPr>
              <w:t>$182,075</w:t>
            </w:r>
          </w:p>
        </w:tc>
        <w:tc>
          <w:tcPr>
            <w:tcW w:w="100" w:type="dxa"/>
            <w:vAlign w:val="bottom"/>
          </w:tcPr>
          <w:p>
            <w:pPr>
              <w:spacing w:after="0"/>
              <w:rPr>
                <w:sz w:val="16"/>
                <w:szCs w:val="16"/>
                <w:color w:val="auto"/>
              </w:rPr>
            </w:pPr>
          </w:p>
        </w:tc>
        <w:tc>
          <w:tcPr>
            <w:tcW w:w="1300" w:type="dxa"/>
            <w:vAlign w:val="bottom"/>
          </w:tcPr>
          <w:p>
            <w:pPr>
              <w:jc w:val="center"/>
              <w:ind w:right="175"/>
              <w:spacing w:after="0"/>
              <w:rPr>
                <w:sz w:val="20"/>
                <w:szCs w:val="20"/>
                <w:color w:val="auto"/>
              </w:rPr>
            </w:pPr>
            <w:r>
              <w:rPr>
                <w:rFonts w:ascii="Arial" w:cs="Arial" w:eastAsia="Arial" w:hAnsi="Arial"/>
                <w:sz w:val="13"/>
                <w:szCs w:val="13"/>
                <w:color w:val="131E29"/>
                <w:w w:val="97"/>
              </w:rPr>
              <w:t>$73,825</w:t>
            </w:r>
          </w:p>
        </w:tc>
        <w:tc>
          <w:tcPr>
            <w:tcW w:w="940" w:type="dxa"/>
            <w:vAlign w:val="bottom"/>
          </w:tcPr>
          <w:p>
            <w:pPr>
              <w:jc w:val="center"/>
              <w:ind w:right="76"/>
              <w:spacing w:after="0"/>
              <w:rPr>
                <w:sz w:val="20"/>
                <w:szCs w:val="20"/>
                <w:color w:val="auto"/>
              </w:rPr>
            </w:pPr>
            <w:r>
              <w:rPr>
                <w:rFonts w:ascii="Arial" w:cs="Arial" w:eastAsia="Arial" w:hAnsi="Arial"/>
                <w:sz w:val="13"/>
                <w:szCs w:val="13"/>
                <w:color w:val="131E29"/>
                <w:w w:val="97"/>
              </w:rPr>
              <w:t>40.5%</w:t>
            </w:r>
          </w:p>
        </w:tc>
      </w:tr>
      <w:tr>
        <w:trPr>
          <w:trHeight w:val="318"/>
        </w:trPr>
        <w:tc>
          <w:tcPr>
            <w:tcW w:w="920" w:type="dxa"/>
            <w:vAlign w:val="bottom"/>
          </w:tcPr>
          <w:p>
            <w:pPr>
              <w:jc w:val="center"/>
              <w:ind w:left="75"/>
              <w:spacing w:after="0"/>
              <w:rPr>
                <w:sz w:val="20"/>
                <w:szCs w:val="20"/>
                <w:color w:val="auto"/>
              </w:rPr>
            </w:pPr>
            <w:r>
              <w:rPr>
                <w:rFonts w:ascii="Arial" w:cs="Arial" w:eastAsia="Arial" w:hAnsi="Arial"/>
                <w:sz w:val="13"/>
                <w:szCs w:val="13"/>
                <w:color w:val="131E29"/>
              </w:rPr>
              <w:t>29.5%</w:t>
            </w:r>
          </w:p>
        </w:tc>
        <w:tc>
          <w:tcPr>
            <w:tcW w:w="1300" w:type="dxa"/>
            <w:vAlign w:val="bottom"/>
            <w:gridSpan w:val="3"/>
          </w:tcPr>
          <w:p>
            <w:pPr>
              <w:jc w:val="center"/>
              <w:ind w:left="155"/>
              <w:spacing w:after="0"/>
              <w:rPr>
                <w:sz w:val="20"/>
                <w:szCs w:val="20"/>
                <w:color w:val="auto"/>
              </w:rPr>
            </w:pPr>
            <w:r>
              <w:rPr>
                <w:rFonts w:ascii="Arial" w:cs="Arial" w:eastAsia="Arial" w:hAnsi="Arial"/>
                <w:sz w:val="13"/>
                <w:szCs w:val="13"/>
                <w:color w:val="131E29"/>
                <w:w w:val="97"/>
              </w:rPr>
              <w:t>31.0%</w:t>
            </w:r>
          </w:p>
        </w:tc>
        <w:tc>
          <w:tcPr>
            <w:tcW w:w="80" w:type="dxa"/>
            <w:vAlign w:val="bottom"/>
          </w:tcPr>
          <w:p>
            <w:pPr>
              <w:spacing w:after="0"/>
              <w:rPr>
                <w:sz w:val="24"/>
                <w:szCs w:val="24"/>
                <w:color w:val="auto"/>
              </w:rPr>
            </w:pPr>
          </w:p>
        </w:tc>
        <w:tc>
          <w:tcPr>
            <w:tcW w:w="1300" w:type="dxa"/>
            <w:vAlign w:val="bottom"/>
          </w:tcPr>
          <w:p>
            <w:pPr>
              <w:jc w:val="center"/>
              <w:ind w:right="155"/>
              <w:spacing w:after="0"/>
              <w:rPr>
                <w:sz w:val="20"/>
                <w:szCs w:val="20"/>
                <w:color w:val="auto"/>
              </w:rPr>
            </w:pPr>
            <w:r>
              <w:rPr>
                <w:rFonts w:ascii="Arial" w:cs="Arial" w:eastAsia="Arial" w:hAnsi="Arial"/>
                <w:sz w:val="13"/>
                <w:szCs w:val="13"/>
                <w:color w:val="131E29"/>
                <w:w w:val="92"/>
              </w:rPr>
              <w:t>N/A</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color w:val="131E29"/>
                <w:w w:val="94"/>
              </w:rPr>
              <w:t>(150) bps</w:t>
            </w:r>
          </w:p>
        </w:tc>
        <w:tc>
          <w:tcPr>
            <w:tcW w:w="1080" w:type="dxa"/>
            <w:vAlign w:val="bottom"/>
          </w:tcPr>
          <w:p>
            <w:pPr>
              <w:jc w:val="center"/>
              <w:spacing w:after="0"/>
              <w:rPr>
                <w:sz w:val="20"/>
                <w:szCs w:val="20"/>
                <w:color w:val="auto"/>
              </w:rPr>
            </w:pPr>
            <w:r>
              <w:rPr>
                <w:rFonts w:ascii="Arial" w:cs="Arial" w:eastAsia="Arial" w:hAnsi="Arial"/>
                <w:sz w:val="13"/>
                <w:szCs w:val="13"/>
                <w:color w:val="131E29"/>
                <w:w w:val="97"/>
              </w:rPr>
              <w:t>30.0%</w:t>
            </w:r>
          </w:p>
        </w:tc>
        <w:tc>
          <w:tcPr>
            <w:tcW w:w="1160" w:type="dxa"/>
            <w:vAlign w:val="bottom"/>
            <w:gridSpan w:val="2"/>
          </w:tcPr>
          <w:p>
            <w:pPr>
              <w:jc w:val="center"/>
              <w:ind w:left="15"/>
              <w:spacing w:after="0"/>
              <w:rPr>
                <w:sz w:val="20"/>
                <w:szCs w:val="20"/>
                <w:color w:val="auto"/>
              </w:rPr>
            </w:pPr>
            <w:r>
              <w:rPr>
                <w:rFonts w:ascii="Arial" w:cs="Arial" w:eastAsia="Arial" w:hAnsi="Arial"/>
                <w:sz w:val="13"/>
                <w:szCs w:val="13"/>
                <w:color w:val="131E29"/>
                <w:w w:val="97"/>
              </w:rPr>
              <w:t>28.9%</w:t>
            </w:r>
          </w:p>
        </w:tc>
        <w:tc>
          <w:tcPr>
            <w:tcW w:w="100" w:type="dxa"/>
            <w:vAlign w:val="bottom"/>
          </w:tcPr>
          <w:p>
            <w:pPr>
              <w:spacing w:after="0"/>
              <w:rPr>
                <w:sz w:val="24"/>
                <w:szCs w:val="24"/>
                <w:color w:val="auto"/>
              </w:rPr>
            </w:pPr>
          </w:p>
        </w:tc>
        <w:tc>
          <w:tcPr>
            <w:tcW w:w="1300" w:type="dxa"/>
            <w:vAlign w:val="bottom"/>
          </w:tcPr>
          <w:p>
            <w:pPr>
              <w:jc w:val="center"/>
              <w:ind w:right="175"/>
              <w:spacing w:after="0"/>
              <w:rPr>
                <w:sz w:val="20"/>
                <w:szCs w:val="20"/>
                <w:color w:val="auto"/>
              </w:rPr>
            </w:pPr>
            <w:r>
              <w:rPr>
                <w:rFonts w:ascii="Arial" w:cs="Arial" w:eastAsia="Arial" w:hAnsi="Arial"/>
                <w:sz w:val="13"/>
                <w:szCs w:val="13"/>
                <w:color w:val="131E29"/>
              </w:rPr>
              <w:t>N/A</w:t>
            </w:r>
          </w:p>
        </w:tc>
        <w:tc>
          <w:tcPr>
            <w:tcW w:w="940" w:type="dxa"/>
            <w:vAlign w:val="bottom"/>
          </w:tcPr>
          <w:p>
            <w:pPr>
              <w:jc w:val="center"/>
              <w:ind w:right="76"/>
              <w:spacing w:after="0"/>
              <w:rPr>
                <w:sz w:val="20"/>
                <w:szCs w:val="20"/>
                <w:color w:val="auto"/>
              </w:rPr>
            </w:pPr>
            <w:r>
              <w:rPr>
                <w:rFonts w:ascii="Arial" w:cs="Arial" w:eastAsia="Arial" w:hAnsi="Arial"/>
                <w:sz w:val="13"/>
                <w:szCs w:val="13"/>
                <w:color w:val="131E29"/>
                <w:w w:val="95"/>
              </w:rPr>
              <w:t>110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-314325</wp:posOffset>
            </wp:positionV>
            <wp:extent cx="7161530" cy="1212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-644525</wp:posOffset>
            </wp:positionV>
            <wp:extent cx="7161530" cy="128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1960" w:space="120"/>
            <w:col w:w="9200"/>
          </w:cols>
          <w:pgMar w:left="300" w:top="133" w:right="319" w:bottom="1440" w:gutter="0" w:footer="0" w:header="0"/>
          <w:type w:val="continuous"/>
        </w:sectPr>
      </w:pPr>
    </w:p>
    <w:p>
      <w:pPr>
        <w:ind w:left="120" w:hanging="115"/>
        <w:spacing w:after="0"/>
        <w:tabs>
          <w:tab w:leader="none" w:pos="120" w:val="left"/>
        </w:tabs>
        <w:numPr>
          <w:ilvl w:val="0"/>
          <w:numId w:val="20"/>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 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company-operated shop gross profit for the year-over-year comparison, presented in basis points (as a percentage of current year company-operated shop revenues), was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BPS</w:t>
            </w:r>
          </w:p>
        </w:tc>
      </w:tr>
      <w:tr>
        <w:trPr>
          <w:trHeight w:val="209"/>
        </w:trPr>
        <w:tc>
          <w:tcPr>
            <w:tcW w:w="9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Pricing impacts</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250</w:t>
            </w:r>
          </w:p>
        </w:tc>
      </w:tr>
      <w:tr>
        <w:trPr>
          <w:trHeight w:val="202"/>
        </w:trPr>
        <w:tc>
          <w:tcPr>
            <w:tcW w:w="9960" w:type="dxa"/>
            <w:vAlign w:val="bottom"/>
            <w:gridSpan w:val="2"/>
          </w:tcPr>
          <w:p>
            <w:pPr>
              <w:ind w:left="20"/>
              <w:spacing w:after="0"/>
              <w:rPr>
                <w:sz w:val="20"/>
                <w:szCs w:val="20"/>
                <w:color w:val="auto"/>
              </w:rPr>
            </w:pPr>
            <w:r>
              <w:rPr>
                <w:rFonts w:ascii="Arial" w:cs="Arial" w:eastAsia="Arial" w:hAnsi="Arial"/>
                <w:sz w:val="14"/>
                <w:szCs w:val="14"/>
                <w:color w:val="131E29"/>
              </w:rPr>
              <w:t>Labor costs</w:t>
            </w:r>
          </w:p>
        </w:tc>
        <w:tc>
          <w:tcPr>
            <w:tcW w:w="1320" w:type="dxa"/>
            <w:vAlign w:val="bottom"/>
          </w:tcPr>
          <w:p>
            <w:pPr>
              <w:jc w:val="right"/>
              <w:spacing w:after="0"/>
              <w:rPr>
                <w:sz w:val="20"/>
                <w:szCs w:val="20"/>
                <w:color w:val="auto"/>
              </w:rPr>
            </w:pPr>
            <w:r>
              <w:rPr>
                <w:rFonts w:ascii="Arial" w:cs="Arial" w:eastAsia="Arial" w:hAnsi="Arial"/>
                <w:sz w:val="14"/>
                <w:szCs w:val="14"/>
                <w:color w:val="131E29"/>
              </w:rPr>
              <w:t>(210)</w:t>
            </w:r>
          </w:p>
        </w:tc>
      </w:tr>
      <w:tr>
        <w:trPr>
          <w:trHeight w:val="222"/>
        </w:trPr>
        <w:tc>
          <w:tcPr>
            <w:tcW w:w="9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Repairs and maintenance</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(70)</w:t>
            </w:r>
          </w:p>
        </w:tc>
      </w:tr>
      <w:tr>
        <w:trPr>
          <w:trHeight w:val="202"/>
        </w:trPr>
        <w:tc>
          <w:tcPr>
            <w:tcW w:w="9960" w:type="dxa"/>
            <w:vAlign w:val="bottom"/>
            <w:gridSpan w:val="2"/>
          </w:tcPr>
          <w:p>
            <w:pPr>
              <w:ind w:left="20"/>
              <w:spacing w:after="0"/>
              <w:rPr>
                <w:sz w:val="20"/>
                <w:szCs w:val="20"/>
                <w:color w:val="auto"/>
              </w:rPr>
            </w:pPr>
            <w:r>
              <w:rPr>
                <w:rFonts w:ascii="Arial" w:cs="Arial" w:eastAsia="Arial" w:hAnsi="Arial"/>
                <w:sz w:val="14"/>
                <w:szCs w:val="14"/>
                <w:color w:val="131E29"/>
              </w:rPr>
              <w:t>Discounts</w:t>
            </w:r>
          </w:p>
        </w:tc>
        <w:tc>
          <w:tcPr>
            <w:tcW w:w="1320" w:type="dxa"/>
            <w:vAlign w:val="bottom"/>
          </w:tcPr>
          <w:p>
            <w:pPr>
              <w:jc w:val="right"/>
              <w:spacing w:after="0"/>
              <w:rPr>
                <w:sz w:val="20"/>
                <w:szCs w:val="20"/>
                <w:color w:val="auto"/>
              </w:rPr>
            </w:pPr>
            <w:r>
              <w:rPr>
                <w:rFonts w:ascii="Arial" w:cs="Arial" w:eastAsia="Arial" w:hAnsi="Arial"/>
                <w:sz w:val="14"/>
                <w:szCs w:val="14"/>
                <w:color w:val="131E29"/>
              </w:rPr>
              <w:t>(60)</w:t>
            </w:r>
          </w:p>
        </w:tc>
      </w:tr>
      <w:tr>
        <w:trPr>
          <w:trHeight w:val="222"/>
        </w:trPr>
        <w:tc>
          <w:tcPr>
            <w:tcW w:w="9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New shop related items (including pricing impacts)</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(30)</w:t>
            </w:r>
          </w:p>
        </w:tc>
      </w:tr>
      <w:tr>
        <w:trPr>
          <w:trHeight w:val="202"/>
        </w:trPr>
        <w:tc>
          <w:tcPr>
            <w:tcW w:w="9960" w:type="dxa"/>
            <w:vAlign w:val="bottom"/>
            <w:gridSpan w:val="2"/>
          </w:tcPr>
          <w:p>
            <w:pPr>
              <w:ind w:left="20"/>
              <w:spacing w:after="0"/>
              <w:rPr>
                <w:sz w:val="20"/>
                <w:szCs w:val="20"/>
                <w:color w:val="auto"/>
              </w:rPr>
            </w:pPr>
            <w:r>
              <w:rPr>
                <w:rFonts w:ascii="Arial" w:cs="Arial" w:eastAsia="Arial" w:hAnsi="Arial"/>
                <w:sz w:val="14"/>
                <w:szCs w:val="14"/>
                <w:color w:val="131E29"/>
              </w:rPr>
              <w:t>Other</w:t>
            </w:r>
          </w:p>
        </w:tc>
        <w:tc>
          <w:tcPr>
            <w:tcW w:w="1320" w:type="dxa"/>
            <w:vAlign w:val="bottom"/>
          </w:tcPr>
          <w:p>
            <w:pPr>
              <w:jc w:val="right"/>
              <w:spacing w:after="0"/>
              <w:rPr>
                <w:sz w:val="20"/>
                <w:szCs w:val="20"/>
                <w:color w:val="auto"/>
              </w:rPr>
            </w:pPr>
            <w:r>
              <w:rPr>
                <w:rFonts w:ascii="Arial" w:cs="Arial" w:eastAsia="Arial" w:hAnsi="Arial"/>
                <w:sz w:val="14"/>
                <w:szCs w:val="14"/>
                <w:color w:val="131E29"/>
              </w:rPr>
              <w:t>(30)</w:t>
            </w:r>
          </w:p>
        </w:tc>
      </w:tr>
      <w:tr>
        <w:trPr>
          <w:trHeight w:val="222"/>
        </w:trPr>
        <w:tc>
          <w:tcPr>
            <w:tcW w:w="9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(40)</w:t>
            </w:r>
          </w:p>
        </w:tc>
      </w:tr>
      <w:tr>
        <w:trPr>
          <w:trHeight w:val="197"/>
        </w:trPr>
        <w:tc>
          <w:tcPr>
            <w:tcW w:w="9960" w:type="dxa"/>
            <w:vAlign w:val="bottom"/>
            <w:gridSpan w:val="2"/>
          </w:tcPr>
          <w:p>
            <w:pPr>
              <w:ind w:left="100"/>
              <w:spacing w:after="0"/>
              <w:rPr>
                <w:sz w:val="20"/>
                <w:szCs w:val="20"/>
                <w:color w:val="auto"/>
              </w:rPr>
            </w:pPr>
            <w:r>
              <w:rPr>
                <w:rFonts w:ascii="Arial" w:cs="Arial" w:eastAsia="Arial" w:hAnsi="Arial"/>
                <w:sz w:val="14"/>
                <w:szCs w:val="14"/>
                <w:b w:val="1"/>
                <w:bCs w:val="1"/>
                <w:color w:val="131E29"/>
              </w:rPr>
              <w:t>Total change in Company-operated shop gross profit</w:t>
            </w:r>
          </w:p>
        </w:tc>
        <w:tc>
          <w:tcPr>
            <w:tcW w:w="132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company-operated shop gross profit for the year-over-year comparison, presented in basis points (as a percentage of current year company-operated shop revenues), was driven by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7"/>
                <w:szCs w:val="17"/>
                <w:color w:val="auto"/>
              </w:rPr>
            </w:pPr>
          </w:p>
        </w:tc>
        <w:tc>
          <w:tcPr>
            <w:tcW w:w="1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BPS</w:t>
            </w:r>
          </w:p>
        </w:tc>
      </w:tr>
      <w:tr>
        <w:trPr>
          <w:trHeight w:val="209"/>
        </w:trPr>
        <w:tc>
          <w:tcPr>
            <w:tcW w:w="9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Pricing impacts</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290</w:t>
            </w:r>
          </w:p>
        </w:tc>
      </w:tr>
      <w:tr>
        <w:trPr>
          <w:trHeight w:val="202"/>
        </w:trPr>
        <w:tc>
          <w:tcPr>
            <w:tcW w:w="9960" w:type="dxa"/>
            <w:vAlign w:val="bottom"/>
            <w:gridSpan w:val="2"/>
          </w:tcPr>
          <w:p>
            <w:pPr>
              <w:ind w:left="20"/>
              <w:spacing w:after="0"/>
              <w:rPr>
                <w:sz w:val="20"/>
                <w:szCs w:val="20"/>
                <w:color w:val="auto"/>
              </w:rPr>
            </w:pPr>
            <w:r>
              <w:rPr>
                <w:rFonts w:ascii="Arial" w:cs="Arial" w:eastAsia="Arial" w:hAnsi="Arial"/>
                <w:sz w:val="14"/>
                <w:szCs w:val="14"/>
                <w:color w:val="131E29"/>
              </w:rPr>
              <w:t>Labor costs</w:t>
            </w:r>
          </w:p>
        </w:tc>
        <w:tc>
          <w:tcPr>
            <w:tcW w:w="1320" w:type="dxa"/>
            <w:vAlign w:val="bottom"/>
          </w:tcPr>
          <w:p>
            <w:pPr>
              <w:jc w:val="right"/>
              <w:spacing w:after="0"/>
              <w:rPr>
                <w:sz w:val="20"/>
                <w:szCs w:val="20"/>
                <w:color w:val="auto"/>
              </w:rPr>
            </w:pPr>
            <w:r>
              <w:rPr>
                <w:rFonts w:ascii="Arial" w:cs="Arial" w:eastAsia="Arial" w:hAnsi="Arial"/>
                <w:sz w:val="14"/>
                <w:szCs w:val="14"/>
                <w:color w:val="131E29"/>
              </w:rPr>
              <w:t>(140)</w:t>
            </w:r>
          </w:p>
        </w:tc>
      </w:tr>
      <w:tr>
        <w:trPr>
          <w:trHeight w:val="222"/>
        </w:trPr>
        <w:tc>
          <w:tcPr>
            <w:tcW w:w="99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Repairs and maintenance</w:t>
            </w:r>
          </w:p>
        </w:tc>
        <w:tc>
          <w:tcPr>
            <w:tcW w:w="13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w:t>
            </w:r>
          </w:p>
        </w:tc>
      </w:tr>
      <w:tr>
        <w:trPr>
          <w:trHeight w:val="203"/>
        </w:trPr>
        <w:tc>
          <w:tcPr>
            <w:tcW w:w="99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Depreciation and amortization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(40)</w:t>
            </w:r>
          </w:p>
        </w:tc>
      </w:tr>
      <w:tr>
        <w:trPr>
          <w:trHeight w:val="206"/>
        </w:trPr>
        <w:tc>
          <w:tcPr>
            <w:tcW w:w="9960" w:type="dxa"/>
            <w:vAlign w:val="bottom"/>
            <w:gridSpan w:val="2"/>
            <w:shd w:val="clear" w:color="auto" w:fill="D2DCE5"/>
          </w:tcPr>
          <w:p>
            <w:pPr>
              <w:ind w:left="100"/>
              <w:spacing w:after="0"/>
              <w:rPr>
                <w:sz w:val="20"/>
                <w:szCs w:val="20"/>
                <w:color w:val="auto"/>
              </w:rPr>
            </w:pPr>
            <w:r>
              <w:rPr>
                <w:rFonts w:ascii="Arial" w:cs="Arial" w:eastAsia="Arial" w:hAnsi="Arial"/>
                <w:sz w:val="14"/>
                <w:szCs w:val="14"/>
                <w:b w:val="1"/>
                <w:bCs w:val="1"/>
                <w:color w:val="131E29"/>
              </w:rPr>
              <w:t>Total change in Company-operated shop gross profit</w:t>
            </w:r>
          </w:p>
        </w:tc>
        <w:tc>
          <w:tcPr>
            <w:tcW w:w="13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70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Franchising and Other Segment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131E29"/>
              </w:rPr>
              <w:t>Three Months Ended September 30,</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131E29"/>
              </w:rPr>
              <w:t>Nine Months Ended September 30,</w:t>
            </w:r>
          </w:p>
        </w:tc>
        <w:tc>
          <w:tcPr>
            <w:tcW w:w="940" w:type="dxa"/>
            <w:vAlign w:val="bottom"/>
            <w:tcBorders>
              <w:bottom w:val="single" w:sz="8" w:color="auto"/>
            </w:tcBorders>
          </w:tcPr>
          <w:p>
            <w:pPr>
              <w:spacing w:after="0"/>
              <w:rPr>
                <w:sz w:val="17"/>
                <w:szCs w:val="17"/>
                <w:color w:val="auto"/>
              </w:rPr>
            </w:pPr>
          </w:p>
        </w:tc>
      </w:tr>
      <w:tr>
        <w:trPr>
          <w:trHeight w:val="20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131E29"/>
                <w:w w:val="96"/>
              </w:rPr>
              <w:t>2024</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10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100" w:type="dxa"/>
            <w:vAlign w:val="bottom"/>
            <w:tcBorders>
              <w:bottom w:val="single" w:sz="8" w:color="D2DCE5"/>
            </w:tcBorders>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r>
      <w:tr>
        <w:trPr>
          <w:trHeight w:val="187"/>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Franchising and other revenue</w:t>
            </w:r>
          </w:p>
        </w:tc>
        <w:tc>
          <w:tcPr>
            <w:tcW w:w="920" w:type="dxa"/>
            <w:vAlign w:val="bottom"/>
            <w:shd w:val="clear" w:color="auto" w:fill="D2DCE5"/>
          </w:tcPr>
          <w:p>
            <w:pPr>
              <w:jc w:val="center"/>
              <w:ind w:left="75"/>
              <w:spacing w:after="0"/>
              <w:rPr>
                <w:sz w:val="20"/>
                <w:szCs w:val="20"/>
                <w:color w:val="auto"/>
              </w:rPr>
            </w:pPr>
            <w:r>
              <w:rPr>
                <w:rFonts w:ascii="Arial" w:cs="Arial" w:eastAsia="Arial" w:hAnsi="Arial"/>
                <w:sz w:val="13"/>
                <w:szCs w:val="13"/>
                <w:color w:val="131E29"/>
                <w:w w:val="97"/>
              </w:rPr>
              <w:t>$29,917</w:t>
            </w:r>
          </w:p>
        </w:tc>
        <w:tc>
          <w:tcPr>
            <w:tcW w:w="1300" w:type="dxa"/>
            <w:vAlign w:val="bottom"/>
            <w:gridSpan w:val="3"/>
            <w:shd w:val="clear" w:color="auto" w:fill="D2DCE5"/>
          </w:tcPr>
          <w:p>
            <w:pPr>
              <w:jc w:val="center"/>
              <w:ind w:left="175"/>
              <w:spacing w:after="0"/>
              <w:rPr>
                <w:sz w:val="20"/>
                <w:szCs w:val="20"/>
                <w:color w:val="auto"/>
              </w:rPr>
            </w:pPr>
            <w:r>
              <w:rPr>
                <w:rFonts w:ascii="Arial" w:cs="Arial" w:eastAsia="Arial" w:hAnsi="Arial"/>
                <w:sz w:val="13"/>
                <w:szCs w:val="13"/>
                <w:color w:val="131E29"/>
                <w:w w:val="97"/>
              </w:rPr>
              <w:t>$28,035</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center"/>
              <w:ind w:right="175"/>
              <w:spacing w:after="0"/>
              <w:rPr>
                <w:sz w:val="20"/>
                <w:szCs w:val="20"/>
                <w:color w:val="auto"/>
              </w:rPr>
            </w:pPr>
            <w:r>
              <w:rPr>
                <w:rFonts w:ascii="Arial" w:cs="Arial" w:eastAsia="Arial" w:hAnsi="Arial"/>
                <w:sz w:val="13"/>
                <w:szCs w:val="13"/>
                <w:color w:val="131E29"/>
              </w:rPr>
              <w:t>$1,882</w:t>
            </w:r>
          </w:p>
        </w:tc>
        <w:tc>
          <w:tcPr>
            <w:tcW w:w="920" w:type="dxa"/>
            <w:vAlign w:val="bottom"/>
            <w:shd w:val="clear" w:color="auto" w:fill="D2DCE5"/>
          </w:tcPr>
          <w:p>
            <w:pPr>
              <w:jc w:val="right"/>
              <w:ind w:right="336"/>
              <w:spacing w:after="0"/>
              <w:rPr>
                <w:sz w:val="20"/>
                <w:szCs w:val="20"/>
                <w:color w:val="auto"/>
              </w:rPr>
            </w:pPr>
            <w:r>
              <w:rPr>
                <w:rFonts w:ascii="Arial" w:cs="Arial" w:eastAsia="Arial" w:hAnsi="Arial"/>
                <w:sz w:val="13"/>
                <w:szCs w:val="13"/>
                <w:color w:val="131E29"/>
              </w:rPr>
              <w:t>6.7%</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7"/>
              </w:rPr>
              <w:t>$86,581</w:t>
            </w:r>
          </w:p>
        </w:tc>
        <w:tc>
          <w:tcPr>
            <w:tcW w:w="1160" w:type="dxa"/>
            <w:vAlign w:val="bottom"/>
            <w:gridSpan w:val="2"/>
            <w:shd w:val="clear" w:color="auto" w:fill="D2DCE5"/>
          </w:tcPr>
          <w:p>
            <w:pPr>
              <w:jc w:val="center"/>
              <w:ind w:left="35"/>
              <w:spacing w:after="0"/>
              <w:rPr>
                <w:sz w:val="20"/>
                <w:szCs w:val="20"/>
                <w:color w:val="auto"/>
              </w:rPr>
            </w:pPr>
            <w:r>
              <w:rPr>
                <w:rFonts w:ascii="Arial" w:cs="Arial" w:eastAsia="Arial" w:hAnsi="Arial"/>
                <w:sz w:val="13"/>
                <w:szCs w:val="13"/>
                <w:color w:val="131E29"/>
                <w:w w:val="97"/>
              </w:rPr>
              <w:t>$81,065</w:t>
            </w:r>
          </w:p>
        </w:tc>
        <w:tc>
          <w:tcPr>
            <w:tcW w:w="100" w:type="dxa"/>
            <w:vAlign w:val="bottom"/>
            <w:shd w:val="clear" w:color="auto" w:fill="D2DCE5"/>
          </w:tcPr>
          <w:p>
            <w:pPr>
              <w:spacing w:after="0"/>
              <w:rPr>
                <w:sz w:val="16"/>
                <w:szCs w:val="16"/>
                <w:color w:val="auto"/>
              </w:rPr>
            </w:pPr>
          </w:p>
        </w:tc>
        <w:tc>
          <w:tcPr>
            <w:tcW w:w="1300" w:type="dxa"/>
            <w:vAlign w:val="bottom"/>
            <w:shd w:val="clear" w:color="auto" w:fill="D2DCE5"/>
          </w:tcPr>
          <w:p>
            <w:pPr>
              <w:jc w:val="center"/>
              <w:ind w:right="175"/>
              <w:spacing w:after="0"/>
              <w:rPr>
                <w:sz w:val="20"/>
                <w:szCs w:val="20"/>
                <w:color w:val="auto"/>
              </w:rPr>
            </w:pPr>
            <w:r>
              <w:rPr>
                <w:rFonts w:ascii="Arial" w:cs="Arial" w:eastAsia="Arial" w:hAnsi="Arial"/>
                <w:sz w:val="13"/>
                <w:szCs w:val="13"/>
                <w:color w:val="131E29"/>
                <w:w w:val="95"/>
              </w:rPr>
              <w:t>$5,516</w:t>
            </w:r>
          </w:p>
        </w:tc>
        <w:tc>
          <w:tcPr>
            <w:tcW w:w="940" w:type="dxa"/>
            <w:vAlign w:val="bottom"/>
            <w:shd w:val="clear" w:color="auto" w:fill="D2DCE5"/>
          </w:tcPr>
          <w:p>
            <w:pPr>
              <w:jc w:val="center"/>
              <w:ind w:right="76"/>
              <w:spacing w:after="0"/>
              <w:rPr>
                <w:sz w:val="20"/>
                <w:szCs w:val="20"/>
                <w:color w:val="auto"/>
              </w:rPr>
            </w:pPr>
            <w:r>
              <w:rPr>
                <w:rFonts w:ascii="Arial" w:cs="Arial" w:eastAsia="Arial" w:hAnsi="Arial"/>
                <w:sz w:val="13"/>
                <w:szCs w:val="13"/>
                <w:color w:val="131E29"/>
                <w:w w:val="94"/>
              </w:rPr>
              <w:t>6.8%</w:t>
            </w:r>
          </w:p>
        </w:tc>
      </w:tr>
      <w:tr>
        <w:trPr>
          <w:trHeight w:val="184"/>
        </w:trPr>
        <w:tc>
          <w:tcPr>
            <w:tcW w:w="2080" w:type="dxa"/>
            <w:vAlign w:val="bottom"/>
            <w:gridSpan w:val="2"/>
          </w:tcPr>
          <w:p>
            <w:pPr>
              <w:ind w:left="20"/>
              <w:spacing w:after="0"/>
              <w:rPr>
                <w:sz w:val="20"/>
                <w:szCs w:val="20"/>
                <w:color w:val="auto"/>
              </w:rPr>
            </w:pPr>
            <w:r>
              <w:rPr>
                <w:rFonts w:ascii="Arial" w:cs="Arial" w:eastAsia="Arial" w:hAnsi="Arial"/>
                <w:sz w:val="13"/>
                <w:szCs w:val="13"/>
                <w:color w:val="131E29"/>
              </w:rPr>
              <w:t>Franchising and other gross profit</w:t>
            </w:r>
          </w:p>
        </w:tc>
        <w:tc>
          <w:tcPr>
            <w:tcW w:w="920" w:type="dxa"/>
            <w:vAlign w:val="bottom"/>
          </w:tcPr>
          <w:p>
            <w:pPr>
              <w:jc w:val="center"/>
              <w:ind w:left="75"/>
              <w:spacing w:after="0"/>
              <w:rPr>
                <w:sz w:val="20"/>
                <w:szCs w:val="20"/>
                <w:color w:val="auto"/>
              </w:rPr>
            </w:pPr>
            <w:r>
              <w:rPr>
                <w:rFonts w:ascii="Arial" w:cs="Arial" w:eastAsia="Arial" w:hAnsi="Arial"/>
                <w:sz w:val="13"/>
                <w:szCs w:val="13"/>
                <w:color w:val="131E29"/>
                <w:w w:val="97"/>
              </w:rPr>
              <w:t>$21,674</w:t>
            </w:r>
          </w:p>
        </w:tc>
        <w:tc>
          <w:tcPr>
            <w:tcW w:w="1300" w:type="dxa"/>
            <w:vAlign w:val="bottom"/>
            <w:gridSpan w:val="3"/>
          </w:tcPr>
          <w:p>
            <w:pPr>
              <w:jc w:val="center"/>
              <w:ind w:left="175"/>
              <w:spacing w:after="0"/>
              <w:rPr>
                <w:sz w:val="20"/>
                <w:szCs w:val="20"/>
                <w:color w:val="auto"/>
              </w:rPr>
            </w:pPr>
            <w:r>
              <w:rPr>
                <w:rFonts w:ascii="Arial" w:cs="Arial" w:eastAsia="Arial" w:hAnsi="Arial"/>
                <w:sz w:val="13"/>
                <w:szCs w:val="13"/>
                <w:color w:val="131E29"/>
                <w:w w:val="97"/>
              </w:rPr>
              <w:t>$18,192</w:t>
            </w:r>
          </w:p>
        </w:tc>
        <w:tc>
          <w:tcPr>
            <w:tcW w:w="8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Arial" w:cs="Arial" w:eastAsia="Arial" w:hAnsi="Arial"/>
                <w:sz w:val="13"/>
                <w:szCs w:val="13"/>
                <w:color w:val="131E29"/>
              </w:rPr>
              <w:t>$3,482</w:t>
            </w:r>
          </w:p>
        </w:tc>
        <w:tc>
          <w:tcPr>
            <w:tcW w:w="920" w:type="dxa"/>
            <w:vAlign w:val="bottom"/>
          </w:tcPr>
          <w:p>
            <w:pPr>
              <w:jc w:val="right"/>
              <w:ind w:right="296"/>
              <w:spacing w:after="0"/>
              <w:rPr>
                <w:sz w:val="20"/>
                <w:szCs w:val="20"/>
                <w:color w:val="auto"/>
              </w:rPr>
            </w:pPr>
            <w:r>
              <w:rPr>
                <w:rFonts w:ascii="Arial" w:cs="Arial" w:eastAsia="Arial" w:hAnsi="Arial"/>
                <w:sz w:val="13"/>
                <w:szCs w:val="13"/>
                <w:color w:val="131E29"/>
              </w:rPr>
              <w:t>19.1%</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131E29"/>
                <w:w w:val="97"/>
              </w:rPr>
              <w:t>$59,483</w:t>
            </w:r>
          </w:p>
        </w:tc>
        <w:tc>
          <w:tcPr>
            <w:tcW w:w="1160" w:type="dxa"/>
            <w:vAlign w:val="bottom"/>
            <w:gridSpan w:val="2"/>
          </w:tcPr>
          <w:p>
            <w:pPr>
              <w:jc w:val="center"/>
              <w:ind w:left="35"/>
              <w:spacing w:after="0"/>
              <w:rPr>
                <w:sz w:val="20"/>
                <w:szCs w:val="20"/>
                <w:color w:val="auto"/>
              </w:rPr>
            </w:pPr>
            <w:r>
              <w:rPr>
                <w:rFonts w:ascii="Arial" w:cs="Arial" w:eastAsia="Arial" w:hAnsi="Arial"/>
                <w:sz w:val="13"/>
                <w:szCs w:val="13"/>
                <w:color w:val="131E29"/>
                <w:w w:val="97"/>
              </w:rPr>
              <w:t>$54,228</w:t>
            </w:r>
          </w:p>
        </w:tc>
        <w:tc>
          <w:tcPr>
            <w:tcW w:w="100" w:type="dxa"/>
            <w:vAlign w:val="bottom"/>
          </w:tcPr>
          <w:p>
            <w:pPr>
              <w:spacing w:after="0"/>
              <w:rPr>
                <w:sz w:val="16"/>
                <w:szCs w:val="16"/>
                <w:color w:val="auto"/>
              </w:rPr>
            </w:pPr>
          </w:p>
        </w:tc>
        <w:tc>
          <w:tcPr>
            <w:tcW w:w="1300" w:type="dxa"/>
            <w:vAlign w:val="bottom"/>
          </w:tcPr>
          <w:p>
            <w:pPr>
              <w:jc w:val="center"/>
              <w:ind w:right="175"/>
              <w:spacing w:after="0"/>
              <w:rPr>
                <w:sz w:val="20"/>
                <w:szCs w:val="20"/>
                <w:color w:val="auto"/>
              </w:rPr>
            </w:pPr>
            <w:r>
              <w:rPr>
                <w:rFonts w:ascii="Arial" w:cs="Arial" w:eastAsia="Arial" w:hAnsi="Arial"/>
                <w:sz w:val="13"/>
                <w:szCs w:val="13"/>
                <w:color w:val="131E29"/>
                <w:w w:val="95"/>
              </w:rPr>
              <w:t>$5,255</w:t>
            </w:r>
          </w:p>
        </w:tc>
        <w:tc>
          <w:tcPr>
            <w:tcW w:w="940" w:type="dxa"/>
            <w:vAlign w:val="bottom"/>
          </w:tcPr>
          <w:p>
            <w:pPr>
              <w:jc w:val="center"/>
              <w:ind w:right="76"/>
              <w:spacing w:after="0"/>
              <w:rPr>
                <w:sz w:val="20"/>
                <w:szCs w:val="20"/>
                <w:color w:val="auto"/>
              </w:rPr>
            </w:pPr>
            <w:r>
              <w:rPr>
                <w:rFonts w:ascii="Arial" w:cs="Arial" w:eastAsia="Arial" w:hAnsi="Arial"/>
                <w:sz w:val="13"/>
                <w:szCs w:val="13"/>
                <w:color w:val="131E29"/>
                <w:w w:val="94"/>
              </w:rPr>
              <w:t>9.7%</w:t>
            </w:r>
          </w:p>
        </w:tc>
      </w:tr>
      <w:tr>
        <w:trPr>
          <w:trHeight w:val="168"/>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3"/>
                <w:szCs w:val="13"/>
                <w:i w:val="1"/>
                <w:iCs w:val="1"/>
                <w:color w:val="131E29"/>
              </w:rPr>
              <w:t>As a percentage of franchising</w:t>
            </w:r>
          </w:p>
        </w:tc>
        <w:tc>
          <w:tcPr>
            <w:tcW w:w="92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0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320" w:type="dxa"/>
            <w:vAlign w:val="bottom"/>
            <w:shd w:val="clear" w:color="auto" w:fill="D2DCE5"/>
          </w:tcPr>
          <w:p>
            <w:pPr>
              <w:spacing w:after="0"/>
              <w:rPr>
                <w:sz w:val="14"/>
                <w:szCs w:val="14"/>
                <w:color w:val="auto"/>
              </w:rPr>
            </w:pPr>
          </w:p>
        </w:tc>
        <w:tc>
          <w:tcPr>
            <w:tcW w:w="9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3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r>
      <w:tr>
        <w:trPr>
          <w:trHeight w:val="189"/>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3"/>
                <w:szCs w:val="13"/>
                <w:i w:val="1"/>
                <w:iCs w:val="1"/>
                <w:color w:val="131E29"/>
              </w:rPr>
              <w:t>and other revenue</w:t>
            </w:r>
          </w:p>
        </w:tc>
        <w:tc>
          <w:tcPr>
            <w:tcW w:w="920" w:type="dxa"/>
            <w:vAlign w:val="bottom"/>
            <w:shd w:val="clear" w:color="auto" w:fill="D2DCE5"/>
          </w:tcPr>
          <w:p>
            <w:pPr>
              <w:jc w:val="center"/>
              <w:ind w:left="75"/>
              <w:spacing w:after="0"/>
              <w:rPr>
                <w:sz w:val="20"/>
                <w:szCs w:val="20"/>
                <w:color w:val="auto"/>
              </w:rPr>
            </w:pPr>
            <w:r>
              <w:rPr>
                <w:rFonts w:ascii="Arial" w:cs="Arial" w:eastAsia="Arial" w:hAnsi="Arial"/>
                <w:sz w:val="13"/>
                <w:szCs w:val="13"/>
                <w:color w:val="131E29"/>
              </w:rPr>
              <w:t>72.4%</w:t>
            </w:r>
          </w:p>
        </w:tc>
        <w:tc>
          <w:tcPr>
            <w:tcW w:w="1300" w:type="dxa"/>
            <w:vAlign w:val="bottom"/>
            <w:gridSpan w:val="3"/>
            <w:shd w:val="clear" w:color="auto" w:fill="D2DCE5"/>
          </w:tcPr>
          <w:p>
            <w:pPr>
              <w:jc w:val="center"/>
              <w:ind w:left="155"/>
              <w:spacing w:after="0"/>
              <w:rPr>
                <w:sz w:val="20"/>
                <w:szCs w:val="20"/>
                <w:color w:val="auto"/>
              </w:rPr>
            </w:pPr>
            <w:r>
              <w:rPr>
                <w:rFonts w:ascii="Arial" w:cs="Arial" w:eastAsia="Arial" w:hAnsi="Arial"/>
                <w:sz w:val="13"/>
                <w:szCs w:val="13"/>
                <w:color w:val="131E29"/>
                <w:w w:val="97"/>
              </w:rPr>
              <w:t>64.9%</w:t>
            </w:r>
          </w:p>
        </w:tc>
        <w:tc>
          <w:tcPr>
            <w:tcW w:w="80" w:type="dxa"/>
            <w:vAlign w:val="bottom"/>
            <w:shd w:val="clear" w:color="auto" w:fill="D2DCE5"/>
          </w:tcPr>
          <w:p>
            <w:pPr>
              <w:spacing w:after="0"/>
              <w:rPr>
                <w:sz w:val="16"/>
                <w:szCs w:val="16"/>
                <w:color w:val="auto"/>
              </w:rPr>
            </w:pPr>
          </w:p>
        </w:tc>
        <w:tc>
          <w:tcPr>
            <w:tcW w:w="1320" w:type="dxa"/>
            <w:vAlign w:val="bottom"/>
            <w:shd w:val="clear" w:color="auto" w:fill="D2DCE5"/>
          </w:tcPr>
          <w:p>
            <w:pPr>
              <w:jc w:val="center"/>
              <w:ind w:right="175"/>
              <w:spacing w:after="0"/>
              <w:rPr>
                <w:sz w:val="20"/>
                <w:szCs w:val="20"/>
                <w:color w:val="auto"/>
              </w:rPr>
            </w:pPr>
            <w:r>
              <w:rPr>
                <w:rFonts w:ascii="Arial" w:cs="Arial" w:eastAsia="Arial" w:hAnsi="Arial"/>
                <w:sz w:val="13"/>
                <w:szCs w:val="13"/>
                <w:color w:val="131E29"/>
                <w:w w:val="92"/>
              </w:rPr>
              <w:t>N/A</w:t>
            </w:r>
          </w:p>
        </w:tc>
        <w:tc>
          <w:tcPr>
            <w:tcW w:w="1000" w:type="dxa"/>
            <w:vAlign w:val="bottom"/>
            <w:gridSpan w:val="2"/>
            <w:shd w:val="clear" w:color="auto" w:fill="D2DCE5"/>
          </w:tcPr>
          <w:p>
            <w:pPr>
              <w:ind w:left="160"/>
              <w:spacing w:after="0"/>
              <w:rPr>
                <w:sz w:val="20"/>
                <w:szCs w:val="20"/>
                <w:color w:val="auto"/>
              </w:rPr>
            </w:pPr>
            <w:r>
              <w:rPr>
                <w:rFonts w:ascii="Arial" w:cs="Arial" w:eastAsia="Arial" w:hAnsi="Arial"/>
                <w:sz w:val="13"/>
                <w:szCs w:val="13"/>
                <w:color w:val="131E29"/>
              </w:rPr>
              <w:t>750 bps</w:t>
            </w:r>
          </w:p>
        </w:tc>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7"/>
              </w:rPr>
              <w:t>68.7%</w:t>
            </w:r>
          </w:p>
        </w:tc>
        <w:tc>
          <w:tcPr>
            <w:tcW w:w="1160" w:type="dxa"/>
            <w:vAlign w:val="bottom"/>
            <w:gridSpan w:val="2"/>
            <w:shd w:val="clear" w:color="auto" w:fill="D2DCE5"/>
          </w:tcPr>
          <w:p>
            <w:pPr>
              <w:jc w:val="center"/>
              <w:ind w:left="15"/>
              <w:spacing w:after="0"/>
              <w:rPr>
                <w:sz w:val="20"/>
                <w:szCs w:val="20"/>
                <w:color w:val="auto"/>
              </w:rPr>
            </w:pPr>
            <w:r>
              <w:rPr>
                <w:rFonts w:ascii="Arial" w:cs="Arial" w:eastAsia="Arial" w:hAnsi="Arial"/>
                <w:sz w:val="13"/>
                <w:szCs w:val="13"/>
                <w:color w:val="131E29"/>
                <w:w w:val="97"/>
              </w:rPr>
              <w:t>66.9%</w:t>
            </w:r>
          </w:p>
        </w:tc>
        <w:tc>
          <w:tcPr>
            <w:tcW w:w="100" w:type="dxa"/>
            <w:vAlign w:val="bottom"/>
            <w:shd w:val="clear" w:color="auto" w:fill="D2DCE5"/>
          </w:tcPr>
          <w:p>
            <w:pPr>
              <w:spacing w:after="0"/>
              <w:rPr>
                <w:sz w:val="16"/>
                <w:szCs w:val="16"/>
                <w:color w:val="auto"/>
              </w:rPr>
            </w:pPr>
          </w:p>
        </w:tc>
        <w:tc>
          <w:tcPr>
            <w:tcW w:w="1300" w:type="dxa"/>
            <w:vAlign w:val="bottom"/>
            <w:shd w:val="clear" w:color="auto" w:fill="D2DCE5"/>
          </w:tcPr>
          <w:p>
            <w:pPr>
              <w:jc w:val="center"/>
              <w:ind w:right="175"/>
              <w:spacing w:after="0"/>
              <w:rPr>
                <w:sz w:val="20"/>
                <w:szCs w:val="20"/>
                <w:color w:val="auto"/>
              </w:rPr>
            </w:pPr>
            <w:r>
              <w:rPr>
                <w:rFonts w:ascii="Arial" w:cs="Arial" w:eastAsia="Arial" w:hAnsi="Arial"/>
                <w:sz w:val="13"/>
                <w:szCs w:val="13"/>
                <w:color w:val="131E29"/>
              </w:rPr>
              <w:t>N/A</w:t>
            </w:r>
          </w:p>
        </w:tc>
        <w:tc>
          <w:tcPr>
            <w:tcW w:w="940" w:type="dxa"/>
            <w:vAlign w:val="bottom"/>
            <w:shd w:val="clear" w:color="auto" w:fill="D2DCE5"/>
          </w:tcPr>
          <w:p>
            <w:pPr>
              <w:jc w:val="center"/>
              <w:ind w:right="76"/>
              <w:spacing w:after="0"/>
              <w:rPr>
                <w:sz w:val="20"/>
                <w:szCs w:val="20"/>
                <w:color w:val="auto"/>
              </w:rPr>
            </w:pPr>
            <w:r>
              <w:rPr>
                <w:rFonts w:ascii="Arial" w:cs="Arial" w:eastAsia="Arial" w:hAnsi="Arial"/>
                <w:sz w:val="13"/>
                <w:szCs w:val="13"/>
                <w:color w:val="131E29"/>
                <w:w w:val="95"/>
              </w:rPr>
              <w:t>180 bps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franchising and other gross profit impacts for the year-over-year comparison, presented in dollars, were driven by the following:</w:t>
      </w:r>
    </w:p>
    <w:p>
      <w:pPr>
        <w:spacing w:after="0" w:line="158" w:lineRule="exact"/>
        <w:rPr>
          <w:sz w:val="20"/>
          <w:szCs w:val="20"/>
          <w:color w:val="auto"/>
        </w:rPr>
      </w:pPr>
    </w:p>
    <w:p>
      <w:pPr>
        <w:ind w:left="300" w:hanging="295"/>
        <w:spacing w:after="0"/>
        <w:tabs>
          <w:tab w:leader="none" w:pos="300" w:val="left"/>
        </w:tabs>
        <w:numPr>
          <w:ilvl w:val="0"/>
          <w:numId w:val="21"/>
        </w:numPr>
        <w:rPr>
          <w:rFonts w:ascii="Arial" w:cs="Arial" w:eastAsia="Arial" w:hAnsi="Arial"/>
          <w:sz w:val="17"/>
          <w:szCs w:val="17"/>
          <w:b w:val="1"/>
          <w:bCs w:val="1"/>
          <w:color w:val="006098"/>
        </w:rPr>
      </w:pPr>
      <w:r>
        <w:rPr>
          <w:rFonts w:ascii="Arial" w:cs="Arial" w:eastAsia="Arial" w:hAnsi="Arial"/>
          <w:sz w:val="14"/>
          <w:szCs w:val="14"/>
          <w:color w:val="131E29"/>
        </w:rPr>
        <w:t>$2.1 million primarily from products sold to franchisees, net of costs and adjustments.</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1"/>
        </w:numPr>
        <w:rPr>
          <w:rFonts w:ascii="Arial" w:cs="Arial" w:eastAsia="Arial" w:hAnsi="Arial"/>
          <w:sz w:val="17"/>
          <w:szCs w:val="17"/>
          <w:b w:val="1"/>
          <w:bCs w:val="1"/>
          <w:color w:val="006098"/>
        </w:rPr>
      </w:pPr>
      <w:r>
        <w:rPr>
          <w:rFonts w:ascii="Arial" w:cs="Arial" w:eastAsia="Arial" w:hAnsi="Arial"/>
          <w:sz w:val="14"/>
          <w:szCs w:val="14"/>
          <w:color w:val="131E29"/>
        </w:rPr>
        <w:t xml:space="preserve">$1.2 million </w:t>
      </w:r>
      <w:r>
        <w:rPr>
          <w:rFonts w:ascii="Arial" w:cs="Arial" w:eastAsia="Arial" w:hAnsi="Arial"/>
          <w:sz w:val="14"/>
          <w:szCs w:val="14"/>
          <w:color w:val="000000"/>
        </w:rPr>
        <w:t>from shop weeks, driven by shop openings during the period.</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1"/>
        </w:numPr>
        <w:rPr>
          <w:rFonts w:ascii="Arial" w:cs="Arial" w:eastAsia="Arial" w:hAnsi="Arial"/>
          <w:sz w:val="17"/>
          <w:szCs w:val="17"/>
          <w:b w:val="1"/>
          <w:bCs w:val="1"/>
          <w:color w:val="006098"/>
        </w:rPr>
      </w:pPr>
      <w:r>
        <w:rPr>
          <w:rFonts w:ascii="Arial" w:cs="Arial" w:eastAsia="Arial" w:hAnsi="Arial"/>
          <w:sz w:val="14"/>
          <w:szCs w:val="14"/>
          <w:color w:val="131E29"/>
        </w:rPr>
        <w:t>$0.2 million from same shop sales.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franchising and other gross profit impacts for the year-over-year comparison, presented in dollars, were driven by the following:</w:t>
      </w:r>
    </w:p>
    <w:p>
      <w:pPr>
        <w:spacing w:after="0" w:line="158" w:lineRule="exact"/>
        <w:rPr>
          <w:sz w:val="20"/>
          <w:szCs w:val="20"/>
          <w:color w:val="auto"/>
        </w:rPr>
      </w:pPr>
    </w:p>
    <w:p>
      <w:pPr>
        <w:ind w:left="300" w:hanging="295"/>
        <w:spacing w:after="0"/>
        <w:tabs>
          <w:tab w:leader="none" w:pos="300" w:val="left"/>
        </w:tabs>
        <w:numPr>
          <w:ilvl w:val="0"/>
          <w:numId w:val="22"/>
        </w:numPr>
        <w:rPr>
          <w:rFonts w:ascii="Arial" w:cs="Arial" w:eastAsia="Arial" w:hAnsi="Arial"/>
          <w:sz w:val="17"/>
          <w:szCs w:val="17"/>
          <w:b w:val="1"/>
          <w:bCs w:val="1"/>
          <w:color w:val="006098"/>
        </w:rPr>
      </w:pPr>
      <w:r>
        <w:rPr>
          <w:rFonts w:ascii="Arial" w:cs="Arial" w:eastAsia="Arial" w:hAnsi="Arial"/>
          <w:sz w:val="14"/>
          <w:szCs w:val="14"/>
          <w:color w:val="131E29"/>
        </w:rPr>
        <w:t xml:space="preserve">$3.5 million </w:t>
      </w:r>
      <w:r>
        <w:rPr>
          <w:rFonts w:ascii="Arial" w:cs="Arial" w:eastAsia="Arial" w:hAnsi="Arial"/>
          <w:sz w:val="14"/>
          <w:szCs w:val="14"/>
          <w:color w:val="000000"/>
        </w:rPr>
        <w:t>from shop weeks, driven by shop openings during the period.</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2"/>
        </w:numPr>
        <w:rPr>
          <w:rFonts w:ascii="Arial" w:cs="Arial" w:eastAsia="Arial" w:hAnsi="Arial"/>
          <w:sz w:val="17"/>
          <w:szCs w:val="17"/>
          <w:b w:val="1"/>
          <w:bCs w:val="1"/>
          <w:color w:val="006098"/>
        </w:rPr>
      </w:pPr>
      <w:r>
        <w:rPr>
          <w:rFonts w:ascii="Arial" w:cs="Arial" w:eastAsia="Arial" w:hAnsi="Arial"/>
          <w:sz w:val="14"/>
          <w:szCs w:val="14"/>
          <w:color w:val="131E29"/>
        </w:rPr>
        <w:t>$2.1 million from same shop sales.</w:t>
      </w:r>
    </w:p>
    <w:p>
      <w:pPr>
        <w:spacing w:after="0" w:line="49"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7"/>
          <w:szCs w:val="17"/>
          <w:b w:val="1"/>
          <w:bCs w:val="1"/>
          <w:color w:val="D7282F"/>
        </w:rPr>
      </w:pPr>
      <w:r>
        <w:rPr>
          <w:rFonts w:ascii="Arial" w:cs="Arial" w:eastAsia="Arial" w:hAnsi="Arial"/>
          <w:sz w:val="14"/>
          <w:szCs w:val="14"/>
          <w:color w:val="131E29"/>
        </w:rPr>
        <w:t>$0.3 million primarily from products sold to franchisees, net of costs and adjustments.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Selling, General, and Administrative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131E29"/>
            </w:tcBorders>
          </w:tcPr>
          <w:p>
            <w:pPr>
              <w:spacing w:after="0"/>
              <w:rPr>
                <w:sz w:val="17"/>
                <w:szCs w:val="17"/>
                <w:color w:val="auto"/>
              </w:rPr>
            </w:pPr>
          </w:p>
        </w:tc>
        <w:tc>
          <w:tcPr>
            <w:tcW w:w="2680" w:type="dxa"/>
            <w:vAlign w:val="bottom"/>
            <w:tcBorders>
              <w:bottom w:val="single" w:sz="8" w:color="131E29"/>
            </w:tcBorders>
            <w:gridSpan w:val="5"/>
          </w:tcPr>
          <w:p>
            <w:pPr>
              <w:ind w:left="140"/>
              <w:spacing w:after="0"/>
              <w:rPr>
                <w:sz w:val="20"/>
                <w:szCs w:val="20"/>
                <w:color w:val="auto"/>
              </w:rPr>
            </w:pPr>
            <w:r>
              <w:rPr>
                <w:rFonts w:ascii="Arial" w:cs="Arial" w:eastAsia="Arial" w:hAnsi="Arial"/>
                <w:sz w:val="14"/>
                <w:szCs w:val="14"/>
                <w:b w:val="1"/>
                <w:bCs w:val="1"/>
                <w:color w:val="131E29"/>
              </w:rPr>
              <w:t>Three Months Ended September 30,</w:t>
            </w:r>
          </w:p>
        </w:tc>
        <w:tc>
          <w:tcPr>
            <w:tcW w:w="940" w:type="dxa"/>
            <w:vAlign w:val="bottom"/>
            <w:tcBorders>
              <w:bottom w:val="single" w:sz="8" w:color="131E29"/>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131E29"/>
              </w:rPr>
              <w:t>Nine Months Ended September 30,</w:t>
            </w:r>
          </w:p>
        </w:tc>
        <w:tc>
          <w:tcPr>
            <w:tcW w:w="960" w:type="dxa"/>
            <w:vAlign w:val="bottom"/>
            <w:tcBorders>
              <w:bottom w:val="single" w:sz="8" w:color="auto"/>
            </w:tcBorders>
          </w:tcPr>
          <w:p>
            <w:pPr>
              <w:spacing w:after="0"/>
              <w:rPr>
                <w:sz w:val="17"/>
                <w:szCs w:val="17"/>
                <w:color w:val="auto"/>
              </w:rPr>
            </w:pPr>
          </w:p>
        </w:tc>
      </w:tr>
      <w:tr>
        <w:trPr>
          <w:trHeight w:val="20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131E29"/>
                <w:w w:val="96"/>
              </w:rPr>
              <w:t>2024</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106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100" w:type="dxa"/>
            <w:vAlign w:val="bottom"/>
            <w:tcBorders>
              <w:bottom w:val="single" w:sz="8" w:color="D2DCE5"/>
            </w:tcBorders>
          </w:tcPr>
          <w:p>
            <w:pPr>
              <w:spacing w:after="0"/>
              <w:rPr>
                <w:sz w:val="17"/>
                <w:szCs w:val="17"/>
                <w:color w:val="auto"/>
              </w:rPr>
            </w:pPr>
          </w:p>
        </w:tc>
        <w:tc>
          <w:tcPr>
            <w:tcW w:w="224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r>
      <w:tr>
        <w:trPr>
          <w:trHeight w:val="156"/>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Selling, General and</w:t>
            </w:r>
          </w:p>
        </w:tc>
        <w:tc>
          <w:tcPr>
            <w:tcW w:w="920" w:type="dxa"/>
            <w:vAlign w:val="bottom"/>
            <w:shd w:val="clear" w:color="auto" w:fill="D2DCE5"/>
          </w:tcPr>
          <w:p>
            <w:pPr>
              <w:spacing w:after="0"/>
              <w:rPr>
                <w:sz w:val="13"/>
                <w:szCs w:val="13"/>
                <w:color w:val="auto"/>
              </w:rPr>
            </w:pPr>
          </w:p>
        </w:tc>
        <w:tc>
          <w:tcPr>
            <w:tcW w:w="14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10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1300" w:type="dxa"/>
            <w:vAlign w:val="bottom"/>
            <w:shd w:val="clear" w:color="auto" w:fill="D2DCE5"/>
          </w:tcPr>
          <w:p>
            <w:pPr>
              <w:spacing w:after="0"/>
              <w:rPr>
                <w:sz w:val="13"/>
                <w:szCs w:val="13"/>
                <w:color w:val="auto"/>
              </w:rPr>
            </w:pPr>
          </w:p>
        </w:tc>
        <w:tc>
          <w:tcPr>
            <w:tcW w:w="94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10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108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1280" w:type="dxa"/>
            <w:vAlign w:val="bottom"/>
            <w:shd w:val="clear" w:color="auto" w:fill="D2DCE5"/>
          </w:tcPr>
          <w:p>
            <w:pPr>
              <w:spacing w:after="0"/>
              <w:rPr>
                <w:sz w:val="13"/>
                <w:szCs w:val="13"/>
                <w:color w:val="auto"/>
              </w:rPr>
            </w:pPr>
          </w:p>
        </w:tc>
        <w:tc>
          <w:tcPr>
            <w:tcW w:w="960" w:type="dxa"/>
            <w:vAlign w:val="bottom"/>
            <w:shd w:val="clear" w:color="auto" w:fill="D2DCE5"/>
          </w:tcPr>
          <w:p>
            <w:pPr>
              <w:spacing w:after="0"/>
              <w:rPr>
                <w:sz w:val="13"/>
                <w:szCs w:val="13"/>
                <w:color w:val="auto"/>
              </w:rPr>
            </w:pPr>
          </w:p>
        </w:tc>
      </w:tr>
      <w:tr>
        <w:trPr>
          <w:trHeight w:val="191"/>
        </w:trPr>
        <w:tc>
          <w:tcPr>
            <w:tcW w:w="208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Administrative</w:t>
            </w:r>
          </w:p>
        </w:tc>
        <w:tc>
          <w:tcPr>
            <w:tcW w:w="920" w:type="dxa"/>
            <w:vAlign w:val="bottom"/>
            <w:shd w:val="clear" w:color="auto" w:fill="D2DCE5"/>
          </w:tcPr>
          <w:p>
            <w:pPr>
              <w:jc w:val="center"/>
              <w:ind w:left="74"/>
              <w:spacing w:after="0"/>
              <w:rPr>
                <w:sz w:val="20"/>
                <w:szCs w:val="20"/>
                <w:color w:val="auto"/>
              </w:rPr>
            </w:pPr>
            <w:r>
              <w:rPr>
                <w:rFonts w:ascii="Arial" w:cs="Arial" w:eastAsia="Arial" w:hAnsi="Arial"/>
                <w:sz w:val="13"/>
                <w:szCs w:val="13"/>
                <w:color w:val="131E29"/>
                <w:w w:val="97"/>
              </w:rPr>
              <w:t>$57,536</w:t>
            </w:r>
          </w:p>
        </w:tc>
        <w:tc>
          <w:tcPr>
            <w:tcW w:w="1300" w:type="dxa"/>
            <w:vAlign w:val="bottom"/>
            <w:gridSpan w:val="3"/>
            <w:shd w:val="clear" w:color="auto" w:fill="D2DCE5"/>
          </w:tcPr>
          <w:p>
            <w:pPr>
              <w:jc w:val="center"/>
              <w:ind w:left="174"/>
              <w:spacing w:after="0"/>
              <w:rPr>
                <w:sz w:val="20"/>
                <w:szCs w:val="20"/>
                <w:color w:val="auto"/>
              </w:rPr>
            </w:pPr>
            <w:r>
              <w:rPr>
                <w:rFonts w:ascii="Arial" w:cs="Arial" w:eastAsia="Arial" w:hAnsi="Arial"/>
                <w:sz w:val="13"/>
                <w:szCs w:val="13"/>
                <w:color w:val="131E29"/>
                <w:w w:val="97"/>
              </w:rPr>
              <w:t>$50,490</w:t>
            </w:r>
          </w:p>
        </w:tc>
        <w:tc>
          <w:tcPr>
            <w:tcW w:w="80" w:type="dxa"/>
            <w:vAlign w:val="bottom"/>
            <w:shd w:val="clear" w:color="auto" w:fill="D2DCE5"/>
          </w:tcPr>
          <w:p>
            <w:pPr>
              <w:spacing w:after="0"/>
              <w:rPr>
                <w:sz w:val="16"/>
                <w:szCs w:val="16"/>
                <w:color w:val="auto"/>
              </w:rPr>
            </w:pPr>
          </w:p>
        </w:tc>
        <w:tc>
          <w:tcPr>
            <w:tcW w:w="1300" w:type="dxa"/>
            <w:vAlign w:val="bottom"/>
            <w:shd w:val="clear" w:color="auto" w:fill="D2DCE5"/>
          </w:tcPr>
          <w:p>
            <w:pPr>
              <w:jc w:val="right"/>
              <w:ind w:right="494"/>
              <w:spacing w:after="0"/>
              <w:rPr>
                <w:sz w:val="20"/>
                <w:szCs w:val="20"/>
                <w:color w:val="auto"/>
              </w:rPr>
            </w:pPr>
            <w:r>
              <w:rPr>
                <w:rFonts w:ascii="Arial" w:cs="Arial" w:eastAsia="Arial" w:hAnsi="Arial"/>
                <w:sz w:val="13"/>
                <w:szCs w:val="13"/>
                <w:color w:val="131E29"/>
              </w:rPr>
              <w:t>$7,046</w:t>
            </w:r>
          </w:p>
        </w:tc>
        <w:tc>
          <w:tcPr>
            <w:tcW w:w="940" w:type="dxa"/>
            <w:vAlign w:val="bottom"/>
            <w:shd w:val="clear" w:color="auto" w:fill="D2DCE5"/>
          </w:tcPr>
          <w:p>
            <w:pPr>
              <w:jc w:val="right"/>
              <w:ind w:right="296"/>
              <w:spacing w:after="0"/>
              <w:rPr>
                <w:sz w:val="20"/>
                <w:szCs w:val="20"/>
                <w:color w:val="auto"/>
              </w:rPr>
            </w:pPr>
            <w:r>
              <w:rPr>
                <w:rFonts w:ascii="Arial" w:cs="Arial" w:eastAsia="Arial" w:hAnsi="Arial"/>
                <w:sz w:val="13"/>
                <w:szCs w:val="13"/>
                <w:color w:val="131E29"/>
              </w:rPr>
              <w:t>14.0%</w:t>
            </w:r>
          </w:p>
        </w:tc>
        <w:tc>
          <w:tcPr>
            <w:tcW w:w="80" w:type="dxa"/>
            <w:vAlign w:val="bottom"/>
            <w:shd w:val="clear" w:color="auto" w:fill="D2DCE5"/>
          </w:tcPr>
          <w:p>
            <w:pPr>
              <w:spacing w:after="0"/>
              <w:rPr>
                <w:sz w:val="16"/>
                <w:szCs w:val="16"/>
                <w:color w:val="auto"/>
              </w:rPr>
            </w:pPr>
          </w:p>
        </w:tc>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5"/>
              </w:rPr>
              <w:t>$161,866</w:t>
            </w:r>
          </w:p>
        </w:tc>
        <w:tc>
          <w:tcPr>
            <w:tcW w:w="1160" w:type="dxa"/>
            <w:vAlign w:val="bottom"/>
            <w:gridSpan w:val="2"/>
            <w:shd w:val="clear" w:color="auto" w:fill="D2DCE5"/>
          </w:tcPr>
          <w:p>
            <w:pPr>
              <w:jc w:val="center"/>
              <w:ind w:left="34"/>
              <w:spacing w:after="0"/>
              <w:rPr>
                <w:sz w:val="20"/>
                <w:szCs w:val="20"/>
                <w:color w:val="auto"/>
              </w:rPr>
            </w:pPr>
            <w:r>
              <w:rPr>
                <w:rFonts w:ascii="Arial" w:cs="Arial" w:eastAsia="Arial" w:hAnsi="Arial"/>
                <w:sz w:val="13"/>
                <w:szCs w:val="13"/>
                <w:color w:val="131E29"/>
                <w:w w:val="99"/>
              </w:rPr>
              <w:t>$148,128</w:t>
            </w:r>
          </w:p>
        </w:tc>
        <w:tc>
          <w:tcPr>
            <w:tcW w:w="100" w:type="dxa"/>
            <w:vAlign w:val="bottom"/>
            <w:shd w:val="clear" w:color="auto" w:fill="D2DCE5"/>
          </w:tcPr>
          <w:p>
            <w:pPr>
              <w:spacing w:after="0"/>
              <w:rPr>
                <w:sz w:val="16"/>
                <w:szCs w:val="16"/>
                <w:color w:val="auto"/>
              </w:rPr>
            </w:pPr>
          </w:p>
        </w:tc>
        <w:tc>
          <w:tcPr>
            <w:tcW w:w="1280" w:type="dxa"/>
            <w:vAlign w:val="bottom"/>
            <w:shd w:val="clear" w:color="auto" w:fill="D2DCE5"/>
          </w:tcPr>
          <w:p>
            <w:pPr>
              <w:jc w:val="right"/>
              <w:ind w:right="454"/>
              <w:spacing w:after="0"/>
              <w:rPr>
                <w:sz w:val="20"/>
                <w:szCs w:val="20"/>
                <w:color w:val="auto"/>
              </w:rPr>
            </w:pPr>
            <w:r>
              <w:rPr>
                <w:rFonts w:ascii="Arial" w:cs="Arial" w:eastAsia="Arial" w:hAnsi="Arial"/>
                <w:sz w:val="13"/>
                <w:szCs w:val="13"/>
                <w:color w:val="131E29"/>
              </w:rPr>
              <w:t>$13,738</w:t>
            </w:r>
          </w:p>
        </w:tc>
        <w:tc>
          <w:tcPr>
            <w:tcW w:w="960" w:type="dxa"/>
            <w:vAlign w:val="bottom"/>
            <w:shd w:val="clear" w:color="auto" w:fill="D2DCE5"/>
          </w:tcPr>
          <w:p>
            <w:pPr>
              <w:jc w:val="right"/>
              <w:ind w:right="336"/>
              <w:spacing w:after="0"/>
              <w:rPr>
                <w:sz w:val="20"/>
                <w:szCs w:val="20"/>
                <w:color w:val="auto"/>
              </w:rPr>
            </w:pPr>
            <w:r>
              <w:rPr>
                <w:rFonts w:ascii="Arial" w:cs="Arial" w:eastAsia="Arial" w:hAnsi="Arial"/>
                <w:sz w:val="13"/>
                <w:szCs w:val="13"/>
                <w:color w:val="131E29"/>
              </w:rPr>
              <w:t>9.3%</w:t>
            </w:r>
          </w:p>
        </w:tc>
      </w:tr>
      <w:tr>
        <w:trPr>
          <w:trHeight w:val="178"/>
        </w:trPr>
        <w:tc>
          <w:tcPr>
            <w:tcW w:w="2080" w:type="dxa"/>
            <w:vAlign w:val="bottom"/>
            <w:gridSpan w:val="2"/>
          </w:tcPr>
          <w:p>
            <w:pPr>
              <w:ind w:left="20"/>
              <w:spacing w:after="0"/>
              <w:rPr>
                <w:sz w:val="20"/>
                <w:szCs w:val="20"/>
                <w:color w:val="auto"/>
              </w:rPr>
            </w:pPr>
            <w:r>
              <w:rPr>
                <w:rFonts w:ascii="Arial" w:cs="Arial" w:eastAsia="Arial" w:hAnsi="Arial"/>
                <w:sz w:val="13"/>
                <w:szCs w:val="13"/>
                <w:i w:val="1"/>
                <w:iCs w:val="1"/>
                <w:color w:val="131E29"/>
              </w:rPr>
              <w:t>As a percentage of total revenues</w:t>
            </w:r>
          </w:p>
        </w:tc>
        <w:tc>
          <w:tcPr>
            <w:tcW w:w="920" w:type="dxa"/>
            <w:vAlign w:val="bottom"/>
          </w:tcPr>
          <w:p>
            <w:pPr>
              <w:jc w:val="center"/>
              <w:ind w:left="74"/>
              <w:spacing w:after="0"/>
              <w:rPr>
                <w:sz w:val="20"/>
                <w:szCs w:val="20"/>
                <w:color w:val="auto"/>
              </w:rPr>
            </w:pPr>
            <w:r>
              <w:rPr>
                <w:rFonts w:ascii="Arial" w:cs="Arial" w:eastAsia="Arial" w:hAnsi="Arial"/>
                <w:sz w:val="13"/>
                <w:szCs w:val="13"/>
                <w:color w:val="131E29"/>
              </w:rPr>
              <w:t>17.0%</w:t>
            </w:r>
          </w:p>
        </w:tc>
        <w:tc>
          <w:tcPr>
            <w:tcW w:w="1300" w:type="dxa"/>
            <w:vAlign w:val="bottom"/>
            <w:gridSpan w:val="3"/>
          </w:tcPr>
          <w:p>
            <w:pPr>
              <w:jc w:val="center"/>
              <w:ind w:left="154"/>
              <w:spacing w:after="0"/>
              <w:rPr>
                <w:sz w:val="20"/>
                <w:szCs w:val="20"/>
                <w:color w:val="auto"/>
              </w:rPr>
            </w:pPr>
            <w:r>
              <w:rPr>
                <w:rFonts w:ascii="Arial" w:cs="Arial" w:eastAsia="Arial" w:hAnsi="Arial"/>
                <w:sz w:val="13"/>
                <w:szCs w:val="13"/>
                <w:color w:val="131E29"/>
                <w:w w:val="97"/>
              </w:rPr>
              <w:t>19.1%</w:t>
            </w:r>
          </w:p>
        </w:tc>
        <w:tc>
          <w:tcPr>
            <w:tcW w:w="80" w:type="dxa"/>
            <w:vAlign w:val="bottom"/>
          </w:tcPr>
          <w:p>
            <w:pPr>
              <w:spacing w:after="0"/>
              <w:rPr>
                <w:sz w:val="15"/>
                <w:szCs w:val="15"/>
                <w:color w:val="auto"/>
              </w:rPr>
            </w:pPr>
          </w:p>
        </w:tc>
        <w:tc>
          <w:tcPr>
            <w:tcW w:w="1300" w:type="dxa"/>
            <w:vAlign w:val="bottom"/>
          </w:tcPr>
          <w:p>
            <w:pPr>
              <w:jc w:val="center"/>
              <w:ind w:right="154"/>
              <w:spacing w:after="0"/>
              <w:rPr>
                <w:sz w:val="20"/>
                <w:szCs w:val="20"/>
                <w:color w:val="auto"/>
              </w:rPr>
            </w:pPr>
            <w:r>
              <w:rPr>
                <w:rFonts w:ascii="Arial" w:cs="Arial" w:eastAsia="Arial" w:hAnsi="Arial"/>
                <w:sz w:val="13"/>
                <w:szCs w:val="13"/>
                <w:color w:val="131E29"/>
                <w:w w:val="92"/>
              </w:rPr>
              <w:t>N/A</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color w:val="131E29"/>
                <w:w w:val="94"/>
              </w:rPr>
              <w:t>(210) bps</w:t>
            </w:r>
          </w:p>
        </w:tc>
        <w:tc>
          <w:tcPr>
            <w:tcW w:w="1080" w:type="dxa"/>
            <w:vAlign w:val="bottom"/>
          </w:tcPr>
          <w:p>
            <w:pPr>
              <w:jc w:val="center"/>
              <w:spacing w:after="0"/>
              <w:rPr>
                <w:sz w:val="20"/>
                <w:szCs w:val="20"/>
                <w:color w:val="auto"/>
              </w:rPr>
            </w:pPr>
            <w:r>
              <w:rPr>
                <w:rFonts w:ascii="Arial" w:cs="Arial" w:eastAsia="Arial" w:hAnsi="Arial"/>
                <w:sz w:val="13"/>
                <w:szCs w:val="13"/>
                <w:color w:val="131E29"/>
                <w:w w:val="97"/>
              </w:rPr>
              <w:t>17.3%</w:t>
            </w:r>
          </w:p>
        </w:tc>
        <w:tc>
          <w:tcPr>
            <w:tcW w:w="1160" w:type="dxa"/>
            <w:vAlign w:val="bottom"/>
            <w:gridSpan w:val="2"/>
          </w:tcPr>
          <w:p>
            <w:pPr>
              <w:jc w:val="center"/>
              <w:ind w:left="14"/>
              <w:spacing w:after="0"/>
              <w:rPr>
                <w:sz w:val="20"/>
                <w:szCs w:val="20"/>
                <w:color w:val="auto"/>
              </w:rPr>
            </w:pPr>
            <w:r>
              <w:rPr>
                <w:rFonts w:ascii="Arial" w:cs="Arial" w:eastAsia="Arial" w:hAnsi="Arial"/>
                <w:sz w:val="13"/>
                <w:szCs w:val="13"/>
                <w:color w:val="131E29"/>
                <w:w w:val="97"/>
              </w:rPr>
              <w:t>20.8%</w:t>
            </w:r>
          </w:p>
        </w:tc>
        <w:tc>
          <w:tcPr>
            <w:tcW w:w="100" w:type="dxa"/>
            <w:vAlign w:val="bottom"/>
          </w:tcPr>
          <w:p>
            <w:pPr>
              <w:spacing w:after="0"/>
              <w:rPr>
                <w:sz w:val="15"/>
                <w:szCs w:val="15"/>
                <w:color w:val="auto"/>
              </w:rPr>
            </w:pPr>
          </w:p>
        </w:tc>
        <w:tc>
          <w:tcPr>
            <w:tcW w:w="1280" w:type="dxa"/>
            <w:vAlign w:val="bottom"/>
          </w:tcPr>
          <w:p>
            <w:pPr>
              <w:jc w:val="center"/>
              <w:ind w:right="154"/>
              <w:spacing w:after="0"/>
              <w:rPr>
                <w:sz w:val="20"/>
                <w:szCs w:val="20"/>
                <w:color w:val="auto"/>
              </w:rPr>
            </w:pPr>
            <w:r>
              <w:rPr>
                <w:rFonts w:ascii="Arial" w:cs="Arial" w:eastAsia="Arial" w:hAnsi="Arial"/>
                <w:sz w:val="13"/>
                <w:szCs w:val="13"/>
                <w:color w:val="131E29"/>
              </w:rPr>
              <w:t>N/A</w:t>
            </w:r>
          </w:p>
        </w:tc>
        <w:tc>
          <w:tcPr>
            <w:tcW w:w="960" w:type="dxa"/>
            <w:vAlign w:val="bottom"/>
          </w:tcPr>
          <w:p>
            <w:pPr>
              <w:jc w:val="center"/>
              <w:ind w:right="36"/>
              <w:spacing w:after="0"/>
              <w:rPr>
                <w:sz w:val="20"/>
                <w:szCs w:val="20"/>
                <w:color w:val="auto"/>
              </w:rPr>
            </w:pPr>
            <w:r>
              <w:rPr>
                <w:rFonts w:ascii="Arial" w:cs="Arial" w:eastAsia="Arial" w:hAnsi="Arial"/>
                <w:sz w:val="13"/>
                <w:szCs w:val="13"/>
                <w:color w:val="131E29"/>
                <w:w w:val="98"/>
              </w:rPr>
              <w:t>(350)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selling, general, and administrative impacts for the year-over-year comparison, presented in dollars and basis points (as a percentage of current year total revenues), were driven by the following:</w:t>
      </w:r>
    </w:p>
    <w:p>
      <w:pPr>
        <w:spacing w:after="0" w:line="100" w:lineRule="exact"/>
        <w:rPr>
          <w:sz w:val="20"/>
          <w:szCs w:val="20"/>
          <w:color w:val="auto"/>
        </w:rPr>
      </w:pPr>
    </w:p>
    <w:p>
      <w:pPr>
        <w:ind w:left="300" w:hanging="295"/>
        <w:spacing w:after="0"/>
        <w:tabs>
          <w:tab w:leader="none" w:pos="300" w:val="left"/>
        </w:tabs>
        <w:numPr>
          <w:ilvl w:val="0"/>
          <w:numId w:val="24"/>
        </w:numPr>
        <w:rPr>
          <w:rFonts w:ascii="Arial" w:cs="Arial" w:eastAsia="Arial" w:hAnsi="Arial"/>
          <w:sz w:val="17"/>
          <w:szCs w:val="17"/>
          <w:b w:val="1"/>
          <w:bCs w:val="1"/>
          <w:color w:val="006098"/>
        </w:rPr>
      </w:pPr>
      <w:r>
        <w:rPr>
          <w:rFonts w:ascii="Arial" w:cs="Arial" w:eastAsia="Arial" w:hAnsi="Arial"/>
          <w:sz w:val="14"/>
          <w:szCs w:val="14"/>
          <w:color w:val="131E29"/>
        </w:rPr>
        <w:t>$9.9 million from investments in human capital, processes, and systems to support our revenue growth.</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4"/>
        </w:numPr>
        <w:rPr>
          <w:rFonts w:ascii="Arial" w:cs="Arial" w:eastAsia="Arial" w:hAnsi="Arial"/>
          <w:sz w:val="17"/>
          <w:szCs w:val="17"/>
          <w:b w:val="1"/>
          <w:bCs w:val="1"/>
          <w:color w:val="006098"/>
        </w:rPr>
      </w:pPr>
      <w:r>
        <w:rPr>
          <w:rFonts w:ascii="Arial" w:cs="Arial" w:eastAsia="Arial" w:hAnsi="Arial"/>
          <w:sz w:val="14"/>
          <w:szCs w:val="14"/>
          <w:color w:val="131E29"/>
        </w:rPr>
        <w:t>$4.2 million or 120 bps from organization realignment and restructuring costs.</w:t>
      </w:r>
    </w:p>
    <w:p>
      <w:pPr>
        <w:spacing w:after="0" w:line="49"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7"/>
          <w:szCs w:val="17"/>
          <w:b w:val="1"/>
          <w:bCs w:val="1"/>
          <w:color w:val="D7282F"/>
        </w:rPr>
      </w:pPr>
      <w:r>
        <w:rPr>
          <w:rFonts w:ascii="Arial" w:cs="Arial" w:eastAsia="Arial" w:hAnsi="Arial"/>
          <w:sz w:val="14"/>
          <w:szCs w:val="14"/>
          <w:color w:val="131E29"/>
        </w:rPr>
        <w:t>$7.0 million or 210 bps from lower equity-based compensation charges.</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sum of the items listed above was offset by leverage from revenue growth, driving selling, general and administrative expenses to 17.0% of revenue, a year-over-year improvement of 210 bps .</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selling, general, and administrative impacts for the year-over-year comparison, presented in dollars and basis points (as a percentage of current year total revenues), were driven by the following:</w:t>
      </w:r>
    </w:p>
    <w:p>
      <w:pPr>
        <w:spacing w:after="0" w:line="100" w:lineRule="exact"/>
        <w:rPr>
          <w:sz w:val="20"/>
          <w:szCs w:val="20"/>
          <w:color w:val="auto"/>
        </w:rPr>
      </w:pPr>
    </w:p>
    <w:p>
      <w:pPr>
        <w:ind w:left="300" w:hanging="295"/>
        <w:spacing w:after="0"/>
        <w:tabs>
          <w:tab w:leader="none" w:pos="300" w:val="left"/>
        </w:tabs>
        <w:numPr>
          <w:ilvl w:val="0"/>
          <w:numId w:val="26"/>
        </w:numPr>
        <w:rPr>
          <w:rFonts w:ascii="Arial" w:cs="Arial" w:eastAsia="Arial" w:hAnsi="Arial"/>
          <w:sz w:val="17"/>
          <w:szCs w:val="17"/>
          <w:b w:val="1"/>
          <w:bCs w:val="1"/>
          <w:color w:val="006098"/>
        </w:rPr>
      </w:pPr>
      <w:r>
        <w:rPr>
          <w:rFonts w:ascii="Arial" w:cs="Arial" w:eastAsia="Arial" w:hAnsi="Arial"/>
          <w:sz w:val="14"/>
          <w:szCs w:val="14"/>
          <w:color w:val="131E29"/>
        </w:rPr>
        <w:t>$22.1 million from investments in human capital, processes, and systems to support our revenue growth.</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6"/>
        </w:numPr>
        <w:rPr>
          <w:rFonts w:ascii="Arial" w:cs="Arial" w:eastAsia="Arial" w:hAnsi="Arial"/>
          <w:sz w:val="17"/>
          <w:szCs w:val="17"/>
          <w:b w:val="1"/>
          <w:bCs w:val="1"/>
          <w:color w:val="006098"/>
        </w:rPr>
      </w:pPr>
      <w:r>
        <w:rPr>
          <w:rFonts w:ascii="Arial" w:cs="Arial" w:eastAsia="Arial" w:hAnsi="Arial"/>
          <w:sz w:val="14"/>
          <w:szCs w:val="14"/>
          <w:color w:val="131E29"/>
        </w:rPr>
        <w:t>$13.5 million or 140 bps from organization realignment and restructuring costs.</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6"/>
        </w:numPr>
        <w:rPr>
          <w:rFonts w:ascii="Arial" w:cs="Arial" w:eastAsia="Arial" w:hAnsi="Arial"/>
          <w:sz w:val="17"/>
          <w:szCs w:val="17"/>
          <w:b w:val="1"/>
          <w:bCs w:val="1"/>
          <w:color w:val="006098"/>
        </w:rPr>
      </w:pPr>
      <w:r>
        <w:rPr>
          <w:rFonts w:ascii="Arial" w:cs="Arial" w:eastAsia="Arial" w:hAnsi="Arial"/>
          <w:sz w:val="14"/>
          <w:szCs w:val="14"/>
          <w:color w:val="131E29"/>
        </w:rPr>
        <w:t>$1.5 million or 20 bps from expenses related to equity offerings.</w:t>
      </w:r>
    </w:p>
    <w:p>
      <w:pPr>
        <w:spacing w:after="0" w:line="49" w:lineRule="exact"/>
        <w:rPr>
          <w:sz w:val="20"/>
          <w:szCs w:val="20"/>
          <w:color w:val="auto"/>
        </w:rPr>
      </w:pPr>
    </w:p>
    <w:p>
      <w:pPr>
        <w:ind w:left="260" w:hanging="255"/>
        <w:spacing w:after="0"/>
        <w:tabs>
          <w:tab w:leader="none" w:pos="260" w:val="left"/>
        </w:tabs>
        <w:numPr>
          <w:ilvl w:val="0"/>
          <w:numId w:val="27"/>
        </w:numPr>
        <w:rPr>
          <w:rFonts w:ascii="Arial" w:cs="Arial" w:eastAsia="Arial" w:hAnsi="Arial"/>
          <w:sz w:val="17"/>
          <w:szCs w:val="17"/>
          <w:b w:val="1"/>
          <w:bCs w:val="1"/>
          <w:color w:val="D7282F"/>
        </w:rPr>
      </w:pPr>
      <w:r>
        <w:rPr>
          <w:rFonts w:ascii="Arial" w:cs="Arial" w:eastAsia="Arial" w:hAnsi="Arial"/>
          <w:sz w:val="14"/>
          <w:szCs w:val="14"/>
          <w:color w:val="131E29"/>
        </w:rPr>
        <w:t>$21.4 million or 230 bps from lower equity-based compensation charges.</w:t>
      </w:r>
    </w:p>
    <w:p>
      <w:pPr>
        <w:spacing w:after="0" w:line="48" w:lineRule="exact"/>
        <w:rPr>
          <w:rFonts w:ascii="Arial" w:cs="Arial" w:eastAsia="Arial" w:hAnsi="Arial"/>
          <w:sz w:val="17"/>
          <w:szCs w:val="17"/>
          <w:b w:val="1"/>
          <w:bCs w:val="1"/>
          <w:color w:val="D7282F"/>
        </w:rPr>
      </w:pPr>
    </w:p>
    <w:p>
      <w:pPr>
        <w:ind w:left="260" w:hanging="255"/>
        <w:spacing w:after="0"/>
        <w:tabs>
          <w:tab w:leader="none" w:pos="260" w:val="left"/>
        </w:tabs>
        <w:numPr>
          <w:ilvl w:val="0"/>
          <w:numId w:val="27"/>
        </w:numPr>
        <w:rPr>
          <w:rFonts w:ascii="Arial" w:cs="Arial" w:eastAsia="Arial" w:hAnsi="Arial"/>
          <w:sz w:val="17"/>
          <w:szCs w:val="17"/>
          <w:b w:val="1"/>
          <w:bCs w:val="1"/>
          <w:color w:val="D7282F"/>
        </w:rPr>
      </w:pPr>
      <w:r>
        <w:rPr>
          <w:rFonts w:ascii="Arial" w:cs="Arial" w:eastAsia="Arial" w:hAnsi="Arial"/>
          <w:sz w:val="14"/>
          <w:szCs w:val="14"/>
          <w:color w:val="131E29"/>
        </w:rPr>
        <w:t>$2.0 million or 20 bps from lower expense for certain legal disputes.</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sum of the items listed above was offset by leverage from revenue growth, driving selling, general and administrative expenses to 17.3% of revenue, a year-over-year improvement of 350 bps.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Other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131E29"/>
            </w:tcBorders>
          </w:tcPr>
          <w:p>
            <w:pPr>
              <w:spacing w:after="0"/>
              <w:rPr>
                <w:sz w:val="17"/>
                <w:szCs w:val="17"/>
                <w:color w:val="auto"/>
              </w:rPr>
            </w:pPr>
          </w:p>
        </w:tc>
        <w:tc>
          <w:tcPr>
            <w:tcW w:w="2580" w:type="dxa"/>
            <w:vAlign w:val="bottom"/>
            <w:tcBorders>
              <w:bottom w:val="single" w:sz="8" w:color="131E29"/>
            </w:tcBorders>
            <w:gridSpan w:val="7"/>
          </w:tcPr>
          <w:p>
            <w:pPr>
              <w:ind w:left="60"/>
              <w:spacing w:after="0"/>
              <w:rPr>
                <w:sz w:val="20"/>
                <w:szCs w:val="20"/>
                <w:color w:val="auto"/>
              </w:rPr>
            </w:pPr>
            <w:r>
              <w:rPr>
                <w:rFonts w:ascii="Arial" w:cs="Arial" w:eastAsia="Arial" w:hAnsi="Arial"/>
                <w:sz w:val="14"/>
                <w:szCs w:val="14"/>
                <w:b w:val="1"/>
                <w:bCs w:val="1"/>
                <w:color w:val="131E29"/>
              </w:rPr>
              <w:t>Three Months Ended September 30,</w:t>
            </w:r>
          </w:p>
        </w:tc>
        <w:tc>
          <w:tcPr>
            <w:tcW w:w="800" w:type="dxa"/>
            <w:vAlign w:val="bottom"/>
            <w:tcBorders>
              <w:bottom w:val="single" w:sz="8" w:color="131E29"/>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131E29"/>
              </w:rPr>
              <w:t>Nine Months Ended September 30,</w:t>
            </w:r>
          </w:p>
        </w:tc>
        <w:tc>
          <w:tcPr>
            <w:tcW w:w="920" w:type="dxa"/>
            <w:vAlign w:val="bottom"/>
            <w:tcBorders>
              <w:bottom w:val="single" w:sz="8" w:color="auto"/>
            </w:tcBorders>
          </w:tcPr>
          <w:p>
            <w:pPr>
              <w:spacing w:after="0"/>
              <w:rPr>
                <w:sz w:val="17"/>
                <w:szCs w:val="17"/>
                <w:color w:val="auto"/>
              </w:rPr>
            </w:pPr>
          </w:p>
        </w:tc>
      </w:tr>
      <w:tr>
        <w:trPr>
          <w:trHeight w:val="20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center"/>
              <w:ind w:left="149"/>
              <w:spacing w:after="0"/>
              <w:rPr>
                <w:sz w:val="20"/>
                <w:szCs w:val="20"/>
                <w:color w:val="auto"/>
              </w:rPr>
            </w:pPr>
            <w:r>
              <w:rPr>
                <w:rFonts w:ascii="Arial" w:cs="Arial" w:eastAsia="Arial" w:hAnsi="Arial"/>
                <w:sz w:val="14"/>
                <w:szCs w:val="14"/>
                <w:b w:val="1"/>
                <w:bCs w:val="1"/>
                <w:color w:val="131E29"/>
                <w:w w:val="96"/>
              </w:rPr>
              <w:t>2024</w:t>
            </w:r>
          </w:p>
        </w:tc>
        <w:tc>
          <w:tcPr>
            <w:tcW w:w="22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920" w:type="dxa"/>
            <w:vAlign w:val="bottom"/>
            <w:tcBorders>
              <w:bottom w:val="single" w:sz="8" w:color="131E29"/>
            </w:tcBorders>
            <w:gridSpan w:val="4"/>
          </w:tcPr>
          <w:p>
            <w:pPr>
              <w:jc w:val="right"/>
              <w:ind w:right="469"/>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940" w:type="dxa"/>
            <w:vAlign w:val="bottom"/>
            <w:tcBorders>
              <w:bottom w:val="single" w:sz="8" w:color="131E29"/>
            </w:tcBorders>
          </w:tcPr>
          <w:p>
            <w:pPr>
              <w:jc w:val="center"/>
              <w:ind w:left="109"/>
              <w:spacing w:after="0"/>
              <w:rPr>
                <w:sz w:val="20"/>
                <w:szCs w:val="20"/>
                <w:color w:val="auto"/>
              </w:rPr>
            </w:pPr>
            <w:r>
              <w:rPr>
                <w:rFonts w:ascii="Arial" w:cs="Arial" w:eastAsia="Arial" w:hAnsi="Arial"/>
                <w:sz w:val="14"/>
                <w:szCs w:val="14"/>
                <w:b w:val="1"/>
                <w:bCs w:val="1"/>
                <w:color w:val="131E29"/>
              </w:rPr>
              <w:t>2024</w:t>
            </w:r>
          </w:p>
        </w:tc>
        <w:tc>
          <w:tcPr>
            <w:tcW w:w="180" w:type="dxa"/>
            <w:vAlign w:val="bottom"/>
            <w:tcBorders>
              <w:bottom w:val="single" w:sz="8" w:color="131E29"/>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114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2023</w:t>
            </w:r>
          </w:p>
        </w:tc>
        <w:tc>
          <w:tcPr>
            <w:tcW w:w="100" w:type="dxa"/>
            <w:vAlign w:val="bottom"/>
            <w:tcBorders>
              <w:bottom w:val="single" w:sz="8" w:color="D2DCE5"/>
            </w:tcBorders>
          </w:tcPr>
          <w:p>
            <w:pPr>
              <w:spacing w:after="0"/>
              <w:rPr>
                <w:sz w:val="17"/>
                <w:szCs w:val="17"/>
                <w:color w:val="auto"/>
              </w:rPr>
            </w:pPr>
          </w:p>
        </w:tc>
        <w:tc>
          <w:tcPr>
            <w:tcW w:w="1920" w:type="dxa"/>
            <w:vAlign w:val="bottom"/>
            <w:tcBorders>
              <w:bottom w:val="single" w:sz="8" w:color="131E29"/>
            </w:tcBorders>
            <w:gridSpan w:val="3"/>
          </w:tcPr>
          <w:p>
            <w:pPr>
              <w:ind w:left="560"/>
              <w:spacing w:after="0"/>
              <w:rPr>
                <w:sz w:val="20"/>
                <w:szCs w:val="20"/>
                <w:color w:val="auto"/>
              </w:rPr>
            </w:pPr>
            <w:r>
              <w:rPr>
                <w:rFonts w:ascii="Arial" w:cs="Arial" w:eastAsia="Arial" w:hAnsi="Arial"/>
                <w:sz w:val="14"/>
                <w:szCs w:val="14"/>
                <w:b w:val="1"/>
                <w:bCs w:val="1"/>
                <w:color w:val="131E29"/>
              </w:rPr>
              <w:t>2024 v. 2023</w:t>
            </w:r>
          </w:p>
        </w:tc>
      </w:tr>
      <w:tr>
        <w:trPr>
          <w:trHeight w:val="209"/>
        </w:trPr>
        <w:tc>
          <w:tcPr>
            <w:tcW w:w="2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on finance leases</w:t>
            </w:r>
          </w:p>
        </w:tc>
        <w:tc>
          <w:tcPr>
            <w:tcW w:w="840" w:type="dxa"/>
            <w:vAlign w:val="bottom"/>
            <w:shd w:val="clear" w:color="auto" w:fill="D2DCE5"/>
          </w:tcPr>
          <w:p>
            <w:pPr>
              <w:jc w:val="center"/>
              <w:ind w:left="149"/>
              <w:spacing w:after="0"/>
              <w:rPr>
                <w:sz w:val="20"/>
                <w:szCs w:val="20"/>
                <w:color w:val="auto"/>
              </w:rPr>
            </w:pPr>
            <w:r>
              <w:rPr>
                <w:rFonts w:ascii="Arial" w:cs="Arial" w:eastAsia="Arial" w:hAnsi="Arial"/>
                <w:sz w:val="14"/>
                <w:szCs w:val="14"/>
                <w:color w:val="131E29"/>
              </w:rPr>
              <w:t>$(5,541)</w:t>
            </w:r>
          </w:p>
        </w:tc>
        <w:tc>
          <w:tcPr>
            <w:tcW w:w="1380" w:type="dxa"/>
            <w:vAlign w:val="bottom"/>
            <w:gridSpan w:val="3"/>
            <w:shd w:val="clear" w:color="auto" w:fill="D2DCE5"/>
          </w:tcPr>
          <w:p>
            <w:pPr>
              <w:jc w:val="center"/>
              <w:ind w:left="229"/>
              <w:spacing w:after="0"/>
              <w:rPr>
                <w:sz w:val="20"/>
                <w:szCs w:val="20"/>
                <w:color w:val="auto"/>
              </w:rPr>
            </w:pPr>
            <w:r>
              <w:rPr>
                <w:rFonts w:ascii="Arial" w:cs="Arial" w:eastAsia="Arial" w:hAnsi="Arial"/>
                <w:sz w:val="14"/>
                <w:szCs w:val="14"/>
                <w:color w:val="131E29"/>
                <w:w w:val="99"/>
              </w:rPr>
              <w:t>$(4,755)</w:t>
            </w:r>
          </w:p>
        </w:tc>
        <w:tc>
          <w:tcPr>
            <w:tcW w:w="80" w:type="dxa"/>
            <w:vAlign w:val="bottom"/>
            <w:shd w:val="clear" w:color="auto" w:fill="D2DCE5"/>
          </w:tcPr>
          <w:p>
            <w:pPr>
              <w:spacing w:after="0"/>
              <w:rPr>
                <w:sz w:val="18"/>
                <w:szCs w:val="18"/>
                <w:color w:val="auto"/>
              </w:rPr>
            </w:pPr>
          </w:p>
        </w:tc>
        <w:tc>
          <w:tcPr>
            <w:tcW w:w="9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$(786)</w:t>
            </w: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80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16.5%</w:t>
            </w:r>
          </w:p>
        </w:tc>
        <w:tc>
          <w:tcPr>
            <w:tcW w:w="100" w:type="dxa"/>
            <w:vAlign w:val="bottom"/>
            <w:shd w:val="clear" w:color="auto" w:fill="D2DCE5"/>
          </w:tcPr>
          <w:p>
            <w:pPr>
              <w:spacing w:after="0"/>
              <w:rPr>
                <w:sz w:val="18"/>
                <w:szCs w:val="18"/>
                <w:color w:val="auto"/>
              </w:rPr>
            </w:pPr>
          </w:p>
        </w:tc>
        <w:tc>
          <w:tcPr>
            <w:tcW w:w="940" w:type="dxa"/>
            <w:vAlign w:val="bottom"/>
            <w:shd w:val="clear" w:color="auto" w:fill="D2DCE5"/>
          </w:tcPr>
          <w:p>
            <w:pPr>
              <w:jc w:val="center"/>
              <w:ind w:left="109"/>
              <w:spacing w:after="0"/>
              <w:rPr>
                <w:sz w:val="20"/>
                <w:szCs w:val="20"/>
                <w:color w:val="auto"/>
              </w:rPr>
            </w:pPr>
            <w:r>
              <w:rPr>
                <w:rFonts w:ascii="Arial" w:cs="Arial" w:eastAsia="Arial" w:hAnsi="Arial"/>
                <w:sz w:val="14"/>
                <w:szCs w:val="14"/>
                <w:color w:val="131E29"/>
              </w:rPr>
              <w:t>$(16,499)</w:t>
            </w:r>
          </w:p>
        </w:tc>
        <w:tc>
          <w:tcPr>
            <w:tcW w:w="1420" w:type="dxa"/>
            <w:vAlign w:val="bottom"/>
            <w:gridSpan w:val="3"/>
            <w:shd w:val="clear" w:color="auto" w:fill="D2DCE5"/>
          </w:tcPr>
          <w:p>
            <w:pPr>
              <w:jc w:val="center"/>
              <w:ind w:left="209"/>
              <w:spacing w:after="0"/>
              <w:rPr>
                <w:sz w:val="20"/>
                <w:szCs w:val="20"/>
                <w:color w:val="auto"/>
              </w:rPr>
            </w:pPr>
            <w:r>
              <w:rPr>
                <w:rFonts w:ascii="Arial" w:cs="Arial" w:eastAsia="Arial" w:hAnsi="Arial"/>
                <w:sz w:val="14"/>
                <w:szCs w:val="14"/>
                <w:color w:val="131E29"/>
              </w:rPr>
              <w:t>$(12,344)</w:t>
            </w:r>
          </w:p>
        </w:tc>
        <w:tc>
          <w:tcPr>
            <w:tcW w:w="100" w:type="dxa"/>
            <w:vAlign w:val="bottom"/>
            <w:shd w:val="clear" w:color="auto" w:fill="D2DCE5"/>
          </w:tcPr>
          <w:p>
            <w:pPr>
              <w:spacing w:after="0"/>
              <w:rPr>
                <w:sz w:val="18"/>
                <w:szCs w:val="18"/>
                <w:color w:val="auto"/>
              </w:rPr>
            </w:pPr>
          </w:p>
        </w:tc>
        <w:tc>
          <w:tcPr>
            <w:tcW w:w="9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$(4,155)</w:t>
            </w:r>
          </w:p>
        </w:tc>
        <w:tc>
          <w:tcPr>
            <w:tcW w:w="80" w:type="dxa"/>
            <w:vAlign w:val="bottom"/>
            <w:shd w:val="clear" w:color="auto" w:fill="D2DCE5"/>
          </w:tcPr>
          <w:p>
            <w:pPr>
              <w:spacing w:after="0"/>
              <w:rPr>
                <w:sz w:val="18"/>
                <w:szCs w:val="18"/>
                <w:color w:val="auto"/>
              </w:rPr>
            </w:pPr>
          </w:p>
        </w:tc>
        <w:tc>
          <w:tcPr>
            <w:tcW w:w="9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33.7%</w:t>
            </w:r>
          </w:p>
        </w:tc>
      </w:tr>
      <w:tr>
        <w:trPr>
          <w:trHeight w:val="203"/>
        </w:trPr>
        <w:tc>
          <w:tcPr>
            <w:tcW w:w="25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interest expense, net</w:t>
            </w:r>
          </w:p>
        </w:tc>
        <w:tc>
          <w:tcPr>
            <w:tcW w:w="8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131E29"/>
              </w:rPr>
              <w:t>(1,328)</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w w:val="99"/>
              </w:rPr>
              <w:t>(4,570)</w:t>
            </w: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3,242</w:t>
            </w: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(70.9)%</w:t>
            </w:r>
          </w:p>
        </w:tc>
        <w:tc>
          <w:tcPr>
            <w:tcW w:w="10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color w:val="131E29"/>
                <w:w w:val="99"/>
              </w:rPr>
              <w:t>(3,760)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(13,925)</w:t>
            </w:r>
          </w:p>
        </w:tc>
        <w:tc>
          <w:tcPr>
            <w:tcW w:w="10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10,165</w:t>
            </w: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w w:val="97"/>
              </w:rPr>
              <w:t>(73.0)%</w:t>
            </w:r>
          </w:p>
        </w:tc>
      </w:tr>
      <w:tr>
        <w:trPr>
          <w:trHeight w:val="212"/>
        </w:trPr>
        <w:tc>
          <w:tcPr>
            <w:tcW w:w="2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840" w:type="dxa"/>
            <w:vAlign w:val="bottom"/>
            <w:tcBorders>
              <w:bottom w:val="single" w:sz="8" w:color="auto"/>
            </w:tcBorders>
            <w:shd w:val="clear" w:color="auto" w:fill="D2DCE5"/>
          </w:tcPr>
          <w:p>
            <w:pPr>
              <w:jc w:val="center"/>
              <w:ind w:left="149"/>
              <w:spacing w:after="0"/>
              <w:rPr>
                <w:sz w:val="20"/>
                <w:szCs w:val="20"/>
                <w:color w:val="auto"/>
              </w:rPr>
            </w:pPr>
            <w:r>
              <w:rPr>
                <w:rFonts w:ascii="Arial" w:cs="Arial" w:eastAsia="Arial" w:hAnsi="Arial"/>
                <w:sz w:val="14"/>
                <w:szCs w:val="14"/>
                <w:color w:val="131E29"/>
              </w:rPr>
              <w:t>$(6,869)</w:t>
            </w:r>
          </w:p>
        </w:tc>
        <w:tc>
          <w:tcPr>
            <w:tcW w:w="220" w:type="dxa"/>
            <w:vAlign w:val="bottom"/>
            <w:tcBorders>
              <w:bottom w:val="single" w:sz="8" w:color="auto"/>
            </w:tcBorders>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8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w w:val="99"/>
              </w:rPr>
              <w:t>$(9,325)</w:t>
            </w:r>
          </w:p>
        </w:tc>
        <w:tc>
          <w:tcPr>
            <w:tcW w:w="80" w:type="dxa"/>
            <w:vAlign w:val="bottom"/>
            <w:shd w:val="clear" w:color="auto" w:fill="D2DCE5"/>
          </w:tcPr>
          <w:p>
            <w:pPr>
              <w:spacing w:after="0"/>
              <w:rPr>
                <w:sz w:val="18"/>
                <w:szCs w:val="18"/>
                <w:color w:val="auto"/>
              </w:rPr>
            </w:pPr>
          </w:p>
        </w:tc>
        <w:tc>
          <w:tcPr>
            <w:tcW w:w="92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$2,456</w:t>
            </w:r>
          </w:p>
        </w:tc>
        <w:tc>
          <w:tcPr>
            <w:tcW w:w="80" w:type="dxa"/>
            <w:vAlign w:val="bottom"/>
            <w:shd w:val="clear" w:color="auto" w:fill="D2DCE5"/>
          </w:tcPr>
          <w:p>
            <w:pPr>
              <w:spacing w:after="0"/>
              <w:rPr>
                <w:sz w:val="18"/>
                <w:szCs w:val="18"/>
                <w:color w:val="auto"/>
              </w:rPr>
            </w:pPr>
          </w:p>
        </w:tc>
        <w:tc>
          <w:tcPr>
            <w:tcW w:w="120" w:type="dxa"/>
            <w:vAlign w:val="bottom"/>
            <w:tcBorders>
              <w:bottom w:val="single" w:sz="8" w:color="auto"/>
            </w:tcBorders>
            <w:shd w:val="clear" w:color="auto" w:fill="D2DCE5"/>
          </w:tcPr>
          <w:p>
            <w:pPr>
              <w:spacing w:after="0"/>
              <w:rPr>
                <w:sz w:val="18"/>
                <w:szCs w:val="18"/>
                <w:color w:val="auto"/>
              </w:rPr>
            </w:pPr>
          </w:p>
        </w:tc>
        <w:tc>
          <w:tcPr>
            <w:tcW w:w="8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(26.3)%</w:t>
            </w:r>
          </w:p>
        </w:tc>
        <w:tc>
          <w:tcPr>
            <w:tcW w:w="100" w:type="dxa"/>
            <w:vAlign w:val="bottom"/>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center"/>
              <w:ind w:left="109"/>
              <w:spacing w:after="0"/>
              <w:rPr>
                <w:sz w:val="20"/>
                <w:szCs w:val="20"/>
                <w:color w:val="auto"/>
              </w:rPr>
            </w:pPr>
            <w:r>
              <w:rPr>
                <w:rFonts w:ascii="Arial" w:cs="Arial" w:eastAsia="Arial" w:hAnsi="Arial"/>
                <w:sz w:val="14"/>
                <w:szCs w:val="14"/>
                <w:color w:val="131E29"/>
              </w:rPr>
              <w:t>$(20,259)</w:t>
            </w:r>
          </w:p>
        </w:tc>
        <w:tc>
          <w:tcPr>
            <w:tcW w:w="180" w:type="dxa"/>
            <w:vAlign w:val="bottom"/>
            <w:tcBorders>
              <w:bottom w:val="single" w:sz="8" w:color="auto"/>
            </w:tcBorders>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1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$(26,269)</w:t>
            </w:r>
          </w:p>
        </w:tc>
        <w:tc>
          <w:tcPr>
            <w:tcW w:w="100" w:type="dxa"/>
            <w:vAlign w:val="bottom"/>
            <w:shd w:val="clear" w:color="auto" w:fill="D2DCE5"/>
          </w:tcPr>
          <w:p>
            <w:pPr>
              <w:spacing w:after="0"/>
              <w:rPr>
                <w:sz w:val="18"/>
                <w:szCs w:val="18"/>
                <w:color w:val="auto"/>
              </w:rPr>
            </w:pPr>
          </w:p>
        </w:tc>
        <w:tc>
          <w:tcPr>
            <w:tcW w:w="92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$6,010</w:t>
            </w:r>
          </w:p>
        </w:tc>
        <w:tc>
          <w:tcPr>
            <w:tcW w:w="80" w:type="dxa"/>
            <w:vAlign w:val="bottom"/>
            <w:shd w:val="clear" w:color="auto" w:fill="D2DCE5"/>
          </w:tcPr>
          <w:p>
            <w:pPr>
              <w:spacing w:after="0"/>
              <w:rPr>
                <w:sz w:val="18"/>
                <w:szCs w:val="18"/>
                <w:color w:val="auto"/>
              </w:rPr>
            </w:pPr>
          </w:p>
        </w:tc>
        <w:tc>
          <w:tcPr>
            <w:tcW w:w="92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w w:val="97"/>
              </w:rPr>
              <w:t>(22.9)%</w:t>
            </w:r>
          </w:p>
        </w:tc>
      </w:tr>
      <w:tr>
        <w:trPr>
          <w:trHeight w:val="193"/>
        </w:trPr>
        <w:tc>
          <w:tcPr>
            <w:tcW w:w="25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income (expense), net</w:t>
            </w:r>
          </w:p>
        </w:tc>
        <w:tc>
          <w:tcPr>
            <w:tcW w:w="8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131E29"/>
                <w:w w:val="94"/>
              </w:rPr>
              <w:t>764</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D2DCE5"/>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w w:val="97"/>
              </w:rPr>
              <w:t>(140)</w:t>
            </w:r>
          </w:p>
        </w:tc>
        <w:tc>
          <w:tcPr>
            <w:tcW w:w="80" w:type="dxa"/>
            <w:vAlign w:val="bottom"/>
            <w:tcBorders>
              <w:bottom w:val="single" w:sz="8" w:color="D2DCE5"/>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904</w:t>
            </w:r>
          </w:p>
        </w:tc>
        <w:tc>
          <w:tcPr>
            <w:tcW w:w="80" w:type="dxa"/>
            <w:vAlign w:val="bottom"/>
            <w:tcBorders>
              <w:bottom w:val="single" w:sz="8" w:color="D2DCE5"/>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131E29"/>
              </w:rPr>
              <w:t>N/M</w:t>
            </w:r>
          </w:p>
        </w:tc>
        <w:tc>
          <w:tcPr>
            <w:tcW w:w="100" w:type="dxa"/>
            <w:vAlign w:val="bottom"/>
            <w:tcBorders>
              <w:bottom w:val="single" w:sz="8" w:color="D2DCE5"/>
            </w:tcBorders>
          </w:tcPr>
          <w:p>
            <w:pPr>
              <w:spacing w:after="0"/>
              <w:rPr>
                <w:sz w:val="16"/>
                <w:szCs w:val="16"/>
                <w:color w:val="auto"/>
              </w:rPr>
            </w:pPr>
          </w:p>
        </w:tc>
        <w:tc>
          <w:tcPr>
            <w:tcW w:w="94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color w:val="131E29"/>
              </w:rPr>
              <w:t>7,357</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D2DCE5"/>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w w:val="96"/>
              </w:rPr>
              <w:t>2,206</w:t>
            </w:r>
          </w:p>
        </w:tc>
        <w:tc>
          <w:tcPr>
            <w:tcW w:w="100" w:type="dxa"/>
            <w:vAlign w:val="bottom"/>
            <w:tcBorders>
              <w:bottom w:val="single" w:sz="8" w:color="D2DCE5"/>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5,151</w:t>
            </w:r>
          </w:p>
        </w:tc>
        <w:tc>
          <w:tcPr>
            <w:tcW w:w="80" w:type="dxa"/>
            <w:vAlign w:val="bottom"/>
            <w:tcBorders>
              <w:bottom w:val="single" w:sz="8" w:color="D2DCE5"/>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233.5%</w:t>
            </w:r>
          </w:p>
        </w:tc>
      </w:tr>
      <w:tr>
        <w:trPr>
          <w:trHeight w:val="232"/>
        </w:trPr>
        <w:tc>
          <w:tcPr>
            <w:tcW w:w="25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Total other expense</w:t>
            </w:r>
          </w:p>
        </w:tc>
        <w:tc>
          <w:tcPr>
            <w:tcW w:w="840" w:type="dxa"/>
            <w:vAlign w:val="bottom"/>
            <w:shd w:val="clear" w:color="auto" w:fill="D2DCE5"/>
          </w:tcPr>
          <w:p>
            <w:pPr>
              <w:jc w:val="center"/>
              <w:ind w:left="149"/>
              <w:spacing w:after="0"/>
              <w:rPr>
                <w:sz w:val="20"/>
                <w:szCs w:val="20"/>
                <w:color w:val="auto"/>
              </w:rPr>
            </w:pPr>
            <w:r>
              <w:rPr>
                <w:rFonts w:ascii="Arial" w:cs="Arial" w:eastAsia="Arial" w:hAnsi="Arial"/>
                <w:sz w:val="14"/>
                <w:szCs w:val="14"/>
                <w:color w:val="131E29"/>
              </w:rPr>
              <w:t>$(6,105)</w:t>
            </w:r>
          </w:p>
        </w:tc>
        <w:tc>
          <w:tcPr>
            <w:tcW w:w="1380" w:type="dxa"/>
            <w:vAlign w:val="bottom"/>
            <w:gridSpan w:val="3"/>
            <w:shd w:val="clear" w:color="auto" w:fill="D2DCE5"/>
          </w:tcPr>
          <w:p>
            <w:pPr>
              <w:jc w:val="center"/>
              <w:ind w:left="229"/>
              <w:spacing w:after="0"/>
              <w:rPr>
                <w:sz w:val="20"/>
                <w:szCs w:val="20"/>
                <w:color w:val="auto"/>
              </w:rPr>
            </w:pPr>
            <w:r>
              <w:rPr>
                <w:rFonts w:ascii="Arial" w:cs="Arial" w:eastAsia="Arial" w:hAnsi="Arial"/>
                <w:sz w:val="14"/>
                <w:szCs w:val="14"/>
                <w:color w:val="131E29"/>
                <w:w w:val="99"/>
              </w:rPr>
              <w:t>$(9,465)</w:t>
            </w:r>
          </w:p>
        </w:tc>
        <w:tc>
          <w:tcPr>
            <w:tcW w:w="80" w:type="dxa"/>
            <w:vAlign w:val="bottom"/>
            <w:shd w:val="clear" w:color="auto" w:fill="D2DCE5"/>
          </w:tcPr>
          <w:p>
            <w:pPr>
              <w:spacing w:after="0"/>
              <w:rPr>
                <w:sz w:val="20"/>
                <w:szCs w:val="20"/>
                <w:color w:val="auto"/>
              </w:rPr>
            </w:pPr>
          </w:p>
        </w:tc>
        <w:tc>
          <w:tcPr>
            <w:tcW w:w="9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$3,360</w:t>
            </w:r>
          </w:p>
        </w:tc>
        <w:tc>
          <w:tcPr>
            <w:tcW w:w="80" w:type="dxa"/>
            <w:vAlign w:val="bottom"/>
            <w:shd w:val="clear" w:color="auto" w:fill="D2DCE5"/>
          </w:tcPr>
          <w:p>
            <w:pPr>
              <w:spacing w:after="0"/>
              <w:rPr>
                <w:sz w:val="20"/>
                <w:szCs w:val="20"/>
                <w:color w:val="auto"/>
              </w:rPr>
            </w:pPr>
          </w:p>
        </w:tc>
        <w:tc>
          <w:tcPr>
            <w:tcW w:w="120" w:type="dxa"/>
            <w:vAlign w:val="bottom"/>
            <w:shd w:val="clear" w:color="auto" w:fill="D2DCE5"/>
          </w:tcPr>
          <w:p>
            <w:pPr>
              <w:spacing w:after="0"/>
              <w:rPr>
                <w:sz w:val="20"/>
                <w:szCs w:val="20"/>
                <w:color w:val="auto"/>
              </w:rPr>
            </w:pPr>
          </w:p>
        </w:tc>
        <w:tc>
          <w:tcPr>
            <w:tcW w:w="8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(35.5)%</w:t>
            </w:r>
          </w:p>
        </w:tc>
        <w:tc>
          <w:tcPr>
            <w:tcW w:w="100" w:type="dxa"/>
            <w:vAlign w:val="bottom"/>
            <w:shd w:val="clear" w:color="auto" w:fill="D2DCE5"/>
          </w:tcPr>
          <w:p>
            <w:pPr>
              <w:spacing w:after="0"/>
              <w:rPr>
                <w:sz w:val="20"/>
                <w:szCs w:val="20"/>
                <w:color w:val="auto"/>
              </w:rPr>
            </w:pPr>
          </w:p>
        </w:tc>
        <w:tc>
          <w:tcPr>
            <w:tcW w:w="940" w:type="dxa"/>
            <w:vAlign w:val="bottom"/>
            <w:shd w:val="clear" w:color="auto" w:fill="D2DCE5"/>
          </w:tcPr>
          <w:p>
            <w:pPr>
              <w:jc w:val="center"/>
              <w:ind w:left="109"/>
              <w:spacing w:after="0"/>
              <w:rPr>
                <w:sz w:val="20"/>
                <w:szCs w:val="20"/>
                <w:color w:val="auto"/>
              </w:rPr>
            </w:pPr>
            <w:r>
              <w:rPr>
                <w:rFonts w:ascii="Arial" w:cs="Arial" w:eastAsia="Arial" w:hAnsi="Arial"/>
                <w:sz w:val="14"/>
                <w:szCs w:val="14"/>
                <w:color w:val="131E29"/>
              </w:rPr>
              <w:t>$(12,902)</w:t>
            </w:r>
          </w:p>
        </w:tc>
        <w:tc>
          <w:tcPr>
            <w:tcW w:w="1420" w:type="dxa"/>
            <w:vAlign w:val="bottom"/>
            <w:gridSpan w:val="3"/>
            <w:shd w:val="clear" w:color="auto" w:fill="D2DCE5"/>
          </w:tcPr>
          <w:p>
            <w:pPr>
              <w:jc w:val="center"/>
              <w:ind w:left="209"/>
              <w:spacing w:after="0"/>
              <w:rPr>
                <w:sz w:val="20"/>
                <w:szCs w:val="20"/>
                <w:color w:val="auto"/>
              </w:rPr>
            </w:pPr>
            <w:r>
              <w:rPr>
                <w:rFonts w:ascii="Arial" w:cs="Arial" w:eastAsia="Arial" w:hAnsi="Arial"/>
                <w:sz w:val="14"/>
                <w:szCs w:val="14"/>
                <w:color w:val="131E29"/>
              </w:rPr>
              <w:t>$(24,063)</w:t>
            </w:r>
          </w:p>
        </w:tc>
        <w:tc>
          <w:tcPr>
            <w:tcW w:w="100" w:type="dxa"/>
            <w:vAlign w:val="bottom"/>
            <w:shd w:val="clear" w:color="auto" w:fill="D2DCE5"/>
          </w:tcPr>
          <w:p>
            <w:pPr>
              <w:spacing w:after="0"/>
              <w:rPr>
                <w:sz w:val="20"/>
                <w:szCs w:val="20"/>
                <w:color w:val="auto"/>
              </w:rPr>
            </w:pPr>
          </w:p>
        </w:tc>
        <w:tc>
          <w:tcPr>
            <w:tcW w:w="9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$11,161</w:t>
            </w:r>
          </w:p>
        </w:tc>
        <w:tc>
          <w:tcPr>
            <w:tcW w:w="80" w:type="dxa"/>
            <w:vAlign w:val="bottom"/>
            <w:shd w:val="clear" w:color="auto" w:fill="D2DCE5"/>
          </w:tcPr>
          <w:p>
            <w:pPr>
              <w:spacing w:after="0"/>
              <w:rPr>
                <w:sz w:val="20"/>
                <w:szCs w:val="20"/>
                <w:color w:val="auto"/>
              </w:rPr>
            </w:pPr>
          </w:p>
        </w:tc>
        <w:tc>
          <w:tcPr>
            <w:tcW w:w="9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(46.4)%</w:t>
            </w:r>
          </w:p>
        </w:tc>
      </w:tr>
      <w:tr>
        <w:trPr>
          <w:trHeight w:val="20"/>
        </w:trPr>
        <w:tc>
          <w:tcPr>
            <w:tcW w:w="24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decrease in interest expense, net was primarily driven by interest income on cash invested in money market funds, partially offset by additional finance leases for new shop builds.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increase in other income (expense), net was primarily driven by the gain on sale of the Company hangar and related equipment to our Co-Founder, and remeasurement losses in the prior period related to the TRAs liability compared to none in the current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decrease in interest expense, net was primarily driven by interest income on cash invested in money market funds, partially offset by additional finance leases for new shop builds.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increase in other income (expense), net was primarily driven by higher remeasurement gains in the current period related to the TRAs liability and the gain on sale of the Company airplane and hangar.</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Income Tax Expense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131E29"/>
              </w:rPr>
              <w:t>Three Months Ended September 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131E29"/>
              </w:rPr>
              <w:t>Nine Months Ended September 30,</w:t>
            </w:r>
          </w:p>
        </w:tc>
        <w:tc>
          <w:tcPr>
            <w:tcW w:w="840" w:type="dxa"/>
            <w:vAlign w:val="bottom"/>
            <w:tcBorders>
              <w:bottom w:val="single" w:sz="8" w:color="auto"/>
            </w:tcBorders>
          </w:tcPr>
          <w:p>
            <w:pPr>
              <w:spacing w:after="0"/>
              <w:rPr>
                <w:sz w:val="17"/>
                <w:szCs w:val="17"/>
                <w:color w:val="auto"/>
              </w:rPr>
            </w:pPr>
          </w:p>
        </w:tc>
      </w:tr>
      <w:tr>
        <w:trPr>
          <w:trHeight w:val="203"/>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131E29"/>
              </w:rPr>
              <w:t>2024</w:t>
            </w: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940" w:type="dxa"/>
            <w:vAlign w:val="bottom"/>
            <w:tcBorders>
              <w:bottom w:val="single" w:sz="8" w:color="131E29"/>
            </w:tcBorders>
            <w:gridSpan w:val="2"/>
          </w:tcPr>
          <w:p>
            <w:pPr>
              <w:ind w:left="560"/>
              <w:spacing w:after="0"/>
              <w:rPr>
                <w:sz w:val="20"/>
                <w:szCs w:val="20"/>
                <w:color w:val="auto"/>
              </w:rPr>
            </w:pPr>
            <w:r>
              <w:rPr>
                <w:rFonts w:ascii="Arial" w:cs="Arial" w:eastAsia="Arial" w:hAnsi="Arial"/>
                <w:sz w:val="14"/>
                <w:szCs w:val="14"/>
                <w:b w:val="1"/>
                <w:bCs w:val="1"/>
                <w:color w:val="131E29"/>
              </w:rPr>
              <w:t>2024 v. 2023</w:t>
            </w:r>
          </w:p>
        </w:tc>
        <w:tc>
          <w:tcPr>
            <w:tcW w:w="80" w:type="dxa"/>
            <w:vAlign w:val="bottom"/>
            <w:tcBorders>
              <w:bottom w:val="single" w:sz="8" w:color="D2DCE5"/>
            </w:tcBorders>
          </w:tcPr>
          <w:p>
            <w:pPr>
              <w:spacing w:after="0"/>
              <w:rPr>
                <w:sz w:val="17"/>
                <w:szCs w:val="17"/>
                <w:color w:val="auto"/>
              </w:rPr>
            </w:pPr>
          </w:p>
        </w:tc>
        <w:tc>
          <w:tcPr>
            <w:tcW w:w="880" w:type="dxa"/>
            <w:vAlign w:val="bottom"/>
            <w:tcBorders>
              <w:bottom w:val="single" w:sz="8" w:color="131E29"/>
            </w:tcBorders>
          </w:tcPr>
          <w:p>
            <w:pPr>
              <w:jc w:val="center"/>
              <w:ind w:left="129"/>
              <w:spacing w:after="0"/>
              <w:rPr>
                <w:sz w:val="20"/>
                <w:szCs w:val="20"/>
                <w:color w:val="auto"/>
              </w:rPr>
            </w:pPr>
            <w:r>
              <w:rPr>
                <w:rFonts w:ascii="Arial" w:cs="Arial" w:eastAsia="Arial" w:hAnsi="Arial"/>
                <w:sz w:val="14"/>
                <w:szCs w:val="14"/>
                <w:b w:val="1"/>
                <w:bCs w:val="1"/>
                <w:color w:val="131E29"/>
              </w:rPr>
              <w:t>2024</w:t>
            </w:r>
          </w:p>
        </w:tc>
        <w:tc>
          <w:tcPr>
            <w:tcW w:w="20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1920" w:type="dxa"/>
            <w:vAlign w:val="bottom"/>
            <w:tcBorders>
              <w:bottom w:val="single" w:sz="8" w:color="131E29"/>
            </w:tcBorders>
            <w:gridSpan w:val="2"/>
          </w:tcPr>
          <w:p>
            <w:pPr>
              <w:ind w:left="560"/>
              <w:spacing w:after="0"/>
              <w:rPr>
                <w:sz w:val="20"/>
                <w:szCs w:val="20"/>
                <w:color w:val="auto"/>
              </w:rPr>
            </w:pPr>
            <w:r>
              <w:rPr>
                <w:rFonts w:ascii="Arial" w:cs="Arial" w:eastAsia="Arial" w:hAnsi="Arial"/>
                <w:sz w:val="14"/>
                <w:szCs w:val="14"/>
                <w:b w:val="1"/>
                <w:bCs w:val="1"/>
                <w:color w:val="131E29"/>
              </w:rPr>
              <w:t>2024 v. 2023</w:t>
            </w:r>
          </w:p>
        </w:tc>
      </w:tr>
      <w:tr>
        <w:trPr>
          <w:trHeight w:val="209"/>
        </w:trPr>
        <w:tc>
          <w:tcPr>
            <w:tcW w:w="26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w:t>
            </w:r>
          </w:p>
        </w:tc>
        <w:tc>
          <w:tcPr>
            <w:tcW w:w="84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rPr>
              <w:t>$4,698</w:t>
            </w:r>
          </w:p>
        </w:tc>
        <w:tc>
          <w:tcPr>
            <w:tcW w:w="1400" w:type="dxa"/>
            <w:vAlign w:val="bottom"/>
            <w:gridSpan w:val="3"/>
            <w:shd w:val="clear" w:color="auto" w:fill="D2DCE5"/>
          </w:tcPr>
          <w:p>
            <w:pPr>
              <w:jc w:val="center"/>
              <w:ind w:left="249"/>
              <w:spacing w:after="0"/>
              <w:rPr>
                <w:sz w:val="20"/>
                <w:szCs w:val="20"/>
                <w:color w:val="auto"/>
              </w:rPr>
            </w:pPr>
            <w:r>
              <w:rPr>
                <w:rFonts w:ascii="Arial" w:cs="Arial" w:eastAsia="Arial" w:hAnsi="Arial"/>
                <w:sz w:val="14"/>
                <w:szCs w:val="14"/>
                <w:color w:val="131E29"/>
              </w:rPr>
              <w:t>$1,828</w:t>
            </w:r>
          </w:p>
        </w:tc>
        <w:tc>
          <w:tcPr>
            <w:tcW w:w="80" w:type="dxa"/>
            <w:vAlign w:val="bottom"/>
            <w:shd w:val="clear" w:color="auto" w:fill="D2DCE5"/>
          </w:tcPr>
          <w:p>
            <w:pPr>
              <w:spacing w:after="0"/>
              <w:rPr>
                <w:sz w:val="18"/>
                <w:szCs w:val="18"/>
                <w:color w:val="auto"/>
              </w:rPr>
            </w:pPr>
          </w:p>
        </w:tc>
        <w:tc>
          <w:tcPr>
            <w:tcW w:w="1120" w:type="dxa"/>
            <w:vAlign w:val="bottom"/>
            <w:shd w:val="clear" w:color="auto" w:fill="D2DCE5"/>
          </w:tcPr>
          <w:p>
            <w:pPr>
              <w:jc w:val="right"/>
              <w:ind w:right="369"/>
              <w:spacing w:after="0"/>
              <w:rPr>
                <w:sz w:val="20"/>
                <w:szCs w:val="20"/>
                <w:color w:val="auto"/>
              </w:rPr>
            </w:pPr>
            <w:r>
              <w:rPr>
                <w:rFonts w:ascii="Arial" w:cs="Arial" w:eastAsia="Arial" w:hAnsi="Arial"/>
                <w:sz w:val="14"/>
                <w:szCs w:val="14"/>
                <w:color w:val="131E29"/>
              </w:rPr>
              <w:t>$2,870</w:t>
            </w:r>
          </w:p>
        </w:tc>
        <w:tc>
          <w:tcPr>
            <w:tcW w:w="82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rPr>
              <w:t>157.0%</w:t>
            </w:r>
          </w:p>
        </w:tc>
        <w:tc>
          <w:tcPr>
            <w:tcW w:w="80" w:type="dxa"/>
            <w:vAlign w:val="bottom"/>
            <w:shd w:val="clear" w:color="auto" w:fill="D2DCE5"/>
          </w:tcPr>
          <w:p>
            <w:pPr>
              <w:spacing w:after="0"/>
              <w:rPr>
                <w:sz w:val="18"/>
                <w:szCs w:val="18"/>
                <w:color w:val="auto"/>
              </w:rPr>
            </w:pPr>
          </w:p>
        </w:tc>
        <w:tc>
          <w:tcPr>
            <w:tcW w:w="880" w:type="dxa"/>
            <w:vAlign w:val="bottom"/>
            <w:shd w:val="clear" w:color="auto" w:fill="D2DCE5"/>
          </w:tcPr>
          <w:p>
            <w:pPr>
              <w:jc w:val="center"/>
              <w:ind w:left="129"/>
              <w:spacing w:after="0"/>
              <w:rPr>
                <w:sz w:val="20"/>
                <w:szCs w:val="20"/>
                <w:color w:val="auto"/>
              </w:rPr>
            </w:pPr>
            <w:r>
              <w:rPr>
                <w:rFonts w:ascii="Arial" w:cs="Arial" w:eastAsia="Arial" w:hAnsi="Arial"/>
                <w:sz w:val="14"/>
                <w:szCs w:val="14"/>
                <w:color w:val="131E29"/>
              </w:rPr>
              <w:t>$17,330</w:t>
            </w:r>
          </w:p>
        </w:tc>
        <w:tc>
          <w:tcPr>
            <w:tcW w:w="1360" w:type="dxa"/>
            <w:vAlign w:val="bottom"/>
            <w:gridSpan w:val="3"/>
            <w:shd w:val="clear" w:color="auto" w:fill="D2DCE5"/>
          </w:tcPr>
          <w:p>
            <w:pPr>
              <w:jc w:val="center"/>
              <w:ind w:left="229"/>
              <w:spacing w:after="0"/>
              <w:rPr>
                <w:sz w:val="20"/>
                <w:szCs w:val="20"/>
                <w:color w:val="auto"/>
              </w:rPr>
            </w:pPr>
            <w:r>
              <w:rPr>
                <w:rFonts w:ascii="Arial" w:cs="Arial" w:eastAsia="Arial" w:hAnsi="Arial"/>
                <w:sz w:val="14"/>
                <w:szCs w:val="14"/>
                <w:color w:val="131E29"/>
                <w:w w:val="97"/>
              </w:rPr>
              <w:t>$6,259</w:t>
            </w:r>
          </w:p>
        </w:tc>
        <w:tc>
          <w:tcPr>
            <w:tcW w:w="100" w:type="dxa"/>
            <w:vAlign w:val="bottom"/>
            <w:shd w:val="clear" w:color="auto" w:fill="D2DCE5"/>
          </w:tcPr>
          <w:p>
            <w:pPr>
              <w:spacing w:after="0"/>
              <w:rPr>
                <w:sz w:val="18"/>
                <w:szCs w:val="18"/>
                <w:color w:val="auto"/>
              </w:rPr>
            </w:pPr>
          </w:p>
        </w:tc>
        <w:tc>
          <w:tcPr>
            <w:tcW w:w="1080" w:type="dxa"/>
            <w:vAlign w:val="bottom"/>
            <w:shd w:val="clear" w:color="auto" w:fill="D2DCE5"/>
          </w:tcPr>
          <w:p>
            <w:pPr>
              <w:jc w:val="right"/>
              <w:ind w:right="309"/>
              <w:spacing w:after="0"/>
              <w:rPr>
                <w:sz w:val="20"/>
                <w:szCs w:val="20"/>
                <w:color w:val="auto"/>
              </w:rPr>
            </w:pPr>
            <w:r>
              <w:rPr>
                <w:rFonts w:ascii="Arial" w:cs="Arial" w:eastAsia="Arial" w:hAnsi="Arial"/>
                <w:sz w:val="14"/>
                <w:szCs w:val="14"/>
                <w:color w:val="131E29"/>
              </w:rPr>
              <w:t>$11,071</w:t>
            </w:r>
          </w:p>
        </w:tc>
        <w:tc>
          <w:tcPr>
            <w:tcW w:w="84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rPr>
              <w:t>176.9%</w:t>
            </w:r>
          </w:p>
        </w:tc>
      </w:tr>
      <w:tr>
        <w:trPr>
          <w:trHeight w:val="193"/>
        </w:trPr>
        <w:tc>
          <w:tcPr>
            <w:tcW w:w="2680" w:type="dxa"/>
            <w:vAlign w:val="bottom"/>
            <w:gridSpan w:val="2"/>
          </w:tcPr>
          <w:p>
            <w:pPr>
              <w:ind w:left="20"/>
              <w:spacing w:after="0"/>
              <w:rPr>
                <w:sz w:val="20"/>
                <w:szCs w:val="20"/>
                <w:color w:val="auto"/>
              </w:rPr>
            </w:pPr>
            <w:r>
              <w:rPr>
                <w:rFonts w:ascii="Arial" w:cs="Arial" w:eastAsia="Arial" w:hAnsi="Arial"/>
                <w:sz w:val="14"/>
                <w:szCs w:val="14"/>
                <w:color w:val="131E29"/>
              </w:rPr>
              <w:t>Effective tax rate</w:t>
            </w:r>
          </w:p>
        </w:tc>
        <w:tc>
          <w:tcPr>
            <w:tcW w:w="840" w:type="dxa"/>
            <w:vAlign w:val="bottom"/>
          </w:tcPr>
          <w:p>
            <w:pPr>
              <w:jc w:val="center"/>
              <w:ind w:left="169"/>
              <w:spacing w:after="0"/>
              <w:rPr>
                <w:sz w:val="20"/>
                <w:szCs w:val="20"/>
                <w:color w:val="auto"/>
              </w:rPr>
            </w:pPr>
            <w:r>
              <w:rPr>
                <w:rFonts w:ascii="Arial" w:cs="Arial" w:eastAsia="Arial" w:hAnsi="Arial"/>
                <w:sz w:val="14"/>
                <w:szCs w:val="14"/>
                <w:color w:val="131E29"/>
              </w:rPr>
              <w:t>17.8%</w:t>
            </w:r>
          </w:p>
        </w:tc>
        <w:tc>
          <w:tcPr>
            <w:tcW w:w="1400" w:type="dxa"/>
            <w:vAlign w:val="bottom"/>
            <w:gridSpan w:val="3"/>
          </w:tcPr>
          <w:p>
            <w:pPr>
              <w:jc w:val="center"/>
              <w:ind w:left="249"/>
              <w:spacing w:after="0"/>
              <w:rPr>
                <w:sz w:val="20"/>
                <w:szCs w:val="20"/>
                <w:color w:val="auto"/>
              </w:rPr>
            </w:pPr>
            <w:r>
              <w:rPr>
                <w:rFonts w:ascii="Arial" w:cs="Arial" w:eastAsia="Arial" w:hAnsi="Arial"/>
                <w:sz w:val="14"/>
                <w:szCs w:val="14"/>
                <w:color w:val="131E29"/>
              </w:rPr>
              <w:t>12.0%</w:t>
            </w:r>
          </w:p>
        </w:tc>
        <w:tc>
          <w:tcPr>
            <w:tcW w:w="80" w:type="dxa"/>
            <w:vAlign w:val="bottom"/>
          </w:tcPr>
          <w:p>
            <w:pPr>
              <w:spacing w:after="0"/>
              <w:rPr>
                <w:sz w:val="16"/>
                <w:szCs w:val="16"/>
                <w:color w:val="auto"/>
              </w:rPr>
            </w:pPr>
          </w:p>
        </w:tc>
        <w:tc>
          <w:tcPr>
            <w:tcW w:w="1120" w:type="dxa"/>
            <w:vAlign w:val="bottom"/>
          </w:tcPr>
          <w:p>
            <w:pPr>
              <w:jc w:val="center"/>
              <w:ind w:right="129"/>
              <w:spacing w:after="0"/>
              <w:rPr>
                <w:sz w:val="20"/>
                <w:szCs w:val="20"/>
                <w:color w:val="auto"/>
              </w:rPr>
            </w:pPr>
            <w:r>
              <w:rPr>
                <w:rFonts w:ascii="Arial" w:cs="Arial" w:eastAsia="Arial" w:hAnsi="Arial"/>
                <w:sz w:val="14"/>
                <w:szCs w:val="14"/>
                <w:color w:val="131E29"/>
              </w:rPr>
              <w:t>N/A</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131E29"/>
              </w:rPr>
              <w:t>N/M</w:t>
            </w:r>
          </w:p>
        </w:tc>
        <w:tc>
          <w:tcPr>
            <w:tcW w:w="880" w:type="dxa"/>
            <w:vAlign w:val="bottom"/>
          </w:tcPr>
          <w:p>
            <w:pPr>
              <w:jc w:val="center"/>
              <w:ind w:left="129"/>
              <w:spacing w:after="0"/>
              <w:rPr>
                <w:sz w:val="20"/>
                <w:szCs w:val="20"/>
                <w:color w:val="auto"/>
              </w:rPr>
            </w:pPr>
            <w:r>
              <w:rPr>
                <w:rFonts w:ascii="Arial" w:cs="Arial" w:eastAsia="Arial" w:hAnsi="Arial"/>
                <w:sz w:val="14"/>
                <w:szCs w:val="14"/>
                <w:color w:val="131E29"/>
              </w:rPr>
              <w:t>22.4%</w:t>
            </w:r>
          </w:p>
        </w:tc>
        <w:tc>
          <w:tcPr>
            <w:tcW w:w="1360" w:type="dxa"/>
            <w:vAlign w:val="bottom"/>
            <w:gridSpan w:val="3"/>
          </w:tcPr>
          <w:p>
            <w:pPr>
              <w:jc w:val="center"/>
              <w:ind w:left="209"/>
              <w:spacing w:after="0"/>
              <w:rPr>
                <w:sz w:val="20"/>
                <w:szCs w:val="20"/>
                <w:color w:val="auto"/>
              </w:rPr>
            </w:pPr>
            <w:r>
              <w:rPr>
                <w:rFonts w:ascii="Arial" w:cs="Arial" w:eastAsia="Arial" w:hAnsi="Arial"/>
                <w:sz w:val="14"/>
                <w:szCs w:val="14"/>
                <w:color w:val="131E29"/>
              </w:rPr>
              <w:t>31.3%</w:t>
            </w:r>
          </w:p>
        </w:tc>
        <w:tc>
          <w:tcPr>
            <w:tcW w:w="100" w:type="dxa"/>
            <w:vAlign w:val="bottom"/>
          </w:tcPr>
          <w:p>
            <w:pPr>
              <w:spacing w:after="0"/>
              <w:rPr>
                <w:sz w:val="16"/>
                <w:szCs w:val="16"/>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color w:val="131E29"/>
              </w:rPr>
              <w:t>N/A</w:t>
            </w:r>
          </w:p>
        </w:tc>
        <w:tc>
          <w:tcPr>
            <w:tcW w:w="840" w:type="dxa"/>
            <w:vAlign w:val="bottom"/>
          </w:tcPr>
          <w:p>
            <w:pPr>
              <w:jc w:val="center"/>
              <w:spacing w:after="0"/>
              <w:rPr>
                <w:sz w:val="20"/>
                <w:szCs w:val="20"/>
                <w:color w:val="auto"/>
              </w:rPr>
            </w:pPr>
            <w:r>
              <w:rPr>
                <w:rFonts w:ascii="Arial" w:cs="Arial" w:eastAsia="Arial" w:hAnsi="Arial"/>
                <w:sz w:val="14"/>
                <w:szCs w:val="14"/>
                <w:color w:val="131E29"/>
              </w:rPr>
              <w:t>N/M</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Three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tax expense was primarily driven by increased current year pre-tax income.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Nine Months Ended September 30, 2024 v. 2023</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tax expense was primarily driven by increased current year pre-tax income, changes in state earnings mix, and its impact on deferred taxes.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Overview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We had cash and cash equivalents of $281.1 million and $133.5 million as of September 30, 2024 and December 31, 2023, respectively.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For the nine months ended September 30, 2024, our principal sources of liquidity were cash flows from operations and our delayed draw term loan facility. Our principal uses of liquidity for the nine months ended September 30, 2024 were to fund our new shop builds, our new Texas roasting facility, and other working capital needs.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Flows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our cash flows for the periods presented:</w:t>
      </w:r>
    </w:p>
    <w:p>
      <w:pPr>
        <w:spacing w:after="0" w:line="17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131E29"/>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28575</wp:posOffset>
            </wp:positionV>
            <wp:extent cx="26612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1360" w:type="dxa"/>
            <w:vAlign w:val="bottom"/>
            <w:tcBorders>
              <w:bottom w:val="single" w:sz="8" w:color="131E29"/>
            </w:tcBorders>
          </w:tcPr>
          <w:p>
            <w:pPr>
              <w:jc w:val="right"/>
              <w:ind w:right="329"/>
              <w:spacing w:after="0"/>
              <w:rPr>
                <w:sz w:val="20"/>
                <w:szCs w:val="20"/>
                <w:color w:val="auto"/>
              </w:rPr>
            </w:pPr>
            <w:r>
              <w:rPr>
                <w:rFonts w:ascii="Arial" w:cs="Arial" w:eastAsia="Arial" w:hAnsi="Arial"/>
                <w:sz w:val="14"/>
                <w:szCs w:val="14"/>
                <w:b w:val="1"/>
                <w:bCs w:val="1"/>
                <w:color w:val="131E29"/>
              </w:rPr>
              <w:t>2024 v. 2023</w:t>
            </w:r>
          </w:p>
        </w:tc>
      </w:tr>
      <w:tr>
        <w:trPr>
          <w:trHeight w:val="209"/>
        </w:trPr>
        <w:tc>
          <w:tcPr>
            <w:tcW w:w="7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operating activities</w:t>
            </w: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center"/>
              <w:ind w:left="249"/>
              <w:spacing w:after="0"/>
              <w:rPr>
                <w:sz w:val="20"/>
                <w:szCs w:val="20"/>
                <w:color w:val="auto"/>
              </w:rPr>
            </w:pPr>
            <w:r>
              <w:rPr>
                <w:rFonts w:ascii="Arial" w:cs="Arial" w:eastAsia="Arial" w:hAnsi="Arial"/>
                <w:sz w:val="14"/>
                <w:szCs w:val="14"/>
                <w:color w:val="131E29"/>
                <w:w w:val="98"/>
              </w:rPr>
              <w:t>184,195</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94,906</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13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89,289</w:t>
            </w:r>
          </w:p>
        </w:tc>
      </w:tr>
      <w:tr>
        <w:trPr>
          <w:trHeight w:val="202"/>
        </w:trPr>
        <w:tc>
          <w:tcPr>
            <w:tcW w:w="7100" w:type="dxa"/>
            <w:vAlign w:val="bottom"/>
            <w:gridSpan w:val="2"/>
          </w:tcPr>
          <w:p>
            <w:pPr>
              <w:ind w:left="20"/>
              <w:spacing w:after="0"/>
              <w:rPr>
                <w:sz w:val="20"/>
                <w:szCs w:val="20"/>
                <w:color w:val="auto"/>
              </w:rPr>
            </w:pPr>
            <w:r>
              <w:rPr>
                <w:rFonts w:ascii="Arial" w:cs="Arial" w:eastAsia="Arial" w:hAnsi="Arial"/>
                <w:sz w:val="14"/>
                <w:szCs w:val="14"/>
                <w:color w:val="131E29"/>
              </w:rPr>
              <w:t>Net cash used in investing activities</w:t>
            </w:r>
          </w:p>
        </w:tc>
        <w:tc>
          <w:tcPr>
            <w:tcW w:w="260" w:type="dxa"/>
            <w:vAlign w:val="bottom"/>
          </w:tcPr>
          <w:p>
            <w:pPr>
              <w:spacing w:after="0"/>
              <w:rPr>
                <w:sz w:val="17"/>
                <w:szCs w:val="17"/>
                <w:color w:val="auto"/>
              </w:rPr>
            </w:pPr>
          </w:p>
        </w:tc>
        <w:tc>
          <w:tcPr>
            <w:tcW w:w="940" w:type="dxa"/>
            <w:vAlign w:val="bottom"/>
          </w:tcPr>
          <w:p>
            <w:pPr>
              <w:jc w:val="center"/>
              <w:ind w:left="229"/>
              <w:spacing w:after="0"/>
              <w:rPr>
                <w:sz w:val="20"/>
                <w:szCs w:val="20"/>
                <w:color w:val="auto"/>
              </w:rPr>
            </w:pPr>
            <w:r>
              <w:rPr>
                <w:rFonts w:ascii="Arial" w:cs="Arial" w:eastAsia="Arial" w:hAnsi="Arial"/>
                <w:sz w:val="14"/>
                <w:szCs w:val="14"/>
                <w:color w:val="131E29"/>
              </w:rPr>
              <w:t>(169,363)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(167,461)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131E29"/>
              </w:rPr>
              <w:t>(1,902)</w:t>
            </w:r>
          </w:p>
        </w:tc>
      </w:tr>
      <w:tr>
        <w:trPr>
          <w:trHeight w:val="222"/>
        </w:trPr>
        <w:tc>
          <w:tcPr>
            <w:tcW w:w="7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financing activities</w:t>
            </w: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center"/>
              <w:ind w:left="249"/>
              <w:spacing w:after="0"/>
              <w:rPr>
                <w:sz w:val="20"/>
                <w:szCs w:val="20"/>
                <w:color w:val="auto"/>
              </w:rPr>
            </w:pPr>
            <w:r>
              <w:rPr>
                <w:rFonts w:ascii="Arial" w:cs="Arial" w:eastAsia="Arial" w:hAnsi="Arial"/>
                <w:sz w:val="14"/>
                <w:szCs w:val="14"/>
                <w:color w:val="131E29"/>
                <w:w w:val="98"/>
              </w:rPr>
              <w:t>132,757</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202,163</w:t>
            </w:r>
          </w:p>
        </w:tc>
        <w:tc>
          <w:tcPr>
            <w:tcW w:w="80" w:type="dxa"/>
            <w:vAlign w:val="bottom"/>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spacing w:after="0"/>
              <w:rPr>
                <w:sz w:val="19"/>
                <w:szCs w:val="19"/>
                <w:color w:val="auto"/>
              </w:rPr>
            </w:pP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(69,406)</w:t>
            </w:r>
          </w:p>
        </w:tc>
      </w:tr>
      <w:tr>
        <w:trPr>
          <w:trHeight w:val="193"/>
        </w:trPr>
        <w:tc>
          <w:tcPr>
            <w:tcW w:w="7100" w:type="dxa"/>
            <w:vAlign w:val="bottom"/>
            <w:gridSpan w:val="2"/>
          </w:tcPr>
          <w:p>
            <w:pPr>
              <w:ind w:left="20"/>
              <w:spacing w:after="0"/>
              <w:rPr>
                <w:sz w:val="20"/>
                <w:szCs w:val="20"/>
                <w:color w:val="auto"/>
              </w:rPr>
            </w:pPr>
            <w:r>
              <w:rPr>
                <w:rFonts w:ascii="Arial" w:cs="Arial" w:eastAsia="Arial" w:hAnsi="Arial"/>
                <w:sz w:val="14"/>
                <w:szCs w:val="14"/>
                <w:color w:val="131E29"/>
              </w:rPr>
              <w:t>Net increase in cash and cash equivalents</w:t>
            </w:r>
          </w:p>
        </w:tc>
        <w:tc>
          <w:tcPr>
            <w:tcW w:w="260" w:type="dxa"/>
            <w:vAlign w:val="bottom"/>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Pr>
          <w:p>
            <w:pPr>
              <w:jc w:val="center"/>
              <w:ind w:left="249"/>
              <w:spacing w:after="0"/>
              <w:rPr>
                <w:sz w:val="20"/>
                <w:szCs w:val="20"/>
                <w:color w:val="auto"/>
              </w:rPr>
            </w:pPr>
            <w:r>
              <w:rPr>
                <w:rFonts w:ascii="Arial" w:cs="Arial" w:eastAsia="Arial" w:hAnsi="Arial"/>
                <w:sz w:val="14"/>
                <w:szCs w:val="14"/>
                <w:color w:val="131E29"/>
                <w:w w:val="98"/>
              </w:rPr>
              <w:t>147,589</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129,608</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131E29"/>
              </w:rPr>
              <w:t>$</w:t>
            </w:r>
          </w:p>
        </w:tc>
        <w:tc>
          <w:tcPr>
            <w:tcW w:w="1360" w:type="dxa"/>
            <w:vAlign w:val="bottom"/>
          </w:tcPr>
          <w:p>
            <w:pPr>
              <w:jc w:val="right"/>
              <w:spacing w:after="0"/>
              <w:rPr>
                <w:sz w:val="20"/>
                <w:szCs w:val="20"/>
                <w:color w:val="auto"/>
              </w:rPr>
            </w:pPr>
            <w:r>
              <w:rPr>
                <w:rFonts w:ascii="Arial" w:cs="Arial" w:eastAsia="Arial" w:hAnsi="Arial"/>
                <w:sz w:val="14"/>
                <w:szCs w:val="14"/>
                <w:color w:val="131E29"/>
              </w:rPr>
              <w:t>17,981</w:t>
            </w:r>
          </w:p>
        </w:tc>
      </w:tr>
      <w:tr>
        <w:trPr>
          <w:trHeight w:val="213"/>
        </w:trPr>
        <w:tc>
          <w:tcPr>
            <w:tcW w:w="7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Cash and cash equivalents at beginning of period</w:t>
            </w: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center"/>
              <w:ind w:left="249"/>
              <w:spacing w:after="0"/>
              <w:rPr>
                <w:sz w:val="20"/>
                <w:szCs w:val="20"/>
                <w:color w:val="auto"/>
              </w:rPr>
            </w:pPr>
            <w:r>
              <w:rPr>
                <w:rFonts w:ascii="Arial" w:cs="Arial" w:eastAsia="Arial" w:hAnsi="Arial"/>
                <w:sz w:val="14"/>
                <w:szCs w:val="14"/>
                <w:color w:val="131E29"/>
                <w:w w:val="98"/>
              </w:rPr>
              <w:t>133,545</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20,178</w:t>
            </w:r>
          </w:p>
        </w:tc>
        <w:tc>
          <w:tcPr>
            <w:tcW w:w="80" w:type="dxa"/>
            <w:vAlign w:val="bottom"/>
            <w:shd w:val="clear" w:color="auto" w:fill="D2DCE5"/>
          </w:tcPr>
          <w:p>
            <w:pPr>
              <w:spacing w:after="0"/>
              <w:rPr>
                <w:sz w:val="18"/>
                <w:szCs w:val="18"/>
                <w:color w:val="auto"/>
              </w:rPr>
            </w:pPr>
          </w:p>
        </w:tc>
        <w:tc>
          <w:tcPr>
            <w:tcW w:w="240" w:type="dxa"/>
            <w:vAlign w:val="bottom"/>
            <w:tcBorders>
              <w:bottom w:val="single" w:sz="8" w:color="auto"/>
            </w:tcBorders>
            <w:shd w:val="clear" w:color="auto" w:fill="D2DCE5"/>
          </w:tcPr>
          <w:p>
            <w:pPr>
              <w:spacing w:after="0"/>
              <w:rPr>
                <w:sz w:val="18"/>
                <w:szCs w:val="18"/>
                <w:color w:val="auto"/>
              </w:rPr>
            </w:pPr>
          </w:p>
        </w:tc>
        <w:tc>
          <w:tcPr>
            <w:tcW w:w="13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113,367</w:t>
            </w:r>
          </w:p>
        </w:tc>
      </w:tr>
      <w:tr>
        <w:trPr>
          <w:trHeight w:val="212"/>
        </w:trPr>
        <w:tc>
          <w:tcPr>
            <w:tcW w:w="7100" w:type="dxa"/>
            <w:vAlign w:val="bottom"/>
            <w:gridSpan w:val="2"/>
          </w:tcPr>
          <w:p>
            <w:pPr>
              <w:ind w:left="20"/>
              <w:spacing w:after="0"/>
              <w:rPr>
                <w:sz w:val="20"/>
                <w:szCs w:val="20"/>
                <w:color w:val="auto"/>
              </w:rPr>
            </w:pPr>
            <w:r>
              <w:rPr>
                <w:rFonts w:ascii="Arial" w:cs="Arial" w:eastAsia="Arial" w:hAnsi="Arial"/>
                <w:sz w:val="14"/>
                <w:szCs w:val="14"/>
                <w:color w:val="131E29"/>
              </w:rPr>
              <w:t>Cash and cash equivalents at end of period</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131E29"/>
                <w:w w:val="98"/>
              </w:rPr>
              <w:t>281,134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149,786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131E2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131,348</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Operating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operating activities cash flows was primarily driven by:</w:t>
      </w:r>
    </w:p>
    <w:p>
      <w:pPr>
        <w:spacing w:after="0" w:line="158" w:lineRule="exact"/>
        <w:rPr>
          <w:sz w:val="20"/>
          <w:szCs w:val="20"/>
          <w:color w:val="auto"/>
        </w:rPr>
      </w:pPr>
    </w:p>
    <w:p>
      <w:pPr>
        <w:ind w:left="300" w:hanging="295"/>
        <w:spacing w:after="0"/>
        <w:tabs>
          <w:tab w:leader="none" w:pos="300" w:val="left"/>
        </w:tabs>
        <w:numPr>
          <w:ilvl w:val="0"/>
          <w:numId w:val="28"/>
        </w:numPr>
        <w:rPr>
          <w:rFonts w:ascii="Arial" w:cs="Arial" w:eastAsia="Arial" w:hAnsi="Arial"/>
          <w:sz w:val="17"/>
          <w:szCs w:val="17"/>
          <w:b w:val="1"/>
          <w:bCs w:val="1"/>
          <w:color w:val="006098"/>
        </w:rPr>
      </w:pPr>
      <w:r>
        <w:rPr>
          <w:rFonts w:ascii="Arial" w:cs="Arial" w:eastAsia="Arial" w:hAnsi="Arial"/>
          <w:sz w:val="14"/>
          <w:szCs w:val="14"/>
          <w:color w:val="131E29"/>
        </w:rPr>
        <w:t>Higher net income as a result of year-over-year shop growth and leverage of selling, general and administrative costs.</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28"/>
        </w:numPr>
        <w:rPr>
          <w:rFonts w:ascii="Arial" w:cs="Arial" w:eastAsia="Arial" w:hAnsi="Arial"/>
          <w:sz w:val="17"/>
          <w:szCs w:val="17"/>
          <w:b w:val="1"/>
          <w:bCs w:val="1"/>
          <w:color w:val="006098"/>
        </w:rPr>
      </w:pPr>
      <w:r>
        <w:rPr>
          <w:rFonts w:ascii="Arial" w:cs="Arial" w:eastAsia="Arial" w:hAnsi="Arial"/>
          <w:sz w:val="14"/>
          <w:szCs w:val="14"/>
          <w:color w:val="131E29"/>
        </w:rPr>
        <w:t>Working capital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Investing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investing activities cash outflows was primarily driven by:</w:t>
      </w:r>
    </w:p>
    <w:p>
      <w:pPr>
        <w:spacing w:after="0" w:line="158" w:lineRule="exact"/>
        <w:rPr>
          <w:sz w:val="20"/>
          <w:szCs w:val="20"/>
          <w:color w:val="auto"/>
        </w:rPr>
      </w:pPr>
    </w:p>
    <w:p>
      <w:pPr>
        <w:ind w:left="300" w:hanging="295"/>
        <w:spacing w:after="0"/>
        <w:tabs>
          <w:tab w:leader="none" w:pos="300" w:val="left"/>
        </w:tabs>
        <w:numPr>
          <w:ilvl w:val="0"/>
          <w:numId w:val="29"/>
        </w:numPr>
        <w:rPr>
          <w:rFonts w:ascii="Arial" w:cs="Arial" w:eastAsia="Arial" w:hAnsi="Arial"/>
          <w:sz w:val="17"/>
          <w:szCs w:val="17"/>
          <w:b w:val="1"/>
          <w:bCs w:val="1"/>
          <w:color w:val="006098"/>
        </w:rPr>
      </w:pPr>
      <w:r>
        <w:rPr>
          <w:rFonts w:ascii="Arial" w:cs="Arial" w:eastAsia="Arial" w:hAnsi="Arial"/>
          <w:sz w:val="14"/>
          <w:szCs w:val="14"/>
          <w:color w:val="auto"/>
        </w:rPr>
        <w:t>Investment in capital expenditures related to new company-operated shop openings.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Financing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The decrease in financing activities cash flows was primarily driven by:</w:t>
      </w:r>
    </w:p>
    <w:p>
      <w:pPr>
        <w:spacing w:after="0" w:line="158"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7"/>
          <w:szCs w:val="17"/>
          <w:b w:val="1"/>
          <w:bCs w:val="1"/>
          <w:color w:val="D7282F"/>
        </w:rPr>
      </w:pPr>
      <w:r>
        <w:rPr>
          <w:rFonts w:ascii="Arial" w:cs="Arial" w:eastAsia="Arial" w:hAnsi="Arial"/>
          <w:sz w:val="14"/>
          <w:szCs w:val="14"/>
          <w:color w:val="131E29"/>
        </w:rPr>
        <w:t>Proceeds from our 2023 follow-on offering.</w:t>
      </w:r>
    </w:p>
    <w:p>
      <w:pPr>
        <w:spacing w:after="0" w:line="49" w:lineRule="exact"/>
        <w:rPr>
          <w:sz w:val="20"/>
          <w:szCs w:val="20"/>
          <w:color w:val="auto"/>
        </w:rPr>
      </w:pPr>
    </w:p>
    <w:p>
      <w:pPr>
        <w:ind w:left="300" w:hanging="295"/>
        <w:spacing w:after="0"/>
        <w:tabs>
          <w:tab w:leader="none" w:pos="300" w:val="left"/>
        </w:tabs>
        <w:numPr>
          <w:ilvl w:val="0"/>
          <w:numId w:val="31"/>
        </w:numPr>
        <w:rPr>
          <w:rFonts w:ascii="Arial" w:cs="Arial" w:eastAsia="Arial" w:hAnsi="Arial"/>
          <w:sz w:val="17"/>
          <w:szCs w:val="17"/>
          <w:b w:val="1"/>
          <w:bCs w:val="1"/>
          <w:color w:val="006098"/>
        </w:rPr>
      </w:pPr>
      <w:r>
        <w:rPr>
          <w:rFonts w:ascii="Arial" w:cs="Arial" w:eastAsia="Arial" w:hAnsi="Arial"/>
          <w:sz w:val="14"/>
          <w:szCs w:val="14"/>
          <w:color w:val="131E29"/>
        </w:rPr>
        <w:t>Payoff of our net revolving credit facility in 2023.</w:t>
      </w:r>
    </w:p>
    <w:p>
      <w:pPr>
        <w:spacing w:after="0" w:line="48" w:lineRule="exact"/>
        <w:rPr>
          <w:rFonts w:ascii="Arial" w:cs="Arial" w:eastAsia="Arial" w:hAnsi="Arial"/>
          <w:sz w:val="17"/>
          <w:szCs w:val="17"/>
          <w:b w:val="1"/>
          <w:bCs w:val="1"/>
          <w:color w:val="006098"/>
        </w:rPr>
      </w:pPr>
    </w:p>
    <w:p>
      <w:pPr>
        <w:ind w:left="300" w:hanging="295"/>
        <w:spacing w:after="0"/>
        <w:tabs>
          <w:tab w:leader="none" w:pos="300" w:val="left"/>
        </w:tabs>
        <w:numPr>
          <w:ilvl w:val="0"/>
          <w:numId w:val="31"/>
        </w:numPr>
        <w:rPr>
          <w:rFonts w:ascii="Arial" w:cs="Arial" w:eastAsia="Arial" w:hAnsi="Arial"/>
          <w:sz w:val="17"/>
          <w:szCs w:val="17"/>
          <w:b w:val="1"/>
          <w:bCs w:val="1"/>
          <w:color w:val="006098"/>
        </w:rPr>
      </w:pPr>
      <w:r>
        <w:rPr>
          <w:rFonts w:ascii="Arial" w:cs="Arial" w:eastAsia="Arial" w:hAnsi="Arial"/>
          <w:sz w:val="14"/>
          <w:szCs w:val="14"/>
          <w:color w:val="131E29"/>
        </w:rPr>
        <w:t>Delayed draw term loan advance in 2024.</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Requirements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believe that cash provided by operating activities and proceeds from our 2022 Credit Facility are adequate to fund our debt service requirements, lease obligations, cash distributions required by the OpCo LLC Agreement and the TRAs, and working capital obligations for at least the next 12 months.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future capital requirements may vary materially from period to period and will depend on many factors, primarily our expansion and growth by opening additional company-operated shops and/or reacquiring existing franchised shops, and our large-scale organization realignment including relocation of key business operations to Arizona. We currently expect to fund our current and long-term material capital requirements with operating cash flows and, as needed, additional proceeds from our 2022 Credit Facility, but we may also seek additional debt or equity financing.</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As of September 30, 2024, cash requirements for the following items have materially changed from our 2023 Form 10-K:</w:t>
      </w:r>
    </w:p>
    <w:p>
      <w:pPr>
        <w:spacing w:after="0" w:line="136" w:lineRule="exact"/>
        <w:rPr>
          <w:sz w:val="20"/>
          <w:szCs w:val="20"/>
          <w:color w:val="auto"/>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006098"/>
        </w:rPr>
        <w:t xml:space="preserve">Operating lease liabilities </w:t>
      </w:r>
      <w:r>
        <w:rPr>
          <w:rFonts w:ascii="Arial" w:cs="Arial" w:eastAsia="Arial" w:hAnsi="Arial"/>
          <w:sz w:val="14"/>
          <w:szCs w:val="14"/>
          <w:color w:val="131E29"/>
        </w:rPr>
        <w:t>— increased approximately $197 million from newly commenced leases.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2"/>
        </w:numPr>
        <w:rPr>
          <w:rFonts w:ascii="Arial" w:cs="Arial" w:eastAsia="Arial" w:hAnsi="Arial"/>
          <w:sz w:val="14"/>
          <w:szCs w:val="14"/>
          <w:color w:val="131E29"/>
        </w:rPr>
      </w:pPr>
      <w:r>
        <w:rPr>
          <w:rFonts w:ascii="Arial" w:cs="Arial" w:eastAsia="Arial" w:hAnsi="Arial"/>
          <w:sz w:val="14"/>
          <w:szCs w:val="14"/>
          <w:color w:val="006098"/>
        </w:rPr>
        <w:t xml:space="preserve">Debt obligations </w:t>
      </w:r>
      <w:r>
        <w:rPr>
          <w:rFonts w:ascii="Arial" w:cs="Arial" w:eastAsia="Arial" w:hAnsi="Arial"/>
          <w:sz w:val="14"/>
          <w:szCs w:val="14"/>
          <w:color w:val="131E29"/>
        </w:rPr>
        <w:t>— increased approximately $142 million on a net basis primarily due to the proceeds from the delayed draw term loan under our 2022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JPMorgan Credit Facility</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On February 20, 2024, the Company drew $150 million on its delayed draw term loan facility before this portion expired on February 28, 2024. The remaining $50 million of the delayed draw term loan is available until February 2025.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Obligations under the 2022 Credit Facility are guaranteed by each of Dutch Bros Inc.’s subsidiaries, and secured by a first priority perfected security interest in substantially all of the assets of the guarantors.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Interest Rate Swap Contract</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 has an interest rate swap with JPMorgan Chase Bank, N.A. As of September 30, 2024, the interest rate swap had a notional amount of approximately $64.8 million and hedges interest rate risk on the term loan under the 2022 Credit Facility. The purpose of the floating-to-fixed interest rate swap is to fix the interest base rate charged on the term loan at 2.67% for the notional amount. The interest rate swap matures on February 28, 2027.</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131E29"/>
        </w:rPr>
        <w:t>See NOTE 9 — Debt and NOTE 10 — Derivative Financial Instruments for additional details related to our 2022 Credit Facility and interest rate swap contract.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Seasonality</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Our business is subject to seasonal fluctuations that impact our revenue and company-operated shop gross profit margins. We typically experience higher nominal system sales in the summer months, which impacts revenue and company-operated shop gross profit margins in the second and third quarters of our fiscal year.</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Critical Accounting Estimates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assumptions, or selection of a different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There have been no material changes to our critical accounting estimates from those disclosed in our 2023 Form 10-K.</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Non-GAAP Financial Measures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contribution (in dollars and as a percentage of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Company-operated segment gross profit, before company-operated shop depreciation and amortization. Company-operated shop contribution in dollars (as defined), taken as a percentage of company-operated shop revenue.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This non-GAAP measure is used by our management in making performance decisions without the impact of non-cash depreciation and amortization charges. This is a standard metric used across our industry by investors.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EBITDA, Adjusted EBITDA (in dollars and as a percentage of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EBITDA — definition and/or calculation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Net income before interest expense (net of interest income), income tax expense, and depreciation and amortization expense.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Adjusted EBITDA — definition and/or calculation</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Defined as EBITDA (as defined above), excluding equity-based compensation, expenses associated with equity offerings, executive transitions, (gain) loss on the remeasurement of the liability related to the TRAs, legal proceedings, sale of Aircraft, and organization realignment and restructuring costs.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131E29"/>
        </w:rPr>
        <w:t>Adjusted EBITDA in dollars (as defined), taken as a percentage of total revenue.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Adjusted selling, general, and administrative (in dollars and as a percentage of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Selling, general, and administrative expenses, excluding depreciation and amortization, equity-based compensation expense, expenses associated with equity offerings, executive transitions, legal proceedings, and organization realignment and restructuring costs.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131E29"/>
        </w:rPr>
        <w:t>Adjusted selling, general, and administrative in dollars (as defined), taken as a percentage of total revenue.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1" w:name="page52"/>
    <w:bookmarkEnd w:id="5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Non-GAAP adjustments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131E29"/>
        </w:rPr>
        <w:t>Below are the definitions of the non-GAAP adjustments that are used in the calculation of our non-GAAP measures, as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Non-cash expenses related to the grant and vesting of stock awards, including RSAs and RSUs, in Dutch Bros Inc. to certain eligible employees.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Expenses associated with equity offerings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Costs incurred as a result of our equity offerings, including secondary offerings by our Sponsor. These costs include, but are not limited to, legal fees, consulting fees, tax fees, and accounting fees.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Executive transitions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Employee severance and related benefit costs, as well as sign-on bonus(es) for several executive-level transitions occurring in 2022 and 2023, and amortized through the first quarter of 2024.</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TRAs remeasurements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(Gain) loss impacts related to adjustments of our TRAs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Legal proceedings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Loss accrual related to certain legal disputes.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Sale of Aircraft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Gain impact related to the sale of our airplane, hangar and related equipment to our Co-Founder.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Organization realignment and restructuring</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Fees and costs, including consulting, employee-related and other costs, in connection with our comprehensive initiative to develop and implement a long-term strategy involving changes to our organizational structure to support our growth. This initiative resulted in realignment activities that occurred in 2023, and restructuring activities that commenced in 2024, and are expected to continue for at least the next year. Given this strategic initiative's magnitude and scope, we do not expect such costs will recur in the foreseeable future, and do not consider such costs reflective of the ongoing costs necessary to operate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Following are the reconciliations of the most comparable GAAP metric to non-GAAP metrics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131E29"/>
              </w:rPr>
              <w:t>Three Months Ended 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131E29"/>
              </w:rPr>
              <w:t>Nine Months Ended September 30,</w:t>
            </w:r>
          </w:p>
        </w:tc>
        <w:tc>
          <w:tcPr>
            <w:tcW w:w="520" w:type="dxa"/>
            <w:vAlign w:val="bottom"/>
            <w:tcBorders>
              <w:bottom w:val="single" w:sz="8" w:color="auto"/>
            </w:tcBorders>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2024</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131E29"/>
              </w:rPr>
              <w:t>2023</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2024</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r>
      <w:tr>
        <w:trPr>
          <w:trHeight w:val="209"/>
        </w:trPr>
        <w:tc>
          <w:tcPr>
            <w:tcW w:w="40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gross profit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68,377</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22.2</w:t>
            </w:r>
          </w:p>
        </w:tc>
        <w:tc>
          <w:tcPr>
            <w:tcW w:w="80" w:type="dxa"/>
            <w:vAlign w:val="bottom"/>
            <w:shd w:val="clear" w:color="auto" w:fill="D2DCE5"/>
          </w:tcPr>
          <w:p>
            <w:pPr>
              <w:spacing w:after="0"/>
              <w:rPr>
                <w:sz w:val="18"/>
                <w:szCs w:val="18"/>
                <w:color w:val="auto"/>
              </w:rPr>
            </w:pPr>
          </w:p>
        </w:tc>
        <w:tc>
          <w:tcPr>
            <w:tcW w:w="920" w:type="dxa"/>
            <w:vAlign w:val="bottom"/>
            <w:shd w:val="clear" w:color="auto" w:fill="D2DCE5"/>
          </w:tcPr>
          <w:p>
            <w:pPr>
              <w:ind w:left="440"/>
              <w:spacing w:after="0"/>
              <w:rPr>
                <w:sz w:val="20"/>
                <w:szCs w:val="20"/>
                <w:color w:val="auto"/>
              </w:rPr>
            </w:pPr>
            <w:r>
              <w:rPr>
                <w:rFonts w:ascii="Arial" w:cs="Arial" w:eastAsia="Arial" w:hAnsi="Arial"/>
                <w:sz w:val="14"/>
                <w:szCs w:val="14"/>
                <w:color w:val="131E29"/>
              </w:rPr>
              <w:t>56,992</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24.1</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192,698</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22.6</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137,943</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21.9</w:t>
            </w:r>
          </w:p>
        </w:tc>
      </w:tr>
      <w:tr>
        <w:trPr>
          <w:trHeight w:val="203"/>
        </w:trPr>
        <w:tc>
          <w:tcPr>
            <w:tcW w:w="402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22,470</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w:t>
            </w:r>
          </w:p>
        </w:tc>
        <w:tc>
          <w:tcPr>
            <w:tcW w:w="80" w:type="dxa"/>
            <w:vAlign w:val="bottom"/>
            <w:tcBorders>
              <w:bottom w:val="single" w:sz="8" w:color="D2DCE5"/>
            </w:tcBorders>
          </w:tcPr>
          <w:p>
            <w:pPr>
              <w:spacing w:after="0"/>
              <w:rPr>
                <w:sz w:val="17"/>
                <w:szCs w:val="17"/>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131E29"/>
              </w:rPr>
              <w:t>16,332</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6.9</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63,202</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7.4</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44,132</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7.0</w:t>
            </w:r>
          </w:p>
        </w:tc>
      </w:tr>
      <w:tr>
        <w:trPr>
          <w:trHeight w:val="237"/>
        </w:trPr>
        <w:tc>
          <w:tcPr>
            <w:tcW w:w="40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contribution</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90,847</w:t>
            </w:r>
          </w:p>
        </w:tc>
        <w:tc>
          <w:tcPr>
            <w:tcW w:w="80" w:type="dxa"/>
            <w:vAlign w:val="bottom"/>
            <w:tcBorders>
              <w:bottom w:val="single" w:sz="8" w:color="D2DCE5"/>
            </w:tcBorders>
            <w:shd w:val="clear" w:color="auto" w:fill="D2DCE5"/>
          </w:tcPr>
          <w:p>
            <w:pPr>
              <w:spacing w:after="0"/>
              <w:rPr>
                <w:sz w:val="20"/>
                <w:szCs w:val="20"/>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29.5</w:t>
            </w:r>
          </w:p>
        </w:tc>
        <w:tc>
          <w:tcPr>
            <w:tcW w:w="80" w:type="dxa"/>
            <w:vAlign w:val="bottom"/>
            <w:tcBorders>
              <w:bottom w:val="single" w:sz="8" w:color="D2DCE5"/>
            </w:tcBorders>
            <w:shd w:val="clear" w:color="auto" w:fill="D2DCE5"/>
          </w:tcPr>
          <w:p>
            <w:pPr>
              <w:spacing w:after="0"/>
              <w:rPr>
                <w:sz w:val="20"/>
                <w:szCs w:val="20"/>
                <w:color w:val="auto"/>
              </w:rPr>
            </w:pPr>
          </w:p>
        </w:tc>
        <w:tc>
          <w:tcPr>
            <w:tcW w:w="920" w:type="dxa"/>
            <w:vAlign w:val="bottom"/>
            <w:tcBorders>
              <w:bottom w:val="single" w:sz="8" w:color="auto"/>
            </w:tcBorders>
            <w:shd w:val="clear" w:color="auto" w:fill="D2DCE5"/>
          </w:tcPr>
          <w:p>
            <w:pPr>
              <w:ind w:left="440"/>
              <w:spacing w:after="0"/>
              <w:rPr>
                <w:sz w:val="20"/>
                <w:szCs w:val="20"/>
                <w:color w:val="auto"/>
              </w:rPr>
            </w:pPr>
            <w:r>
              <w:rPr>
                <w:rFonts w:ascii="Arial" w:cs="Arial" w:eastAsia="Arial" w:hAnsi="Arial"/>
                <w:sz w:val="14"/>
                <w:szCs w:val="14"/>
                <w:color w:val="131E29"/>
              </w:rPr>
              <w:t>73,324</w:t>
            </w:r>
          </w:p>
        </w:tc>
        <w:tc>
          <w:tcPr>
            <w:tcW w:w="80" w:type="dxa"/>
            <w:vAlign w:val="bottom"/>
            <w:tcBorders>
              <w:bottom w:val="single" w:sz="8" w:color="D2DCE5"/>
            </w:tcBorders>
            <w:shd w:val="clear" w:color="auto" w:fill="D2DCE5"/>
          </w:tcPr>
          <w:p>
            <w:pPr>
              <w:spacing w:after="0"/>
              <w:rPr>
                <w:sz w:val="20"/>
                <w:szCs w:val="20"/>
                <w:color w:val="auto"/>
              </w:rPr>
            </w:pPr>
          </w:p>
        </w:tc>
        <w:tc>
          <w:tcPr>
            <w:tcW w:w="220" w:type="dxa"/>
            <w:vAlign w:val="bottom"/>
            <w:tcBorders>
              <w:bottom w:val="single" w:sz="8" w:color="auto"/>
            </w:tcBorders>
            <w:shd w:val="clear" w:color="auto" w:fill="D2DCE5"/>
          </w:tcPr>
          <w:p>
            <w:pPr>
              <w:spacing w:after="0"/>
              <w:rPr>
                <w:sz w:val="20"/>
                <w:szCs w:val="20"/>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31.0</w:t>
            </w:r>
          </w:p>
        </w:tc>
        <w:tc>
          <w:tcPr>
            <w:tcW w:w="80" w:type="dxa"/>
            <w:vAlign w:val="bottom"/>
            <w:tcBorders>
              <w:bottom w:val="single" w:sz="8" w:color="D2DCE5"/>
            </w:tcBorders>
            <w:shd w:val="clear" w:color="auto" w:fill="D2DCE5"/>
          </w:tcPr>
          <w:p>
            <w:pPr>
              <w:spacing w:after="0"/>
              <w:rPr>
                <w:sz w:val="20"/>
                <w:szCs w:val="20"/>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255,900</w:t>
            </w:r>
          </w:p>
        </w:tc>
        <w:tc>
          <w:tcPr>
            <w:tcW w:w="80" w:type="dxa"/>
            <w:vAlign w:val="bottom"/>
            <w:tcBorders>
              <w:bottom w:val="single" w:sz="8" w:color="D2DCE5"/>
            </w:tcBorders>
            <w:shd w:val="clear" w:color="auto" w:fill="D2DCE5"/>
          </w:tcPr>
          <w:p>
            <w:pPr>
              <w:spacing w:after="0"/>
              <w:rPr>
                <w:sz w:val="20"/>
                <w:szCs w:val="20"/>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30.0</w:t>
            </w:r>
          </w:p>
        </w:tc>
        <w:tc>
          <w:tcPr>
            <w:tcW w:w="80" w:type="dxa"/>
            <w:vAlign w:val="bottom"/>
            <w:tcBorders>
              <w:bottom w:val="single" w:sz="8" w:color="D2DCE5"/>
            </w:tcBorders>
            <w:shd w:val="clear" w:color="auto" w:fill="D2DCE5"/>
          </w:tcPr>
          <w:p>
            <w:pPr>
              <w:spacing w:after="0"/>
              <w:rPr>
                <w:sz w:val="20"/>
                <w:szCs w:val="20"/>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182,075</w:t>
            </w:r>
          </w:p>
        </w:tc>
        <w:tc>
          <w:tcPr>
            <w:tcW w:w="80" w:type="dxa"/>
            <w:vAlign w:val="bottom"/>
            <w:tcBorders>
              <w:bottom w:val="single" w:sz="8" w:color="D2DCE5"/>
            </w:tcBorders>
            <w:shd w:val="clear" w:color="auto" w:fill="D2DCE5"/>
          </w:tcPr>
          <w:p>
            <w:pPr>
              <w:spacing w:after="0"/>
              <w:rPr>
                <w:sz w:val="20"/>
                <w:szCs w:val="20"/>
                <w:color w:val="auto"/>
              </w:rPr>
            </w:pPr>
          </w:p>
        </w:tc>
        <w:tc>
          <w:tcPr>
            <w:tcW w:w="200" w:type="dxa"/>
            <w:vAlign w:val="bottom"/>
            <w:tcBorders>
              <w:bottom w:val="single" w:sz="8" w:color="auto"/>
            </w:tcBorders>
            <w:shd w:val="clear" w:color="auto" w:fill="D2DCE5"/>
          </w:tcPr>
          <w:p>
            <w:pPr>
              <w:spacing w:after="0"/>
              <w:rPr>
                <w:sz w:val="20"/>
                <w:szCs w:val="20"/>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28.9</w:t>
            </w:r>
          </w:p>
        </w:tc>
      </w:tr>
      <w:tr>
        <w:trPr>
          <w:trHeight w:val="20"/>
        </w:trPr>
        <w:tc>
          <w:tcPr>
            <w:tcW w:w="39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5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5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131E29"/>
              </w:rPr>
              <w:t>Three Months Ended 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131E29"/>
              </w:rPr>
              <w:t>Nine Months Ended September 30,</w:t>
            </w:r>
          </w:p>
        </w:tc>
        <w:tc>
          <w:tcPr>
            <w:tcW w:w="520" w:type="dxa"/>
            <w:vAlign w:val="bottom"/>
            <w:tcBorders>
              <w:bottom w:val="single" w:sz="8" w:color="auto"/>
            </w:tcBorders>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131E29"/>
              </w:rPr>
              <w:t>2024</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2024</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940" w:type="dxa"/>
            <w:vAlign w:val="bottom"/>
            <w:tcBorders>
              <w:bottom w:val="single" w:sz="8" w:color="131E29"/>
            </w:tcBorders>
          </w:tcPr>
          <w:p>
            <w:pPr>
              <w:jc w:val="right"/>
              <w:ind w:right="34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131E29"/>
            </w:tcBorders>
          </w:tcPr>
          <w:p>
            <w:pPr>
              <w:spacing w:after="0"/>
              <w:rPr>
                <w:sz w:val="17"/>
                <w:szCs w:val="17"/>
                <w:color w:val="auto"/>
              </w:rPr>
            </w:pPr>
          </w:p>
        </w:tc>
        <w:tc>
          <w:tcPr>
            <w:tcW w:w="560" w:type="dxa"/>
            <w:vAlign w:val="bottom"/>
            <w:tcBorders>
              <w:bottom w:val="single" w:sz="8" w:color="131E29"/>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131E29"/>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520" w:type="dxa"/>
            <w:vAlign w:val="bottom"/>
            <w:tcBorders>
              <w:bottom w:val="single" w:sz="8" w:color="131E29"/>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131E29"/>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131E29"/>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131E29"/>
            </w:tcBorders>
          </w:tcPr>
          <w:p>
            <w:pPr>
              <w:spacing w:after="0"/>
              <w:rPr>
                <w:sz w:val="17"/>
                <w:szCs w:val="17"/>
                <w:color w:val="auto"/>
              </w:rPr>
            </w:pPr>
          </w:p>
        </w:tc>
        <w:tc>
          <w:tcPr>
            <w:tcW w:w="520" w:type="dxa"/>
            <w:vAlign w:val="bottom"/>
            <w:tcBorders>
              <w:bottom w:val="single" w:sz="8" w:color="131E29"/>
            </w:tcBorders>
          </w:tcPr>
          <w:p>
            <w:pPr>
              <w:jc w:val="right"/>
              <w:ind w:right="229"/>
              <w:spacing w:after="0"/>
              <w:rPr>
                <w:sz w:val="20"/>
                <w:szCs w:val="20"/>
                <w:color w:val="auto"/>
              </w:rPr>
            </w:pPr>
            <w:r>
              <w:rPr>
                <w:rFonts w:ascii="Arial" w:cs="Arial" w:eastAsia="Arial" w:hAnsi="Arial"/>
                <w:sz w:val="14"/>
                <w:szCs w:val="14"/>
                <w:b w:val="1"/>
                <w:bCs w:val="1"/>
                <w:color w:val="131E29"/>
              </w:rPr>
              <w:t>%</w:t>
            </w:r>
          </w:p>
        </w:tc>
      </w:tr>
      <w:tr>
        <w:trPr>
          <w:trHeight w:val="209"/>
        </w:trPr>
        <w:tc>
          <w:tcPr>
            <w:tcW w:w="40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Net income</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21,712</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13,401</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60,083</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13,721</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w:t>
            </w:r>
          </w:p>
        </w:tc>
      </w:tr>
      <w:tr>
        <w:trPr>
          <w:trHeight w:val="20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4"/>
                <w:szCs w:val="14"/>
                <w:color w:val="131E29"/>
              </w:rPr>
              <w:t>23,881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7.1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18,116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6.8</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67,484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7.2</w:t>
            </w:r>
          </w:p>
        </w:tc>
        <w:tc>
          <w:tcPr>
            <w:tcW w:w="1040" w:type="dxa"/>
            <w:vAlign w:val="bottom"/>
            <w:gridSpan w:val="2"/>
          </w:tcPr>
          <w:p>
            <w:pPr>
              <w:jc w:val="right"/>
              <w:spacing w:after="0"/>
              <w:rPr>
                <w:sz w:val="20"/>
                <w:szCs w:val="20"/>
                <w:color w:val="auto"/>
              </w:rPr>
            </w:pPr>
            <w:r>
              <w:rPr>
                <w:rFonts w:ascii="Arial" w:cs="Arial" w:eastAsia="Arial" w:hAnsi="Arial"/>
                <w:sz w:val="14"/>
                <w:szCs w:val="14"/>
                <w:color w:val="131E29"/>
              </w:rPr>
              <w:t>49,411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6.9</w:t>
            </w:r>
          </w:p>
        </w:tc>
      </w:tr>
      <w:tr>
        <w:trPr>
          <w:trHeight w:val="22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Interest expense, net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6,869</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9,325</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20,259</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26,269</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3.7</w:t>
            </w:r>
          </w:p>
        </w:tc>
      </w:tr>
      <w:tr>
        <w:trPr>
          <w:trHeight w:val="203"/>
        </w:trPr>
        <w:tc>
          <w:tcPr>
            <w:tcW w:w="40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Income tax expense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4,698</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131E29"/>
            </w:tcBorders>
          </w:tcPr>
          <w:p>
            <w:pPr>
              <w:spacing w:after="0"/>
              <w:rPr>
                <w:sz w:val="17"/>
                <w:szCs w:val="17"/>
                <w:color w:val="auto"/>
              </w:rPr>
            </w:pPr>
          </w:p>
        </w:tc>
        <w:tc>
          <w:tcPr>
            <w:tcW w:w="56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1.4</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1,828</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131E29"/>
            </w:tcBorders>
          </w:tcPr>
          <w:p>
            <w:pPr>
              <w:spacing w:after="0"/>
              <w:rPr>
                <w:sz w:val="17"/>
                <w:szCs w:val="17"/>
                <w:color w:val="auto"/>
              </w:rPr>
            </w:pPr>
          </w:p>
        </w:tc>
        <w:tc>
          <w:tcPr>
            <w:tcW w:w="52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0.7</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17,330</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1.8</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6,259</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131E29"/>
            </w:tcBorders>
          </w:tcPr>
          <w:p>
            <w:pPr>
              <w:spacing w:after="0"/>
              <w:rPr>
                <w:sz w:val="17"/>
                <w:szCs w:val="17"/>
                <w:color w:val="auto"/>
              </w:rPr>
            </w:pPr>
          </w:p>
        </w:tc>
        <w:tc>
          <w:tcPr>
            <w:tcW w:w="52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0.9</w:t>
            </w:r>
          </w:p>
        </w:tc>
      </w:tr>
      <w:tr>
        <w:trPr>
          <w:trHeight w:val="212"/>
        </w:trPr>
        <w:tc>
          <w:tcPr>
            <w:tcW w:w="4000" w:type="dxa"/>
            <w:vAlign w:val="bottom"/>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EBITDA</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57,160</w:t>
            </w:r>
          </w:p>
        </w:tc>
        <w:tc>
          <w:tcPr>
            <w:tcW w:w="80" w:type="dxa"/>
            <w:vAlign w:val="bottom"/>
            <w:shd w:val="clear" w:color="auto" w:fill="D2DCE5"/>
          </w:tcPr>
          <w:p>
            <w:pPr>
              <w:spacing w:after="0"/>
              <w:rPr>
                <w:sz w:val="18"/>
                <w:szCs w:val="18"/>
                <w:color w:val="auto"/>
              </w:rPr>
            </w:pPr>
          </w:p>
        </w:tc>
        <w:tc>
          <w:tcPr>
            <w:tcW w:w="160" w:type="dxa"/>
            <w:vAlign w:val="bottom"/>
            <w:tcBorders>
              <w:bottom w:val="single" w:sz="8" w:color="131E29"/>
            </w:tcBorders>
            <w:shd w:val="clear" w:color="auto" w:fill="D2DCE5"/>
          </w:tcPr>
          <w:p>
            <w:pPr>
              <w:spacing w:after="0"/>
              <w:rPr>
                <w:sz w:val="18"/>
                <w:szCs w:val="18"/>
                <w:color w:val="auto"/>
              </w:rPr>
            </w:pPr>
          </w:p>
        </w:tc>
        <w:tc>
          <w:tcPr>
            <w:tcW w:w="5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16.9</w:t>
            </w:r>
          </w:p>
        </w:tc>
        <w:tc>
          <w:tcPr>
            <w:tcW w:w="80" w:type="dxa"/>
            <w:vAlign w:val="bottom"/>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42,670</w:t>
            </w:r>
          </w:p>
        </w:tc>
        <w:tc>
          <w:tcPr>
            <w:tcW w:w="80" w:type="dxa"/>
            <w:vAlign w:val="bottom"/>
            <w:shd w:val="clear" w:color="auto" w:fill="D2DCE5"/>
          </w:tcPr>
          <w:p>
            <w:pPr>
              <w:spacing w:after="0"/>
              <w:rPr>
                <w:sz w:val="18"/>
                <w:szCs w:val="18"/>
                <w:color w:val="auto"/>
              </w:rPr>
            </w:pPr>
          </w:p>
        </w:tc>
        <w:tc>
          <w:tcPr>
            <w:tcW w:w="220" w:type="dxa"/>
            <w:vAlign w:val="bottom"/>
            <w:tcBorders>
              <w:bottom w:val="single" w:sz="8" w:color="131E29"/>
            </w:tcBorders>
            <w:shd w:val="clear" w:color="auto" w:fill="D2DCE5"/>
          </w:tcPr>
          <w:p>
            <w:pPr>
              <w:spacing w:after="0"/>
              <w:rPr>
                <w:sz w:val="18"/>
                <w:szCs w:val="18"/>
                <w:color w:val="auto"/>
              </w:rPr>
            </w:pPr>
          </w:p>
        </w:tc>
        <w:tc>
          <w:tcPr>
            <w:tcW w:w="5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16.1</w:t>
            </w:r>
          </w:p>
        </w:tc>
        <w:tc>
          <w:tcPr>
            <w:tcW w:w="80" w:type="dxa"/>
            <w:vAlign w:val="bottom"/>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165,156</w:t>
            </w:r>
          </w:p>
        </w:tc>
        <w:tc>
          <w:tcPr>
            <w:tcW w:w="80" w:type="dxa"/>
            <w:vAlign w:val="bottom"/>
            <w:shd w:val="clear" w:color="auto" w:fill="D2DCE5"/>
          </w:tcPr>
          <w:p>
            <w:pPr>
              <w:spacing w:after="0"/>
              <w:rPr>
                <w:sz w:val="18"/>
                <w:szCs w:val="18"/>
                <w:color w:val="auto"/>
              </w:rPr>
            </w:pPr>
          </w:p>
        </w:tc>
        <w:tc>
          <w:tcPr>
            <w:tcW w:w="7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17.6</w:t>
            </w:r>
          </w:p>
        </w:tc>
        <w:tc>
          <w:tcPr>
            <w:tcW w:w="80" w:type="dxa"/>
            <w:vAlign w:val="bottom"/>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95,660</w:t>
            </w:r>
          </w:p>
        </w:tc>
        <w:tc>
          <w:tcPr>
            <w:tcW w:w="80" w:type="dxa"/>
            <w:vAlign w:val="bottom"/>
            <w:shd w:val="clear" w:color="auto" w:fill="D2DCE5"/>
          </w:tcPr>
          <w:p>
            <w:pPr>
              <w:spacing w:after="0"/>
              <w:rPr>
                <w:sz w:val="18"/>
                <w:szCs w:val="18"/>
                <w:color w:val="auto"/>
              </w:rPr>
            </w:pPr>
          </w:p>
        </w:tc>
        <w:tc>
          <w:tcPr>
            <w:tcW w:w="200" w:type="dxa"/>
            <w:vAlign w:val="bottom"/>
            <w:tcBorders>
              <w:bottom w:val="single" w:sz="8" w:color="131E29"/>
            </w:tcBorders>
            <w:shd w:val="clear" w:color="auto" w:fill="D2DCE5"/>
          </w:tcPr>
          <w:p>
            <w:pPr>
              <w:spacing w:after="0"/>
              <w:rPr>
                <w:sz w:val="18"/>
                <w:szCs w:val="18"/>
                <w:color w:val="auto"/>
              </w:rPr>
            </w:pPr>
          </w:p>
        </w:tc>
        <w:tc>
          <w:tcPr>
            <w:tcW w:w="5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13.4</w:t>
            </w:r>
          </w:p>
        </w:tc>
      </w:tr>
      <w:tr>
        <w:trPr>
          <w:trHeight w:val="193"/>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Equity-based compensation</w:t>
            </w:r>
          </w:p>
        </w:tc>
        <w:tc>
          <w:tcPr>
            <w:tcW w:w="940" w:type="dxa"/>
            <w:vAlign w:val="bottom"/>
          </w:tcPr>
          <w:p>
            <w:pPr>
              <w:jc w:val="right"/>
              <w:spacing w:after="0"/>
              <w:rPr>
                <w:sz w:val="20"/>
                <w:szCs w:val="20"/>
                <w:color w:val="auto"/>
              </w:rPr>
            </w:pPr>
            <w:r>
              <w:rPr>
                <w:rFonts w:ascii="Arial" w:cs="Arial" w:eastAsia="Arial" w:hAnsi="Arial"/>
                <w:sz w:val="14"/>
                <w:szCs w:val="14"/>
                <w:color w:val="131E29"/>
              </w:rPr>
              <w:t>2,961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0.9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9,698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3.7</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8,220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0.8</w:t>
            </w:r>
          </w:p>
        </w:tc>
        <w:tc>
          <w:tcPr>
            <w:tcW w:w="1040" w:type="dxa"/>
            <w:vAlign w:val="bottom"/>
            <w:gridSpan w:val="2"/>
          </w:tcPr>
          <w:p>
            <w:pPr>
              <w:jc w:val="right"/>
              <w:spacing w:after="0"/>
              <w:rPr>
                <w:sz w:val="20"/>
                <w:szCs w:val="20"/>
                <w:color w:val="auto"/>
              </w:rPr>
            </w:pPr>
            <w:r>
              <w:rPr>
                <w:rFonts w:ascii="Arial" w:cs="Arial" w:eastAsia="Arial" w:hAnsi="Arial"/>
                <w:sz w:val="14"/>
                <w:szCs w:val="14"/>
                <w:color w:val="131E29"/>
              </w:rPr>
              <w:t>29,017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4.0</w:t>
            </w:r>
          </w:p>
        </w:tc>
      </w:tr>
      <w:tr>
        <w:trPr>
          <w:trHeight w:val="22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180" w:type="dxa"/>
            <w:vAlign w:val="bottom"/>
            <w:gridSpan w:val="3"/>
            <w:shd w:val="clear" w:color="auto" w:fill="D2DCE5"/>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260" w:type="dxa"/>
            <w:vAlign w:val="bottom"/>
            <w:gridSpan w:val="3"/>
            <w:shd w:val="clear" w:color="auto" w:fill="D2DCE5"/>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1,489</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BDBDB"/>
          </w:tcPr>
          <w:p>
            <w:pPr>
              <w:spacing w:after="0"/>
              <w:rPr>
                <w:sz w:val="19"/>
                <w:szCs w:val="19"/>
                <w:color w:val="auto"/>
              </w:rPr>
            </w:pPr>
          </w:p>
        </w:tc>
        <w:tc>
          <w:tcPr>
            <w:tcW w:w="1240" w:type="dxa"/>
            <w:vAlign w:val="bottom"/>
            <w:gridSpan w:val="3"/>
            <w:shd w:val="clear" w:color="auto" w:fill="D2DCE5"/>
          </w:tcPr>
          <w:p>
            <w:pPr>
              <w:jc w:val="right"/>
              <w:ind w:right="340"/>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Executive transitions</w:t>
            </w: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225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75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131E29"/>
              </w:rPr>
              <w:t>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0.1</w:t>
            </w:r>
          </w:p>
        </w:tc>
      </w:tr>
      <w:tr>
        <w:trPr>
          <w:trHeight w:val="22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TRAs remeasurement</w:t>
            </w:r>
          </w:p>
        </w:tc>
        <w:tc>
          <w:tcPr>
            <w:tcW w:w="1180" w:type="dxa"/>
            <w:vAlign w:val="bottom"/>
            <w:gridSpan w:val="3"/>
            <w:shd w:val="clear" w:color="auto" w:fill="D2DCE5"/>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415</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(5,687)</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(0.6)</w:t>
            </w:r>
          </w:p>
        </w:tc>
        <w:tc>
          <w:tcPr>
            <w:tcW w:w="10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(1,740)</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w:t>
            </w:r>
          </w:p>
        </w:tc>
      </w:tr>
      <w:tr>
        <w:trPr>
          <w:trHeight w:val="21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Legal proceedings</w:t>
            </w: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260" w:type="dxa"/>
            <w:vAlign w:val="bottom"/>
            <w:gridSpan w:val="3"/>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20" w:type="dxa"/>
            <w:vAlign w:val="bottom"/>
          </w:tcPr>
          <w:p>
            <w:pPr>
              <w:jc w:val="right"/>
              <w:spacing w:after="0"/>
              <w:rPr>
                <w:sz w:val="20"/>
                <w:szCs w:val="20"/>
                <w:color w:val="auto"/>
              </w:rPr>
            </w:pPr>
            <w:r>
              <w:rPr>
                <w:rFonts w:ascii="Arial" w:cs="Arial" w:eastAsia="Arial" w:hAnsi="Arial"/>
                <w:sz w:val="14"/>
                <w:szCs w:val="14"/>
                <w:color w:val="131E29"/>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131E29"/>
              </w:rPr>
              <w:t>1,950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0.3</w:t>
            </w:r>
          </w:p>
        </w:tc>
      </w:tr>
      <w:tr>
        <w:trPr>
          <w:trHeight w:val="21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Sale of Aircraft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(550)</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8"/>
                <w:szCs w:val="18"/>
                <w:color w:val="auto"/>
              </w:rPr>
            </w:pPr>
          </w:p>
        </w:tc>
        <w:tc>
          <w:tcPr>
            <w:tcW w:w="1260" w:type="dxa"/>
            <w:vAlign w:val="bottom"/>
            <w:gridSpan w:val="3"/>
            <w:shd w:val="clear" w:color="auto" w:fill="D2DCE5"/>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(1,302)</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8"/>
                <w:szCs w:val="18"/>
                <w:color w:val="auto"/>
              </w:rPr>
            </w:pPr>
          </w:p>
        </w:tc>
        <w:tc>
          <w:tcPr>
            <w:tcW w:w="1240" w:type="dxa"/>
            <w:vAlign w:val="bottom"/>
            <w:gridSpan w:val="3"/>
            <w:shd w:val="clear" w:color="auto" w:fill="D2DCE5"/>
          </w:tcPr>
          <w:p>
            <w:pPr>
              <w:jc w:val="right"/>
              <w:ind w:right="340"/>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Organization realignment and restructuring:</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22"/>
        </w:trPr>
        <w:tc>
          <w:tcPr>
            <w:tcW w:w="40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Employee-related costs</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3,998</w:t>
            </w: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w:t>
            </w:r>
          </w:p>
        </w:tc>
        <w:tc>
          <w:tcPr>
            <w:tcW w:w="80" w:type="dxa"/>
            <w:vAlign w:val="bottom"/>
            <w:shd w:val="clear" w:color="auto" w:fill="D2DCE5"/>
          </w:tcPr>
          <w:p>
            <w:pPr>
              <w:spacing w:after="0"/>
              <w:rPr>
                <w:sz w:val="19"/>
                <w:szCs w:val="19"/>
                <w:color w:val="auto"/>
              </w:rPr>
            </w:pPr>
          </w:p>
        </w:tc>
        <w:tc>
          <w:tcPr>
            <w:tcW w:w="1260" w:type="dxa"/>
            <w:vAlign w:val="bottom"/>
            <w:gridSpan w:val="3"/>
            <w:shd w:val="clear" w:color="auto" w:fill="D2DCE5"/>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13,287</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w:t>
            </w:r>
          </w:p>
        </w:tc>
        <w:tc>
          <w:tcPr>
            <w:tcW w:w="80" w:type="dxa"/>
            <w:vAlign w:val="bottom"/>
            <w:shd w:val="clear" w:color="auto" w:fill="D2DCE5"/>
          </w:tcPr>
          <w:p>
            <w:pPr>
              <w:spacing w:after="0"/>
              <w:rPr>
                <w:sz w:val="19"/>
                <w:szCs w:val="19"/>
                <w:color w:val="auto"/>
              </w:rPr>
            </w:pPr>
          </w:p>
        </w:tc>
        <w:tc>
          <w:tcPr>
            <w:tcW w:w="1240" w:type="dxa"/>
            <w:vAlign w:val="bottom"/>
            <w:gridSpan w:val="3"/>
            <w:shd w:val="clear" w:color="auto" w:fill="D2DCE5"/>
          </w:tcPr>
          <w:p>
            <w:pPr>
              <w:jc w:val="right"/>
              <w:ind w:right="340"/>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40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Other costs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193</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223</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4000" w:type="dxa"/>
            <w:vAlign w:val="bottom"/>
            <w:gridSpan w:val="2"/>
            <w:shd w:val="clear" w:color="auto" w:fill="D2DCE5"/>
          </w:tcPr>
          <w:p>
            <w:pPr>
              <w:ind w:left="400"/>
              <w:spacing w:after="0"/>
              <w:rPr>
                <w:sz w:val="20"/>
                <w:szCs w:val="20"/>
                <w:color w:val="auto"/>
              </w:rPr>
            </w:pPr>
            <w:r>
              <w:rPr>
                <w:rFonts w:ascii="Arial" w:cs="Arial" w:eastAsia="Arial" w:hAnsi="Arial"/>
                <w:sz w:val="14"/>
                <w:szCs w:val="14"/>
                <w:color w:val="131E29"/>
              </w:rPr>
              <w:t>Total organization realignment and restructuring</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4,191</w:t>
            </w:r>
          </w:p>
        </w:tc>
        <w:tc>
          <w:tcPr>
            <w:tcW w:w="80" w:type="dxa"/>
            <w:vAlign w:val="bottom"/>
            <w:shd w:val="clear" w:color="auto" w:fill="D2DCE5"/>
          </w:tcPr>
          <w:p>
            <w:pPr>
              <w:spacing w:after="0"/>
              <w:rPr>
                <w:sz w:val="17"/>
                <w:szCs w:val="17"/>
                <w:color w:val="auto"/>
              </w:rPr>
            </w:pPr>
          </w:p>
        </w:tc>
        <w:tc>
          <w:tcPr>
            <w:tcW w:w="160" w:type="dxa"/>
            <w:vAlign w:val="bottom"/>
            <w:tcBorders>
              <w:bottom w:val="single" w:sz="8" w:color="auto"/>
            </w:tcBorders>
            <w:shd w:val="clear" w:color="auto" w:fill="D2DCE5"/>
          </w:tcPr>
          <w:p>
            <w:pPr>
              <w:spacing w:after="0"/>
              <w:rPr>
                <w:sz w:val="17"/>
                <w:szCs w:val="17"/>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w:t>
            </w:r>
          </w:p>
        </w:tc>
        <w:tc>
          <w:tcPr>
            <w:tcW w:w="80" w:type="dxa"/>
            <w:vAlign w:val="bottom"/>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7"/>
                <w:szCs w:val="17"/>
                <w:color w:val="auto"/>
              </w:rPr>
            </w:pPr>
          </w:p>
        </w:tc>
        <w:tc>
          <w:tcPr>
            <w:tcW w:w="220" w:type="dxa"/>
            <w:vAlign w:val="bottom"/>
            <w:tcBorders>
              <w:bottom w:val="single" w:sz="8" w:color="auto"/>
            </w:tcBorders>
            <w:shd w:val="clear" w:color="auto" w:fill="D2DCE5"/>
          </w:tcPr>
          <w:p>
            <w:pPr>
              <w:spacing w:after="0"/>
              <w:rPr>
                <w:sz w:val="17"/>
                <w:szCs w:val="17"/>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13,510</w:t>
            </w:r>
          </w:p>
        </w:tc>
        <w:tc>
          <w:tcPr>
            <w:tcW w:w="80" w:type="dxa"/>
            <w:vAlign w:val="bottom"/>
            <w:shd w:val="clear" w:color="auto" w:fill="D2DCE5"/>
          </w:tcPr>
          <w:p>
            <w:pPr>
              <w:spacing w:after="0"/>
              <w:rPr>
                <w:sz w:val="17"/>
                <w:szCs w:val="17"/>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w:t>
            </w:r>
          </w:p>
        </w:tc>
        <w:tc>
          <w:tcPr>
            <w:tcW w:w="80" w:type="dxa"/>
            <w:vAlign w:val="bottom"/>
            <w:shd w:val="clear" w:color="auto" w:fill="D2DCE5"/>
          </w:tcPr>
          <w:p>
            <w:pPr>
              <w:spacing w:after="0"/>
              <w:rPr>
                <w:sz w:val="17"/>
                <w:szCs w:val="17"/>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7"/>
                <w:szCs w:val="17"/>
                <w:color w:val="auto"/>
              </w:rPr>
            </w:pPr>
          </w:p>
        </w:tc>
        <w:tc>
          <w:tcPr>
            <w:tcW w:w="200" w:type="dxa"/>
            <w:vAlign w:val="bottom"/>
            <w:tcBorders>
              <w:bottom w:val="single" w:sz="8" w:color="auto"/>
            </w:tcBorders>
            <w:shd w:val="clear" w:color="auto" w:fill="D2DCE5"/>
          </w:tcPr>
          <w:p>
            <w:pPr>
              <w:spacing w:after="0"/>
              <w:rPr>
                <w:sz w:val="17"/>
                <w:szCs w:val="17"/>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4000" w:type="dxa"/>
            <w:vAlign w:val="bottom"/>
            <w:gridSpan w:val="2"/>
          </w:tcPr>
          <w:p>
            <w:pPr>
              <w:ind w:left="400"/>
              <w:spacing w:after="0"/>
              <w:rPr>
                <w:sz w:val="20"/>
                <w:szCs w:val="20"/>
                <w:color w:val="auto"/>
              </w:rPr>
            </w:pPr>
            <w:r>
              <w:rPr>
                <w:rFonts w:ascii="Arial" w:cs="Arial" w:eastAsia="Arial" w:hAnsi="Arial"/>
                <w:sz w:val="14"/>
                <w:szCs w:val="14"/>
                <w:b w:val="1"/>
                <w:bCs w:val="1"/>
                <w:color w:val="131E29"/>
              </w:rPr>
              <w:t>Adjusted EBITDA</w:t>
            </w:r>
          </w:p>
        </w:tc>
        <w:tc>
          <w:tcPr>
            <w:tcW w:w="940" w:type="dxa"/>
            <w:vAlign w:val="bottom"/>
          </w:tcPr>
          <w:p>
            <w:pPr>
              <w:jc w:val="right"/>
              <w:spacing w:after="0"/>
              <w:rPr>
                <w:sz w:val="20"/>
                <w:szCs w:val="20"/>
                <w:color w:val="auto"/>
              </w:rPr>
            </w:pPr>
            <w:r>
              <w:rPr>
                <w:rFonts w:ascii="Arial" w:cs="Arial" w:eastAsia="Arial" w:hAnsi="Arial"/>
                <w:sz w:val="14"/>
                <w:szCs w:val="14"/>
                <w:color w:val="131E29"/>
              </w:rPr>
              <w:t>63,762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18.9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53,008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20.0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181,461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19.3</w:t>
            </w:r>
          </w:p>
        </w:tc>
        <w:tc>
          <w:tcPr>
            <w:tcW w:w="1040" w:type="dxa"/>
            <w:vAlign w:val="bottom"/>
            <w:gridSpan w:val="2"/>
          </w:tcPr>
          <w:p>
            <w:pPr>
              <w:jc w:val="right"/>
              <w:spacing w:after="0"/>
              <w:rPr>
                <w:sz w:val="20"/>
                <w:szCs w:val="20"/>
                <w:color w:val="auto"/>
              </w:rPr>
            </w:pPr>
            <w:r>
              <w:rPr>
                <w:rFonts w:ascii="Arial" w:cs="Arial" w:eastAsia="Arial" w:hAnsi="Arial"/>
                <w:sz w:val="14"/>
                <w:szCs w:val="14"/>
                <w:color w:val="131E29"/>
              </w:rPr>
              <w:t>125,487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17.6</w:t>
            </w:r>
          </w:p>
        </w:tc>
      </w:tr>
      <w:tr>
        <w:trPr>
          <w:trHeight w:val="20"/>
        </w:trPr>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131E29"/>
              <w:bottom w:val="single" w:sz="8" w:color="131E29"/>
            </w:tcBorders>
          </w:tcPr>
          <w:p>
            <w:pPr>
              <w:spacing w:after="0" w:line="20" w:lineRule="exact"/>
              <w:rPr>
                <w:sz w:val="1"/>
                <w:szCs w:val="1"/>
                <w:color w:val="auto"/>
              </w:rPr>
            </w:pPr>
          </w:p>
        </w:tc>
        <w:tc>
          <w:tcPr>
            <w:tcW w:w="56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131E29"/>
              <w:bottom w:val="single" w:sz="8" w:color="131E29"/>
            </w:tcBorders>
          </w:tcPr>
          <w:p>
            <w:pPr>
              <w:spacing w:after="0" w:line="20" w:lineRule="exact"/>
              <w:rPr>
                <w:sz w:val="1"/>
                <w:szCs w:val="1"/>
                <w:color w:val="auto"/>
              </w:rPr>
            </w:pPr>
          </w:p>
        </w:tc>
        <w:tc>
          <w:tcPr>
            <w:tcW w:w="52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131E29"/>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131E29"/>
              <w:bottom w:val="single" w:sz="8" w:color="131E29"/>
            </w:tcBorders>
          </w:tcPr>
          <w:p>
            <w:pPr>
              <w:spacing w:after="0" w:line="20" w:lineRule="exact"/>
              <w:rPr>
                <w:sz w:val="1"/>
                <w:szCs w:val="1"/>
                <w:color w:val="auto"/>
              </w:rPr>
            </w:pPr>
          </w:p>
        </w:tc>
        <w:tc>
          <w:tcPr>
            <w:tcW w:w="520" w:type="dxa"/>
            <w:vAlign w:val="bottom"/>
            <w:tcBorders>
              <w:top w:val="single" w:sz="8" w:color="131E29"/>
              <w:bottom w:val="single" w:sz="8" w:color="131E29"/>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131E29"/>
              </w:rPr>
              <w:t>Three Months Ended 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131E29"/>
              </w:rPr>
              <w:t>Nine Months Ended September 30,</w:t>
            </w:r>
          </w:p>
        </w:tc>
        <w:tc>
          <w:tcPr>
            <w:tcW w:w="520" w:type="dxa"/>
            <w:vAlign w:val="bottom"/>
            <w:tcBorders>
              <w:bottom w:val="single" w:sz="8" w:color="auto"/>
            </w:tcBorders>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131E29"/>
              </w:rPr>
              <w:t>2024</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2024</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131E29"/>
              </w:rPr>
              <w:t>2023</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r>
      <w:tr>
        <w:trPr>
          <w:trHeight w:val="209"/>
        </w:trPr>
        <w:tc>
          <w:tcPr>
            <w:tcW w:w="40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Selling, general, and administrative</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57,536</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17.0</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50,490</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19.1</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161,866</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17.3</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148,128</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20.8</w:t>
            </w:r>
          </w:p>
        </w:tc>
      </w:tr>
      <w:tr>
        <w:trPr>
          <w:trHeight w:val="21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940" w:type="dxa"/>
            <w:vAlign w:val="bottom"/>
          </w:tcPr>
          <w:p>
            <w:pPr>
              <w:jc w:val="right"/>
              <w:spacing w:after="0"/>
              <w:rPr>
                <w:sz w:val="20"/>
                <w:szCs w:val="20"/>
                <w:color w:val="auto"/>
              </w:rPr>
            </w:pPr>
            <w:r>
              <w:rPr>
                <w:rFonts w:ascii="Arial" w:cs="Arial" w:eastAsia="Arial" w:hAnsi="Arial"/>
                <w:sz w:val="14"/>
                <w:szCs w:val="14"/>
                <w:color w:val="131E29"/>
              </w:rPr>
              <w:t>(389)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(413)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(888)</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(0.2)</w:t>
            </w:r>
          </w:p>
        </w:tc>
      </w:tr>
      <w:tr>
        <w:trPr>
          <w:trHeight w:val="21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Equity-based compensation</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(2,688)</w:t>
            </w:r>
          </w:p>
        </w:tc>
        <w:tc>
          <w:tcPr>
            <w:tcW w:w="8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(0.8)</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(9,698)</w:t>
            </w:r>
          </w:p>
        </w:tc>
        <w:tc>
          <w:tcPr>
            <w:tcW w:w="80" w:type="dxa"/>
            <w:vAlign w:val="bottom"/>
            <w:shd w:val="clear" w:color="auto" w:fill="D2DCE5"/>
          </w:tcPr>
          <w:p>
            <w:pPr>
              <w:spacing w:after="0"/>
              <w:rPr>
                <w:sz w:val="18"/>
                <w:szCs w:val="18"/>
                <w:color w:val="auto"/>
              </w:rPr>
            </w:pPr>
          </w:p>
        </w:tc>
        <w:tc>
          <w:tcPr>
            <w:tcW w:w="22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(3.7)</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(7,583)</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(0.8)</w:t>
            </w:r>
          </w:p>
        </w:tc>
        <w:tc>
          <w:tcPr>
            <w:tcW w:w="8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(29,017)</w:t>
            </w: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w:t>
            </w:r>
          </w:p>
        </w:tc>
      </w:tr>
      <w:tr>
        <w:trPr>
          <w:trHeight w:val="20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260" w:type="dxa"/>
            <w:vAlign w:val="bottom"/>
            <w:gridSpan w:val="3"/>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(1,489)</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7"/>
                <w:szCs w:val="17"/>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131E29"/>
              </w:rPr>
              <w:t>—</w:t>
            </w:r>
          </w:p>
        </w:tc>
        <w:tc>
          <w:tcPr>
            <w:tcW w:w="5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Executives transition</w:t>
            </w:r>
          </w:p>
        </w:tc>
        <w:tc>
          <w:tcPr>
            <w:tcW w:w="1180" w:type="dxa"/>
            <w:vAlign w:val="bottom"/>
            <w:gridSpan w:val="3"/>
            <w:shd w:val="clear" w:color="auto" w:fill="D2DCE5"/>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(225)</w:t>
            </w: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(75)</w:t>
            </w:r>
          </w:p>
        </w:tc>
        <w:tc>
          <w:tcPr>
            <w:tcW w:w="80" w:type="dxa"/>
            <w:vAlign w:val="bottom"/>
            <w:shd w:val="clear" w:color="auto" w:fill="D2DCE5"/>
          </w:tcPr>
          <w:p>
            <w:pPr>
              <w:spacing w:after="0"/>
              <w:rPr>
                <w:sz w:val="19"/>
                <w:szCs w:val="19"/>
                <w:color w:val="auto"/>
              </w:rPr>
            </w:pPr>
          </w:p>
        </w:tc>
        <w:tc>
          <w:tcPr>
            <w:tcW w:w="8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(600)</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r>
      <w:tr>
        <w:trPr>
          <w:trHeight w:val="202"/>
        </w:trPr>
        <w:tc>
          <w:tcPr>
            <w:tcW w:w="4000" w:type="dxa"/>
            <w:vAlign w:val="bottom"/>
            <w:gridSpan w:val="2"/>
          </w:tcPr>
          <w:p>
            <w:pPr>
              <w:ind w:left="140"/>
              <w:spacing w:after="0"/>
              <w:rPr>
                <w:sz w:val="20"/>
                <w:szCs w:val="20"/>
                <w:color w:val="auto"/>
              </w:rPr>
            </w:pPr>
            <w:r>
              <w:rPr>
                <w:rFonts w:ascii="Arial" w:cs="Arial" w:eastAsia="Arial" w:hAnsi="Arial"/>
                <w:sz w:val="14"/>
                <w:szCs w:val="14"/>
                <w:color w:val="131E29"/>
              </w:rPr>
              <w:t>Legal proceedings</w:t>
            </w: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260" w:type="dxa"/>
            <w:vAlign w:val="bottom"/>
            <w:gridSpan w:val="3"/>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(1,950)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131E29"/>
              </w:rPr>
              <w:t>(0.3)</w:t>
            </w:r>
          </w:p>
        </w:tc>
      </w:tr>
      <w:tr>
        <w:trPr>
          <w:trHeight w:val="222"/>
        </w:trPr>
        <w:tc>
          <w:tcPr>
            <w:tcW w:w="4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Organization realignment and restructuring:</w:t>
            </w:r>
          </w:p>
        </w:tc>
        <w:tc>
          <w:tcPr>
            <w:tcW w:w="9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5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20" w:type="dxa"/>
            <w:vAlign w:val="bottom"/>
            <w:shd w:val="clear" w:color="auto" w:fill="D2DCE5"/>
          </w:tcPr>
          <w:p>
            <w:pPr>
              <w:spacing w:after="0"/>
              <w:rPr>
                <w:sz w:val="19"/>
                <w:szCs w:val="19"/>
                <w:color w:val="auto"/>
              </w:rPr>
            </w:pPr>
          </w:p>
        </w:tc>
        <w:tc>
          <w:tcPr>
            <w:tcW w:w="5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520" w:type="dxa"/>
            <w:vAlign w:val="bottom"/>
            <w:shd w:val="clear" w:color="auto" w:fill="D2DCE5"/>
          </w:tcPr>
          <w:p>
            <w:pPr>
              <w:spacing w:after="0"/>
              <w:rPr>
                <w:sz w:val="19"/>
                <w:szCs w:val="19"/>
                <w:color w:val="auto"/>
              </w:rPr>
            </w:pPr>
          </w:p>
        </w:tc>
      </w:tr>
      <w:tr>
        <w:trPr>
          <w:trHeight w:val="202"/>
        </w:trPr>
        <w:tc>
          <w:tcPr>
            <w:tcW w:w="4000" w:type="dxa"/>
            <w:vAlign w:val="bottom"/>
            <w:gridSpan w:val="2"/>
          </w:tcPr>
          <w:p>
            <w:pPr>
              <w:ind w:left="280"/>
              <w:spacing w:after="0"/>
              <w:rPr>
                <w:sz w:val="20"/>
                <w:szCs w:val="20"/>
                <w:color w:val="auto"/>
              </w:rPr>
            </w:pPr>
            <w:r>
              <w:rPr>
                <w:rFonts w:ascii="Arial" w:cs="Arial" w:eastAsia="Arial" w:hAnsi="Arial"/>
                <w:sz w:val="14"/>
                <w:szCs w:val="14"/>
                <w:color w:val="131E29"/>
              </w:rPr>
              <w:t>Employee-related costs</w:t>
            </w:r>
          </w:p>
        </w:tc>
        <w:tc>
          <w:tcPr>
            <w:tcW w:w="940" w:type="dxa"/>
            <w:vAlign w:val="bottom"/>
          </w:tcPr>
          <w:p>
            <w:pPr>
              <w:jc w:val="right"/>
              <w:spacing w:after="0"/>
              <w:rPr>
                <w:sz w:val="20"/>
                <w:szCs w:val="20"/>
                <w:color w:val="auto"/>
              </w:rPr>
            </w:pPr>
            <w:r>
              <w:rPr>
                <w:rFonts w:ascii="Arial" w:cs="Arial" w:eastAsia="Arial" w:hAnsi="Arial"/>
                <w:sz w:val="14"/>
                <w:szCs w:val="14"/>
                <w:color w:val="131E29"/>
              </w:rPr>
              <w:t>(3,998)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(1.2)</w:t>
            </w:r>
          </w:p>
        </w:tc>
        <w:tc>
          <w:tcPr>
            <w:tcW w:w="80" w:type="dxa"/>
            <w:vAlign w:val="bottom"/>
          </w:tcPr>
          <w:p>
            <w:pPr>
              <w:spacing w:after="0"/>
              <w:rPr>
                <w:sz w:val="17"/>
                <w:szCs w:val="17"/>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(13,287)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(1.4)</w:t>
            </w:r>
          </w:p>
        </w:tc>
        <w:tc>
          <w:tcPr>
            <w:tcW w:w="80" w:type="dxa"/>
            <w:vAlign w:val="bottom"/>
          </w:tcPr>
          <w:p>
            <w:pPr>
              <w:spacing w:after="0"/>
              <w:rPr>
                <w:sz w:val="17"/>
                <w:szCs w:val="17"/>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131E29"/>
              </w:rPr>
              <w:t>—</w:t>
            </w:r>
          </w:p>
        </w:tc>
        <w:tc>
          <w:tcPr>
            <w:tcW w:w="5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40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Other costs</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(193)</w:t>
            </w:r>
          </w:p>
        </w:tc>
        <w:tc>
          <w:tcPr>
            <w:tcW w:w="80" w:type="dxa"/>
            <w:vAlign w:val="bottom"/>
            <w:shd w:val="clear" w:color="auto" w:fill="D2DCE5"/>
          </w:tcPr>
          <w:p>
            <w:pPr>
              <w:spacing w:after="0"/>
              <w:rPr>
                <w:sz w:val="19"/>
                <w:szCs w:val="19"/>
                <w:color w:val="auto"/>
              </w:rPr>
            </w:pPr>
          </w:p>
        </w:tc>
        <w:tc>
          <w:tcPr>
            <w:tcW w:w="160" w:type="dxa"/>
            <w:vAlign w:val="bottom"/>
            <w:tcBorders>
              <w:bottom w:val="single" w:sz="8" w:color="auto"/>
            </w:tcBorders>
            <w:shd w:val="clear" w:color="auto" w:fill="D2DCE5"/>
          </w:tcPr>
          <w:p>
            <w:pPr>
              <w:spacing w:after="0"/>
              <w:rPr>
                <w:sz w:val="19"/>
                <w:szCs w:val="19"/>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220" w:type="dxa"/>
            <w:vAlign w:val="bottom"/>
            <w:tcBorders>
              <w:bottom w:val="single" w:sz="8" w:color="auto"/>
            </w:tcBorders>
            <w:shd w:val="clear" w:color="auto" w:fill="D2DCE5"/>
          </w:tcPr>
          <w:p>
            <w:pPr>
              <w:spacing w:after="0"/>
              <w:rPr>
                <w:sz w:val="19"/>
                <w:szCs w:val="19"/>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(223)</w:t>
            </w:r>
          </w:p>
        </w:tc>
        <w:tc>
          <w:tcPr>
            <w:tcW w:w="80" w:type="dxa"/>
            <w:vAlign w:val="bottom"/>
            <w:shd w:val="clear" w:color="auto" w:fill="D2DCE5"/>
          </w:tcPr>
          <w:p>
            <w:pPr>
              <w:spacing w:after="0"/>
              <w:rPr>
                <w:sz w:val="19"/>
                <w:szCs w:val="19"/>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200" w:type="dxa"/>
            <w:vAlign w:val="bottom"/>
            <w:tcBorders>
              <w:bottom w:val="single" w:sz="8" w:color="auto"/>
            </w:tcBorders>
            <w:shd w:val="clear" w:color="auto" w:fill="D2DCE5"/>
          </w:tcPr>
          <w:p>
            <w:pPr>
              <w:spacing w:after="0"/>
              <w:rPr>
                <w:sz w:val="19"/>
                <w:szCs w:val="19"/>
                <w:color w:val="auto"/>
              </w:rPr>
            </w:pPr>
          </w:p>
        </w:tc>
        <w:tc>
          <w:tcPr>
            <w:tcW w:w="5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93"/>
        </w:trPr>
        <w:tc>
          <w:tcPr>
            <w:tcW w:w="4000" w:type="dxa"/>
            <w:vAlign w:val="bottom"/>
            <w:gridSpan w:val="2"/>
          </w:tcPr>
          <w:p>
            <w:pPr>
              <w:ind w:left="400"/>
              <w:spacing w:after="0"/>
              <w:rPr>
                <w:sz w:val="20"/>
                <w:szCs w:val="20"/>
                <w:color w:val="auto"/>
              </w:rPr>
            </w:pPr>
            <w:r>
              <w:rPr>
                <w:rFonts w:ascii="Arial" w:cs="Arial" w:eastAsia="Arial" w:hAnsi="Arial"/>
                <w:sz w:val="14"/>
                <w:szCs w:val="14"/>
                <w:color w:val="131E29"/>
              </w:rPr>
              <w:t>Total organization realignment and restructuring</w:t>
            </w:r>
          </w:p>
        </w:tc>
        <w:tc>
          <w:tcPr>
            <w:tcW w:w="940" w:type="dxa"/>
            <w:vAlign w:val="bottom"/>
          </w:tcPr>
          <w:p>
            <w:pPr>
              <w:jc w:val="right"/>
              <w:spacing w:after="0"/>
              <w:rPr>
                <w:sz w:val="20"/>
                <w:szCs w:val="20"/>
                <w:color w:val="auto"/>
              </w:rPr>
            </w:pPr>
            <w:r>
              <w:rPr>
                <w:rFonts w:ascii="Arial" w:cs="Arial" w:eastAsia="Arial" w:hAnsi="Arial"/>
                <w:sz w:val="14"/>
                <w:szCs w:val="14"/>
                <w:color w:val="131E29"/>
              </w:rPr>
              <w:t>(4,191)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131E29"/>
              </w:rPr>
              <w:t>(1.3)</w:t>
            </w:r>
          </w:p>
        </w:tc>
        <w:tc>
          <w:tcPr>
            <w:tcW w:w="80" w:type="dxa"/>
            <w:vAlign w:val="bottom"/>
          </w:tcPr>
          <w:p>
            <w:pPr>
              <w:spacing w:after="0"/>
              <w:rPr>
                <w:sz w:val="16"/>
                <w:szCs w:val="16"/>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color w:val="131E29"/>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960" w:type="dxa"/>
            <w:vAlign w:val="bottom"/>
          </w:tcPr>
          <w:p>
            <w:pPr>
              <w:jc w:val="right"/>
              <w:spacing w:after="0"/>
              <w:rPr>
                <w:sz w:val="20"/>
                <w:szCs w:val="20"/>
                <w:color w:val="auto"/>
              </w:rPr>
            </w:pPr>
            <w:r>
              <w:rPr>
                <w:rFonts w:ascii="Arial" w:cs="Arial" w:eastAsia="Arial" w:hAnsi="Arial"/>
                <w:sz w:val="14"/>
                <w:szCs w:val="14"/>
                <w:color w:val="131E29"/>
              </w:rPr>
              <w:t>(13,510)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(1.4)</w:t>
            </w:r>
          </w:p>
        </w:tc>
        <w:tc>
          <w:tcPr>
            <w:tcW w:w="80" w:type="dxa"/>
            <w:vAlign w:val="bottom"/>
          </w:tcPr>
          <w:p>
            <w:pPr>
              <w:spacing w:after="0"/>
              <w:rPr>
                <w:sz w:val="16"/>
                <w:szCs w:val="16"/>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131E29"/>
              </w:rPr>
              <w:t>—</w:t>
            </w:r>
          </w:p>
        </w:tc>
        <w:tc>
          <w:tcPr>
            <w:tcW w:w="5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37"/>
        </w:trPr>
        <w:tc>
          <w:tcPr>
            <w:tcW w:w="4000" w:type="dxa"/>
            <w:vAlign w:val="bottom"/>
            <w:tcBorders>
              <w:top w:val="single" w:sz="8" w:color="D2DCE5"/>
              <w:bottom w:val="single" w:sz="8" w:color="D2DCE5"/>
            </w:tcBorders>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Adjusted selling, general and administrative</w:t>
            </w:r>
          </w:p>
        </w:tc>
        <w:tc>
          <w:tcPr>
            <w:tcW w:w="94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50,268</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160" w:type="dxa"/>
            <w:vAlign w:val="bottom"/>
            <w:tcBorders>
              <w:top w:val="single" w:sz="8" w:color="auto"/>
              <w:bottom w:val="single" w:sz="8" w:color="auto"/>
            </w:tcBorders>
            <w:shd w:val="clear" w:color="auto" w:fill="D2DCE5"/>
          </w:tcPr>
          <w:p>
            <w:pPr>
              <w:spacing w:after="0"/>
              <w:rPr>
                <w:sz w:val="20"/>
                <w:szCs w:val="20"/>
                <w:color w:val="auto"/>
              </w:rPr>
            </w:pPr>
          </w:p>
        </w:tc>
        <w:tc>
          <w:tcPr>
            <w:tcW w:w="5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14.9</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9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40,154</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220" w:type="dxa"/>
            <w:vAlign w:val="bottom"/>
            <w:tcBorders>
              <w:top w:val="single" w:sz="8" w:color="auto"/>
              <w:bottom w:val="single" w:sz="8" w:color="auto"/>
            </w:tcBorders>
            <w:shd w:val="clear" w:color="auto" w:fill="D2DCE5"/>
          </w:tcPr>
          <w:p>
            <w:pPr>
              <w:spacing w:after="0"/>
              <w:rPr>
                <w:sz w:val="20"/>
                <w:szCs w:val="20"/>
                <w:color w:val="auto"/>
              </w:rPr>
            </w:pPr>
          </w:p>
        </w:tc>
        <w:tc>
          <w:tcPr>
            <w:tcW w:w="52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15.2</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9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138,321</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72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14.7</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9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115,311</w:t>
            </w:r>
          </w:p>
        </w:tc>
        <w:tc>
          <w:tcPr>
            <w:tcW w:w="80" w:type="dxa"/>
            <w:vAlign w:val="bottom"/>
            <w:tcBorders>
              <w:top w:val="single" w:sz="8" w:color="D2DCE5"/>
              <w:bottom w:val="single" w:sz="8" w:color="D2DCE5"/>
            </w:tcBorders>
            <w:shd w:val="clear" w:color="auto" w:fill="D2DCE5"/>
          </w:tcPr>
          <w:p>
            <w:pPr>
              <w:spacing w:after="0"/>
              <w:rPr>
                <w:sz w:val="20"/>
                <w:szCs w:val="20"/>
                <w:color w:val="auto"/>
              </w:rPr>
            </w:pPr>
          </w:p>
        </w:tc>
        <w:tc>
          <w:tcPr>
            <w:tcW w:w="200" w:type="dxa"/>
            <w:vAlign w:val="bottom"/>
            <w:tcBorders>
              <w:top w:val="single" w:sz="8" w:color="auto"/>
              <w:bottom w:val="single" w:sz="8" w:color="auto"/>
            </w:tcBorders>
            <w:shd w:val="clear" w:color="auto" w:fill="D2DCE5"/>
          </w:tcPr>
          <w:p>
            <w:pPr>
              <w:spacing w:after="0"/>
              <w:rPr>
                <w:sz w:val="20"/>
                <w:szCs w:val="20"/>
                <w:color w:val="auto"/>
              </w:rPr>
            </w:pPr>
          </w:p>
        </w:tc>
        <w:tc>
          <w:tcPr>
            <w:tcW w:w="52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16.2</w:t>
            </w:r>
          </w:p>
        </w:tc>
      </w:tr>
      <w:tr>
        <w:trPr>
          <w:trHeight w:val="20"/>
        </w:trPr>
        <w:tc>
          <w:tcPr>
            <w:tcW w:w="39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bottom w:val="single" w:sz="8" w:color="auto"/>
            </w:tcBorders>
          </w:tcPr>
          <w:p>
            <w:pPr>
              <w:spacing w:after="0" w:line="20" w:lineRule="exact"/>
              <w:rPr>
                <w:sz w:val="1"/>
                <w:szCs w:val="1"/>
                <w:color w:val="auto"/>
              </w:rPr>
            </w:pPr>
          </w:p>
        </w:tc>
        <w:tc>
          <w:tcPr>
            <w:tcW w:w="5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5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3. 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Commodity Risks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Labor Costs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have experienced minimum wage increases, which directly affect our labor costs, and other upward pressure on wage rates in several states, including in California beginning in April 2024. In the future, we may or may not be able to offset these cost increases with operational efficiencies, menu price increases, or other adjustments. As of September 30, 2024, we employed approximately 17,000 hourly workers in our company-operated shops.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Interest Rate Risk</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September 30, 2024, we had no revolving loans outstanding, and $237.8 million was outstanding on our term loan facilities. A hypothetical increase of interest rates up to 1% on our outstanding term loan as of September 30, 2024 would result in an increase in our annual interest expense of approximately $2.4 million, excluding any potential impacts of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Inflation</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Evaluation of Disclosure Controls and Procedures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of September 30, 2024,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Changes in Internal Control over Financial Reporting</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There have been no changes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 LEGAL PROCEEDINGS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Please refer to NOTE 15 — Commitments and Contingencies under the heading “Legal Proceedings”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1A. 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Summary of Risk Factors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spacing w:after="0" w:line="155"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Evolving consumer preferences and tastes or changes in consumer spending may adversely affect our business.</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35" w:lineRule="exact"/>
        <w:rPr>
          <w:rFonts w:ascii="Arial" w:cs="Arial" w:eastAsia="Arial" w:hAnsi="Arial"/>
          <w:sz w:val="14"/>
          <w:szCs w:val="14"/>
          <w:color w:val="131E29"/>
        </w:rPr>
      </w:pPr>
    </w:p>
    <w:p>
      <w:pPr>
        <w:jc w:val="both"/>
        <w:ind w:left="260" w:hanging="255"/>
        <w:spacing w:after="0" w:line="271"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48"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Our failure to manage our growth effectively could harm our business and operating results.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Our inability to identify, recruit, and retain qualified individuals for our shops could slow our growth and adversely impact our ability to operate.</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Our shops are geographically concentrated in the Western United States, and we could be negatively affected by conditions specific to that region.</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35"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35"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Our success depends substantially on the value of our brand and failure to preserve its value could have a negative impact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60" w:hanging="255"/>
        <w:spacing w:after="0" w:line="271"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48"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Changes in the availability of and the cost of labor could harm our business.</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Our culture has contributed to our success, and if we cannot maintain this culture as we grow, we could lose the high employee engagement fostered by our culture, which could harm our business.</w:t>
      </w:r>
    </w:p>
    <w:p>
      <w:pPr>
        <w:spacing w:after="0" w:line="35" w:lineRule="exact"/>
        <w:rPr>
          <w:rFonts w:ascii="Arial" w:cs="Arial" w:eastAsia="Arial" w:hAnsi="Arial"/>
          <w:sz w:val="14"/>
          <w:szCs w:val="14"/>
          <w:color w:val="131E29"/>
        </w:rPr>
      </w:pPr>
    </w:p>
    <w:p>
      <w:pPr>
        <w:ind w:left="260" w:hanging="255"/>
        <w:spacing w:after="0"/>
        <w:tabs>
          <w:tab w:leader="none" w:pos="260"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Our Co-Founder continues to have significant influence over us, which could limit your ability to influence the outcome of matters submitted to stockholders for a vote.</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35"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Our growth strategy depends in part on opening new shops in existing and new markets. We may be unsuccessful in opening new shops or establishing new markets, which could adversely affect our growth.</w:t>
      </w:r>
    </w:p>
    <w:p>
      <w:pPr>
        <w:spacing w:after="0" w:line="35"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35" w:lineRule="exact"/>
        <w:rPr>
          <w:rFonts w:ascii="Arial" w:cs="Arial" w:eastAsia="Arial" w:hAnsi="Arial"/>
          <w:sz w:val="14"/>
          <w:szCs w:val="14"/>
          <w:color w:val="131E29"/>
        </w:rPr>
      </w:pPr>
    </w:p>
    <w:p>
      <w:pPr>
        <w:jc w:val="both"/>
        <w:ind w:left="260" w:hanging="255"/>
        <w:spacing w:after="0" w:line="271" w:lineRule="auto"/>
        <w:tabs>
          <w:tab w:leader="none" w:pos="256" w:val="left"/>
        </w:tabs>
        <w:numPr>
          <w:ilvl w:val="0"/>
          <w:numId w:val="34"/>
        </w:numPr>
        <w:rPr>
          <w:rFonts w:ascii="Arial" w:cs="Arial" w:eastAsia="Arial" w:hAnsi="Arial"/>
          <w:sz w:val="14"/>
          <w:szCs w:val="14"/>
          <w:color w:val="131E29"/>
        </w:rPr>
      </w:pPr>
      <w:r>
        <w:rPr>
          <w:rFonts w:ascii="Arial" w:cs="Arial" w:eastAsia="Arial" w:hAnsi="Arial"/>
          <w:sz w:val="14"/>
          <w:szCs w:val="14"/>
          <w:color w:val="131E29"/>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 Factors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131E29"/>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2023 Form 10-K, are set forth below and are unchanged substantively as of the date of this filing, except for those risks designated by an asterisk (*).</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Evolving consumer preferences and tastes or changes in consumer spending may adversely affect our business.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We may not be successful in introducing new products or new features to our mobile application that are adopted by our customers. Experimentation with and implementation of innovations in products and technologies may result in inefficiencies, such as a slowdown in our shop operations and traffic flow, disruption of workflows, technical glitches, disruption of current systems and technology, and negative customer experiences.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*Our financial condition and results of operations are subject to, and may be adversely affected by, a number of factors, many of which are also largely outside our control.</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91"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increases in real estate or labor costs in certain markets, which we have recently experienced;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changes in consumer preferences;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disruptions in our supply chain;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the impact of shortages or inflation on our cost of goods or labor, including construction labor, which we have recently seen;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changes in governmental laws and rules, including those regarding minimum wage, and approaches to taxation;</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5"/>
        </w:numPr>
        <w:rPr>
          <w:rFonts w:ascii="Arial" w:cs="Arial" w:eastAsia="Arial" w:hAnsi="Arial"/>
          <w:sz w:val="14"/>
          <w:szCs w:val="14"/>
          <w:color w:val="131E29"/>
        </w:rPr>
      </w:pPr>
      <w:r>
        <w:rPr>
          <w:rFonts w:ascii="Arial" w:cs="Arial" w:eastAsia="Arial" w:hAnsi="Arial"/>
          <w:sz w:val="14"/>
          <w:szCs w:val="14"/>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60" w:hanging="255"/>
        <w:spacing w:after="0" w:line="271" w:lineRule="auto"/>
        <w:tabs>
          <w:tab w:leader="none" w:pos="256" w:val="left"/>
        </w:tabs>
        <w:numPr>
          <w:ilvl w:val="0"/>
          <w:numId w:val="36"/>
        </w:numPr>
        <w:rPr>
          <w:rFonts w:ascii="Arial" w:cs="Arial" w:eastAsia="Arial" w:hAnsi="Arial"/>
          <w:sz w:val="14"/>
          <w:szCs w:val="14"/>
          <w:color w:val="131E29"/>
        </w:rPr>
      </w:pPr>
      <w:r>
        <w:rPr>
          <w:rFonts w:ascii="Arial" w:cs="Arial" w:eastAsia="Arial" w:hAnsi="Arial"/>
          <w:sz w:val="14"/>
          <w:szCs w:val="14"/>
          <w:color w:val="131E29"/>
        </w:rPr>
        <w:t>labor discord or disruption, geopolitical events, social unrest, war, including repercussions of the war between Russia and Ukraine or the war between Israel and Hamas and the related risk of a larger regional conflict, terrorism, political instability or uncertainty, including the US presidential election, acts of public violence, boycotts, hostilities and social unrest, or resurgence of or new epidemics; and</w:t>
      </w:r>
    </w:p>
    <w:p>
      <w:pPr>
        <w:spacing w:after="0" w:line="48" w:lineRule="exact"/>
        <w:rPr>
          <w:rFonts w:ascii="Arial" w:cs="Arial" w:eastAsia="Arial" w:hAnsi="Arial"/>
          <w:sz w:val="14"/>
          <w:szCs w:val="14"/>
          <w:color w:val="131E29"/>
        </w:rPr>
      </w:pPr>
    </w:p>
    <w:p>
      <w:pPr>
        <w:ind w:left="260" w:hanging="255"/>
        <w:spacing w:after="0"/>
        <w:tabs>
          <w:tab w:leader="none" w:pos="260" w:val="left"/>
        </w:tabs>
        <w:numPr>
          <w:ilvl w:val="0"/>
          <w:numId w:val="36"/>
        </w:numPr>
        <w:rPr>
          <w:rFonts w:ascii="Arial" w:cs="Arial" w:eastAsia="Arial" w:hAnsi="Arial"/>
          <w:sz w:val="14"/>
          <w:szCs w:val="14"/>
          <w:color w:val="131E29"/>
        </w:rPr>
      </w:pPr>
      <w:r>
        <w:rPr>
          <w:rFonts w:ascii="Arial" w:cs="Arial" w:eastAsia="Arial" w:hAnsi="Arial"/>
          <w:sz w:val="14"/>
          <w:szCs w:val="14"/>
          <w:color w:val="131E29"/>
        </w:rPr>
        <w:t>adverse outcomes of litigation.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marketing programs may not be successful, and our new menu items and advertising campaigns may not generate increased revenues or profits.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incur costs and expend resources in our marketing efforts on new menu items and advertising campaigns to raise brand awareness and attract and retain customers. For example, we engaged in 2023 in new marketing efforts, including “Fill-a-Tray” promotions.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CosMc’s,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Certain markets may limit the number of drive-thru businesses operating within their geographic region, which could negatively affect our ability to grow into those markets. Some of our competitors have substantially greater financial and other resources to devote to innovation in products, technology, and market and consumer data analytics, including integration, use, or offering of new technologies, including artificial intelligence. We may be unable to offer new or innovative products and technologies to our customers that are offered by our competitors, or there may be a delay in our ability to innovate or implement new technologies. Any of these competitive factors may harm our business.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strategic initiatives and growth strategy may be unsuccessful which could adversely affect our business and financial results.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of September 30, 2024, Dutch Bros had 950 shops across 18 states, of which 645 were company-operated and 305 were franchised. One of the key means to achieving our growth strategy will be through opening new shops and operating those shops on a profitable basis. During the nine months ended September 30, 2024, we opened 103 new company-operated shops, across 15 states. Our ability to open new shops is dependent upon a number of factors, many of which are beyond our control, including our and our franchise partners’ ability to:</w:t>
      </w:r>
    </w:p>
    <w:p>
      <w:pPr>
        <w:spacing w:after="0" w:line="95"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identify available and suitable sites, specifically for drive-thru locations;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compete for such sites;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reach acceptable agreements regarding the lease of locations;</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obtain or have available the financing required to acquire and operate a shop, including construction and opening costs, which includes access to build-to-suit leases and ground lease construction arrangements;</w:t>
      </w:r>
    </w:p>
    <w:p>
      <w:pPr>
        <w:spacing w:after="0" w:line="35" w:lineRule="exact"/>
        <w:rPr>
          <w:rFonts w:ascii="Arial" w:cs="Arial" w:eastAsia="Arial" w:hAnsi="Arial"/>
          <w:sz w:val="14"/>
          <w:szCs w:val="14"/>
          <w:color w:val="131E29"/>
        </w:rPr>
      </w:pPr>
    </w:p>
    <w:p>
      <w:pPr>
        <w:ind w:left="260" w:hanging="255"/>
        <w:spacing w:after="0"/>
        <w:tabs>
          <w:tab w:leader="none" w:pos="260"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respond to unforeseen engineering or environmental problems with leased premises;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avoid the impact of inclement weather, natural disasters, and other calamities;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hire, train, and retain the skilled management and other employees necessary to meet staffing needs;</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w:t>
      </w:r>
    </w:p>
    <w:p>
      <w:pPr>
        <w:spacing w:after="0" w:line="35" w:lineRule="exact"/>
        <w:rPr>
          <w:rFonts w:ascii="Arial" w:cs="Arial" w:eastAsia="Arial" w:hAnsi="Arial"/>
          <w:sz w:val="14"/>
          <w:szCs w:val="14"/>
          <w:color w:val="131E29"/>
        </w:rPr>
      </w:pPr>
    </w:p>
    <w:p>
      <w:pPr>
        <w:ind w:left="260" w:hanging="255"/>
        <w:spacing w:after="0" w:line="265" w:lineRule="auto"/>
        <w:tabs>
          <w:tab w:leader="none" w:pos="256" w:val="left"/>
        </w:tabs>
        <w:numPr>
          <w:ilvl w:val="0"/>
          <w:numId w:val="37"/>
        </w:numPr>
        <w:rPr>
          <w:rFonts w:ascii="Arial" w:cs="Arial" w:eastAsia="Arial" w:hAnsi="Arial"/>
          <w:sz w:val="14"/>
          <w:szCs w:val="14"/>
          <w:color w:val="131E29"/>
        </w:rPr>
      </w:pPr>
      <w:r>
        <w:rPr>
          <w:rFonts w:ascii="Arial" w:cs="Arial" w:eastAsia="Arial" w:hAnsi="Arial"/>
          <w:sz w:val="14"/>
          <w:szCs w:val="14"/>
          <w:color w:val="131E29"/>
        </w:rPr>
        <w:t>control construction and equipment cost increases for new shops and secure the services of qualified contractors and subcontractors in an increasingly competitive environment.</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part of our longer-term growth strategy, we expect to continue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w:t>
      </w:r>
    </w:p>
    <w:p>
      <w:pPr>
        <w:spacing w:after="0" w:line="95"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consumer awareness and understanding of the Dutch Bros brand;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general economic conditions, such as inflation, which can affect shop traffic, local labor costs, and prices we pay for the beverage and other supplies we use;</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consumption patterns and beverage preferences that differ from region to region;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changes in consumer preferences and discretionary spending, which we have seen impacted recently by factors such as inflation;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difficulties obtaining or maintaining adequate relationships with distributors or suppliers in new markets;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increases or continued elevation in prices for commodities, including coffee, milk, and flavored syrups;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inefficiency in our labor costs as the staff gains experience;</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competition, either from our competitors in the food service and restaurant industry or our own shops;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temporary and permanent site characteristics of new shops;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changes in government regulation;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our ability to hire, motivate, and retain qualified employees who share our values; 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8"/>
        </w:numPr>
        <w:rPr>
          <w:rFonts w:ascii="Arial" w:cs="Arial" w:eastAsia="Arial" w:hAnsi="Arial"/>
          <w:sz w:val="14"/>
          <w:szCs w:val="14"/>
          <w:color w:val="131E29"/>
        </w:rPr>
      </w:pPr>
      <w:r>
        <w:rPr>
          <w:rFonts w:ascii="Arial" w:cs="Arial" w:eastAsia="Arial" w:hAnsi="Arial"/>
          <w:sz w:val="14"/>
          <w:szCs w:val="14"/>
          <w:color w:val="131E29"/>
        </w:rPr>
        <w:t>other unanticipated increases in costs, including costs of construction materials and trade labor, any of which could give rise to delays or cost overruns.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If our new shops do not perform as planned or close, our business and future prospects could be harmed. In addition, an inability to achieve our expected average shop revenue could harm our business.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Additionally, opening new shops in existing markets may negatively impact sales at our, and our franchise partners’, existing shops.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 significant in the future as we continue to expand our operations, and we expect it will have an impact on our sales growth, which could, in turn, harm our business.</w:t>
      </w: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failure to manage our growth effectively could harm our business and operating results.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In January 2024, we announced shifting approximately 40% of our total support staff to our Phoenix, Arizona office by January 1, 2025. In connection with our reorganization, we experienced increased turnover of support staff employees unable or unwilling to relocate to Arizona and may see further increased turnover in our support functions, which could potentially lead to inefficiencies, such as operational delays or disruptions and increased labor costs. In addition, increased turnover of support staff employees could make it difficult to retain other employees necessary to maintain an effective system of internal controls, including internal control over financial reporting, and timely file periodic reports with the SEC.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*Damage to our brand or reputation or negative publicity could negatively impact our business.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may, from time to time, be faced with negative publicity, including on social media,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related parties, such as our Co-Founder, and their reputation, public perception, or actions, whether or not related to Dutch Bros;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Additionally, social media platforms and similar devices, including blogs, social media websites and other forms of internet-based communications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Such platforms could be used for or result in polarizing campaigns or movements involving our brand. Information posted may be adverse to our interests or may be inaccurate, each of which may harm our performance, prospects, or business. The harm may be immediate without affording us an opportunity for redress or correction.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131E29"/>
        </w:rPr>
        <w:t>Ultimately, the risks associated with any such negative publicity or incorrect information cannot be completely eliminated or mitigated and may harm our business.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3" w:name="page64"/>
    <w:bookmarkEnd w:id="6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inability to identify, recruit, and retain qualified individuals for our shops could slow our growth and adversely impact our ability to operate.</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are subject to the risks associated with leasing space subject to long-term non-cancelable leases and, with respect to the real property that we own, owning real estate.</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operating results and growth strategies are closely tied to the success of our franchise partners and we have limited control with respect to their operations.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Additionally, our franchise partners’ interests may conflict or diverge with our interests in the future, which could have a negative impact on our business.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September 30, 2024, approximately 32%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While we are responsible for ensuring the success of our entire system of shops and for taking a longer-term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5" w:name="page66"/>
    <w:bookmarkEnd w:id="6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 are geographically concentrated in the Western United States, and we could be negatively affected by conditions specific to that region.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As of September 30, 2024, our company-operated and franchised shops in the Western United States represent approximately 70%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operating at full capacity,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Additionally, most of our beverages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27% of our systemwide net sales in the nine months ended September 30, 2024.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6" w:name="page67"/>
    <w:bookmarkEnd w:id="6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sustain our growth, and it may negatively affect our business and profitability. Finding acceptable replacements or substitutes may require trial and error that could cause losses or delays. If construction and building materials are not of the quality or durability we typically require, this may lead to increased maintenance costs or even business interruption for necessary repairs or replacements in the future. If we are unable to locate sufficient building or construction materials, or to successfully scale our construction and new shop opening operations, we may not be able to achieve our stated growth objectives.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in 2022, and has remained elevated, including during the nine months ended September 30, 2024.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also purchase significant amounts of dairy products, particularly milk, to support the needs of our shops. For example, in 2022, there were material increases in dairy costs and such dairy costs remained elevated through, and increased further in, the third quarter of 2024. If dairy costs further increase, this could harm our business. Additionally, and although less significant to our operations than coffee or dairy, other commodities, including but not limited to cocoa, plant-based “milks,” tea, sugar, syrups, energy and packaging material, such as plastics, corrugate, and canning materials, are important to our operations, and may be subject to increased costs, which could negatively impact our margins. For example, the cost of sugar increased significantly in 2022, 2023, and through the third quarter of 2024, and the cost of cocoa significantly increased in the first half of 2024 and remained elevated through the third quarter of 2024.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7" w:name="page68"/>
    <w:bookmarkEnd w:id="6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in 2022, we believe fluctuating increases in gas prices negatively impacted consumer discretionary spending, particularly in the Western United States where such increases were relatively higher and where our shops are geographically concentrated.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If we fail to offer high-quality customer experience, our business and reputation will suffer.</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continuous growth and expansion have placed, and may continue to place, significant demands on our management and our operational and financial resources.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8" w:name="page69"/>
    <w:bookmarkEnd w:id="6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have a limited history of operating with a dispersed workforce and the long-term impact on our financial results and business operations are uncertain.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January 2024, we announced shifting approximately 40% of our total support staff to our Phoenix, Arizona office by January 1, 2025. In addition, effective September 3, 2024, all employees who are not classified as remote were required to begin working in-person at either our Grants Pass or Pheonix offices at least four days a week. Our management and support functions are now working out of multiple offices and, in some cases, continuing to work remotely.</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have a limited history of operating with a dispersed workforce and the impact on our financial results and business operations remains uncertain, particularly in the near term. Additionally, there is no guarantee that we will realize any anticipated benefits to our business from our in-person and remote workforce, such as any cost savings or operational efficiencies.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ongoing return to in-person work in-office and maintenance of a dispersed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as more of our employees utilize network connections outside our premises or network, including working at home, while in transit, and in public locations.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006098"/>
        </w:rPr>
        <w:t>*We are increasingly dependent on information technology and our ability to process data in order to operate and sell our products, and if we (or the third parties with whom we work) are unable to protect against software and hardware vulnerabilities, service interruptions, data corruption, cyber-based attacks, ransomware, fraud, or security breaches, or if we (or the third parties with whom we work)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9" w:name="page70"/>
    <w:bookmarkEnd w:id="6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(and those of the third parties with whom we work)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market, produce, sell, and distribute our products.</w:t>
      </w: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artificial intelligence,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rely upon third parties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with whom we work supply chains have not been compromised.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we take steps designed to detect, mitigate, and remediate vulnerabilities in our information systems (such as our hardware or software and those of the third parties with whom we work). We may not, however, detect and remediate all such vulnerabilities, including on a timely basis.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0" w:name="page71"/>
    <w:bookmarkEnd w:id="7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Vulnerabilities could be exploited and result in a security incident. We expect similar issues to arise in the future as the Dutch Rewards mobile app is more widely adopted, and as we continue to expand the features and functionality of the Dutch Rewards mobile app.</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Any of the previously identified or similar threats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with whom we work).</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Additionally, Sensitive Information of the Company or our customers could be leaked, disclosed, or revealed as a result of or in connection with our employees’, personnel’s, or vendors’ use of generative artificial intelligence (“AI”) technologies.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Applicable data privacy and security obligations may require us, or we may voluntarily choose, to notify relevant stakeholders of security incidents including affected individuals, customers, regulators, and investors. Such disclosures are costly, and the disclosure or the failure to comply with such requirements could lead to adverse consequences. If we or a third party with whom we work experiences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Sensitive Information, a diversion of management’s time and attention, and significant fines, penalties, assessments, fees and expenses.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1" w:name="page72"/>
    <w:bookmarkEnd w:id="7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Pandemics or disease outbreaks have had, and may continue to have, an effect on our business and results of operations.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Pandemics or disease outbreaks, such as the COVID-19 pandemic, have impacted and may continue to impact customer traffic at our Dutch Bros shops and may make it more difficult to staff our shops and, in more severe cases, may cause a temporary inability to obtain supplies and may increase commodity costs. The extent of the impact of pandemics or disease outbreaks on our business, operations, and development timelines and plans will depend on the specifics of any particular pandemic or disease outbreak that cannot be predicted at this time.</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operations have been, and may continue to be, disrupted when employees or employees of our franchise partners are suspected of having a communicable disease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success is heavily reliant on our franchise partners and another pandemic may cause financial distress for certain franchise partners that have been or will be impacted, such as those partners who were negatively impacted by the COVID-19 pandemic. As a result of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While we have developed and continue to develop plans to help mitigate the potential negative impact of a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COVID-19 or any other widespread epidemics will not occur, or that the global economy will recover to pre-pandemic levels, either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2" w:name="page73"/>
    <w:bookmarkEnd w:id="7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*Unstable market and economic conditions may have serious adverse consequences on our business and financial condition.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global credit and financial markets have experienced extreme volatility and disruptions (including as a result of the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and the war between Israel and Hamas, terrorism, or other geopolitical events, including the US presidential election.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Brand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success depends substantially on the value of our brand and failure to preserve its value could have a negative impact on our financial results.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3" w:name="page74"/>
    <w:bookmarkEnd w:id="7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Our corporate reputation could suffer from negative publicity or consumer sentiment regarding our charitable giving practices, campaigns, and marketing around such campaigns, including any change to our charitable giving practices or long-standing giveback days (“Drink One for Dane,” “Dutch Luv,” and “Buck for Kids”). We empower our operators and franchise partners to create their own local, shop-specific giveback programs within their communities. If the recipient of discretionary donations is subject to negative publicity or consumer sentiment, Dutch Bros could experience the same.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*The increased public and government focus on environmental, social, and corporate governance (ESG) matters or our reporting of such matters could negatively impact our business.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There has been an increased public focus, including from the United States federal and state governments, on ESG matters, including with respect to climate change, greenhouse gases, water resources, packaging and waste, animal health and welfare, deforestation, and land use. We are working to manage the risks and costs to us, our franchise partners and our supply chain associated with these types of ESG matters, however, there is no assurance that such efforts will result in the intended effective management of such risks and costs. In addition, as the result of such heightened public focus on ESG matters, we may face increased pressure to provide expanded disclosure, make or expand commitments, set targets, or establish additional goals and take actions to meet such goals, in connection with such ESG matters. For example, the state of California recently enacted Senate Bill 253 and Senate Bill 261, as amended by Senate Bill 219, referred to as the Climate Accountability Package, which requires certain companies doing business in California to report on various ESG matters, including greenhouse gas emissions. These matters and our efforts to address them could expose us to market, operational, reputational, and execution costs or risks.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As ESG best practices and reporting standards continue to develop, we may incur increasing costs relating to ESG monitoring and reporting and complying with ESG initiatives. For example, California recently enacted Assembly Bill 1305 (AB 1305). AB 1305 creates new annual disclosure requirements regarding substantiation of certain climate-related statements, and, if we report these types of climate-related statements in the future, could increase our compliance and reporting costs. Additionally, the SEC recently adopted rules designed to enhance and standardize climate-related disclosures, which have been stayed pending judicial review. If these rules or other climate-related disclosure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4" w:name="page75"/>
    <w:bookmarkEnd w:id="7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5" w:name="page76"/>
    <w:bookmarkEnd w:id="7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rules governing electronic funds transfers, including the Payment Card Industry Data Security Standard (PCI DSS)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that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0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 -fraud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7" w:name="page78"/>
    <w:bookmarkEnd w:id="7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People and Culture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Changes in the availability of and the cost of labor could harm our business.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Assembly Bill 1228 in California, which created a minimum wage of $20 per hour for fast food workers, effective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typically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or if such increase is delayed, this is likely to result in lower revenue, and may also reduce margins.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to which we expand.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Changing conditions beyond our control could affect the desirability of working in our shops, such as increases in extreme heat or cold, wildfire smoke, and other extreme weather events that make working outdoors or in a limited space more difficult.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8" w:name="page79"/>
    <w:bookmarkEnd w:id="7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In January 2024, our prior Chief Executive Officer, Joth Ricci, transitioned and Christine Barone was appointed as our Chief Executive Officer. In addition, in April 2024, Brian Maxwell transitioned from the role of our Chief Operating Officer to the newly created role of Vice Chair, and Sumi Ghosh was appointed President of Operations, and in May 2024, our prior Chief Financial Officer, Charley Jemley, transitioned into the role of Strategic Advisor and Joshua Guenser was appointed as our Chief Financial Officer. Changes in our executive management team may also cause disruptions in, and harm to, our business. The loss of one or more of our executive officers or key employees could harm our business.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In January 2024, we announced shifting approximately 40% of our total support staff to our Phoenix, Arizona office by January 1, 2025, which may create additional challenges maintaining our corporate culture. As we continue to develop and expand across the United States, we will need to maintain our culture among a larger number of employees dispersed in various geographic regions. Any failure to preserve our company culture could negatively affect our future success, including our ability to retain and recruit personnel, and result in a loss of customer loyalty.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Unionization activities may disrupt our operations and affect our profitability.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9" w:name="page80"/>
    <w:bookmarkEnd w:id="7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Regulation and Litigation</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wage and hour laws, among others, could potentially impact our operations and financial results.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97"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4"/>
          <w:szCs w:val="14"/>
          <w:color w:val="131E29"/>
        </w:rPr>
      </w:pPr>
      <w:r>
        <w:rPr>
          <w:rFonts w:ascii="Arial" w:cs="Arial" w:eastAsia="Arial" w:hAnsi="Arial"/>
          <w:sz w:val="14"/>
          <w:szCs w:val="14"/>
          <w:color w:val="131E29"/>
        </w:rPr>
        <w:t>changes in the valuation of our deferred tax assets and liabilities;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9"/>
        </w:numPr>
        <w:rPr>
          <w:rFonts w:ascii="Arial" w:cs="Arial" w:eastAsia="Arial" w:hAnsi="Arial"/>
          <w:sz w:val="14"/>
          <w:szCs w:val="14"/>
          <w:color w:val="131E29"/>
        </w:rPr>
      </w:pPr>
      <w:r>
        <w:rPr>
          <w:rFonts w:ascii="Arial" w:cs="Arial" w:eastAsia="Arial" w:hAnsi="Arial"/>
          <w:sz w:val="14"/>
          <w:szCs w:val="14"/>
          <w:color w:val="131E29"/>
        </w:rPr>
        <w:t>expected timing and amount of the release of any tax valuation allowance;</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39"/>
        </w:numPr>
        <w:rPr>
          <w:rFonts w:ascii="Arial" w:cs="Arial" w:eastAsia="Arial" w:hAnsi="Arial"/>
          <w:sz w:val="14"/>
          <w:szCs w:val="14"/>
          <w:color w:val="131E29"/>
        </w:rPr>
      </w:pPr>
      <w:r>
        <w:rPr>
          <w:rFonts w:ascii="Arial" w:cs="Arial" w:eastAsia="Arial" w:hAnsi="Arial"/>
          <w:sz w:val="14"/>
          <w:szCs w:val="14"/>
          <w:color w:val="131E29"/>
        </w:rPr>
        <w:t>changes in tax laws, regulations, or interpretations thereof; or</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9"/>
        </w:numPr>
        <w:rPr>
          <w:rFonts w:ascii="Arial" w:cs="Arial" w:eastAsia="Arial" w:hAnsi="Arial"/>
          <w:sz w:val="14"/>
          <w:szCs w:val="14"/>
          <w:color w:val="131E29"/>
        </w:rPr>
      </w:pPr>
      <w:r>
        <w:rPr>
          <w:rFonts w:ascii="Arial" w:cs="Arial" w:eastAsia="Arial" w:hAnsi="Arial"/>
          <w:sz w:val="14"/>
          <w:szCs w:val="14"/>
          <w:color w:val="131E29"/>
        </w:rPr>
        <w:t>future earnings being lower than anticipated in jurisdictions where we have lower statutory tax rates and higher than anticipated earnings in jurisdictions where we have higher statutory tax rates.</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0" w:name="page81"/>
    <w:bookmarkEnd w:id="8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subject to many federal, state, and local laws with which compliance is both costly and complex.</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*We (and the third parties with whom we work) are subject to stringent and changing laws, regulations, industry standards, contractual obligations, policies, and other obligations related to data privacy and security. The actual or perceived failure by us or the third parties with whom we work to comply with such obligations, may harm our business, financial condition and results of operations, and prospects.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the third parties with whom we work.</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the third parties with whom we work.</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In the past few years, numerous states in the United States—including California, Virginia, Colorado, Connecticut, Oregon, New Hampshire,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laws also impose stricter requirements for processing certain personal information, including sensitive personal data, such as data protection impact assessments. These state laws allow for statutory fines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2" w:name="page83"/>
    <w:bookmarkEnd w:id="8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CCPA provides for fines of up to $7,500 per intentional violation and allows private litigants affected by certain data breaches to seek to recover potentially significant statutory damages. In addition, other data privacy and security laws have been proposed at the federal, state, and local levels in recent years, which could further complicate compliance efforts. We expect additional comprehensive privacy laws to be enacted.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the PCI DSS can result in penalties ranging from $5,000 to $100,000 per month by credit card companies, litigation, damage to our reputation, and revenue losses. We may also rely on third parties to process payment card data, and those third parties may be subject to PCI DSS. Our business may be negatively affected if these third parties are fined or suffer other consequences as a result of PCI DSS noncompliance (or perceived noncompliance).</w:t>
      </w:r>
    </w:p>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Furthermore, we rely on a variety of marketing techniques and practices, including email and social media marketing, online targeted advertising, and cookie-based Processing, to sell our products and services and to attract new customers. We, and the third parties with whom we work,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Additionally,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employees and personnel may use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3" w:name="page84"/>
    <w:bookmarkEnd w:id="8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may at times fail to comply with applicable data privacy and security obligations, or may be perceived to have failed to do so. Moreover, despite our efforts, we may not be successful in achieving compliance if our employees, partners, or other third parties with whom we work do not comply with applicable data privacy and security obligations.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information; and orders to destroy or not use personal information.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Additionally, governmental authorities may adopt broad standards for determining when two or more entities may be deemed joint employers of the same employees. For example, the National Labor Relations Board passed a rule in October 2023, broadening the standards applicable to establishing a joint employer relationship and Congress has a legislation proposal in process that could shift more liability for franchise partner employment practices onto franchisors. The federal PRO Act would codify the Browning-Ferris decision that redefined joint employment to include a broader category of conduct by the franchisor. If the proposed or similar laws or rules come into effect, it could increase the possibility of Dutch Bros being held liable for our franchise partners’ employment practices.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4" w:name="page85"/>
    <w:bookmarkEnd w:id="8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15 — Commitments and Contingencies to the condensed consolidated financial statements, included elsewhere in this Form 10-Q for more information. While all claims in the above-described putative class action lawsuit were dismissed by the court with prejudice,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 even if such lawsuits may ultimately be decided in our favor.</w:t>
      </w:r>
    </w:p>
    <w:p>
      <w:pPr>
        <w:spacing w:after="0" w:line="2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5" w:name="page86"/>
    <w:bookmarkEnd w:id="8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Government regulation and customer consumption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cannot make any assurances regarding our ability to effectively respond to changes in customer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Organizational Structure</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economic interest in Dutch Bros OpCo will increase over time as the Continuing Members redeem or exchange their Dutch Bros OpCo Class A common units for shares of Class A common stock or cash, and, accordingly, Dutch Bros Inc.’s allocable share of Dutch Bros OpCo’s net taxable income is expected to increase over time.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OpCo LLC Agreement generally requires Dutch Bros OpCo to make pro rata cash distributions to the holders of Dutch Bros OpCo Class A common units, including Dutch Bros Inc., in amounts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or its subsidiaries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Dutch Bros OpCo’s ability to make distributions to Dutch Bros Inc.</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In certain circumstances, such excess cash could cause the value of a share of Class A common stock to be deemed to increase relative to the value of a Dutch Bros OpCo Class A common unit, and if actions are not taken to address this issue the Continuing Members could benefit disproportionately from any additional value of a share of Class A common stock attributable to such cash if they exercise their redemption or exchange rights.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Distributions required under the OpCo LLC Agreement from Dutch Bros OpCo to Dutch Bros Inc. may in certain periods exceed Dutch Bros Inc.’s liabilities, including tax liabilities, obligations to make payments under the Tax Receivable Agreements, and other expenses. Dutch Bros Inc.’s board of directors will, subject to applicable restrictions in any contract or agreement, including debt agreements, or any applicable law, determine from time to time the use of any such cash in excess of its liabilities so accumulated, which may include, among other uses, holding such cash balance in Dutch Bros Inc., purchasing additional Class A common units, lending such cash to Dutch Bros OpCo for operations, or using such cash to pay dividends on its Class A common stock. Dutch Bros Inc. has no obligation to distribute such cash to its stockholders and may be restricted from making such distributions to its stockholders. See “Restrictions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7" w:name="page88"/>
    <w:bookmarkEnd w:id="8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If future cash distributions from Dutch Bros OpCo exceed Dutch Bros Inc.’s liabilities and Dutch Bros Inc. retains such excess cash balance, the shares of Class A common stock may be deemed to increase in value relative to the Dutch Bros OpCo Class A common units. If there is an increase in the relative value of a share of Class A common stock, Continuing Members could be viewed as disproportionately benefiting because the OpCo LLC Agreement and our certificate of incorporation provide that each Dutch Bros OpCo Class A common unit may be redeemed or exchanged for one share Class A common stock. For example, Continuing Members could disproportionately benefit in instances where they have received a tax distribution from Dutch Bros OpCo and subsequently redeem or exchange Dutch Bros OpCo Class A common units for shares of Class A common stock on a one-to-one basis when the value of the Class A common stock is increased relative to the Dutch Bros OpCo Class A common units as a result of Dutch Bros Inc. retaining any cash distribution from Dutch Bros OpCo in excess of Dutch Bros Inc.’s liabilities. If Dutch Bros Inc. retains such excess cash, we may implement measures to mitigate any arguable disproportionate benefits to Continuing Members and to maintain the equal value of Dutch Bros OpCo Class A common units relative to the shares of Class A common stock into which they are exchangeable. Such measures may require consent from Continuing Members, amendment to the OpCo LLC Agreement or our amended and restated certificate of incorporation or approvals required under our governing documents, third-party agreements, including our debt agreements, or applicable law. No assurance can be given that we will be able to obtain the required consents or approvals or that we will be able to maintain the equal value of Dutch Bros OpCo Class A common units and corresponding shares of Class A common stock at all times. To the extent we are unable to fully eliminate any value disparity, our Continuing Members may arguably disproportionately benefit if they acquire shares of Class A common stock in redemption or exchange of their Dutch Bros OpCo Class A common units.</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8" w:name="page89"/>
    <w:bookmarkEnd w:id="8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9" w:name="page90"/>
    <w:bookmarkEnd w:id="8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27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0" w:name="page91"/>
    <w:bookmarkEnd w:id="9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1" w:name="page92"/>
    <w:bookmarkEnd w:id="9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Ownership of Our Class A Common Stock</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*Additional stock issuances (including pursuant to the redemption or exchange of Dutch Bros OpCo Class A common units from our Continuing Members) could result in significant dilution to our stockholders and cause the trading price of our Class A common stock to decline.</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 common units from our Continuing Members). Any such issuances could result in substantial dilution to our existing stockholders and cause the trading price of our Class A common stock to decline.</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particular, following the issuance of shares of Class A common stock in connection with the redemption or exchange of Dutch Bros OpCo Class A common units from our Continuing Members (together with the cancellation of any shares of our Class B common stock or Class C common stock paired with such units), such shares of Class A common stock will have the same economic rights as other shares of Class A common stock. For example, in each of February, March, and June 2024, we facilitated a registered underwritten public offering of shares of our Class A common stock by our Sponsor. In connection with such offerings, our Sponsor exchanged an aggregate of approximately 19 million Dutch Bros OpCo Class A common units and converted an aggregate of approximately 6 million shares of our Class D common stock for approximately 25 million shares of our Class A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trading price of our Class A common stock may be volatile, and you could lose all or part of your investment.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91"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price and volume fluctuations in the overall stock market from time to time;</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volatility in the trading prices and trading volumes of competitors’ stocks;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changes in operating performance and stock market valuations of other companies generally, or those in our industry in particular;</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sales of shares of our Class A common stock by us or our stockholders, including the Continuing Members;</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failure of securities analysts to maintain coverage of us, changes in financial estimates by securities analysts who follow our company, or our failure to meet these estimates or the expectations of investors;</w:t>
      </w:r>
    </w:p>
    <w:p>
      <w:pPr>
        <w:spacing w:after="0" w:line="35" w:lineRule="exact"/>
        <w:rPr>
          <w:rFonts w:ascii="Arial" w:cs="Arial" w:eastAsia="Arial" w:hAnsi="Arial"/>
          <w:sz w:val="14"/>
          <w:szCs w:val="14"/>
          <w:color w:val="131E29"/>
        </w:rPr>
      </w:pPr>
    </w:p>
    <w:p>
      <w:pPr>
        <w:jc w:val="both"/>
        <w:ind w:left="260" w:hanging="255"/>
        <w:spacing w:after="0" w:line="271" w:lineRule="auto"/>
        <w:tabs>
          <w:tab w:leader="none" w:pos="256"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48"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announcements by us or our competitors of new products or services;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the public’s reaction to our press releases, other public announcements, and filings with the SEC;</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rumors and market speculation involving us or other companies in our industry;</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actual or anticipated changes in our results of operations or fluctuations in our results of operations;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0"/>
        </w:numPr>
        <w:rPr>
          <w:rFonts w:ascii="Arial" w:cs="Arial" w:eastAsia="Arial" w:hAnsi="Arial"/>
          <w:sz w:val="14"/>
          <w:szCs w:val="14"/>
          <w:color w:val="131E29"/>
        </w:rPr>
      </w:pPr>
      <w:r>
        <w:rPr>
          <w:rFonts w:ascii="Arial" w:cs="Arial" w:eastAsia="Arial" w:hAnsi="Arial"/>
          <w:sz w:val="14"/>
          <w:szCs w:val="14"/>
          <w:color w:val="131E29"/>
        </w:rPr>
        <w:t>actual or anticipated developments in our business, our competitors’ businesses, or the competitive landscape generally;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2" w:name="page93"/>
    <w:bookmarkEnd w:id="9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litigation involving us, our industry or both, or investigations by regulators into our operations or those of our competitors;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actual or perceived privacy or data security incidents;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developments or disputes concerning our intellectual property or other proprietary rights;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announced or completed acquisitions of businesses, franchises or other assets by us or our competitors;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new laws or regulations or new interpretations of existing laws or regulations applicable to our business;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changes in accounting standards, policies, guidelines, interpretations or principles;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any significant change in our management; 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1"/>
        </w:numPr>
        <w:rPr>
          <w:rFonts w:ascii="Arial" w:cs="Arial" w:eastAsia="Arial" w:hAnsi="Arial"/>
          <w:sz w:val="14"/>
          <w:szCs w:val="14"/>
          <w:color w:val="131E29"/>
        </w:rPr>
      </w:pPr>
      <w:r>
        <w:rPr>
          <w:rFonts w:ascii="Arial" w:cs="Arial" w:eastAsia="Arial" w:hAnsi="Arial"/>
          <w:sz w:val="14"/>
          <w:szCs w:val="14"/>
          <w:color w:val="131E29"/>
        </w:rPr>
        <w:t>general political and economic conditions and slow or negative growth of our markets.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15</w:t>
      </w:r>
    </w:p>
    <w:p>
      <w:pPr>
        <w:spacing w:after="0" w:line="269" w:lineRule="auto"/>
        <w:rPr>
          <w:sz w:val="20"/>
          <w:szCs w:val="20"/>
          <w:color w:val="auto"/>
        </w:rPr>
      </w:pPr>
      <w:r>
        <w:rPr>
          <w:rFonts w:ascii="Arial" w:cs="Arial" w:eastAsia="Arial" w:hAnsi="Arial"/>
          <w:sz w:val="14"/>
          <w:szCs w:val="14"/>
          <w:color w:val="131E29"/>
        </w:rPr>
        <w:t>— Commitments and Contingencies to the condensed consolidated financial statements, included elsewhere in this Form 10-Q for more information. This litigation, and other litigation, if instituted against us, could result in substantial costs and a diversion of our management’s attention and resources.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multi-class structure of our common stock has the effect of concentrating voting control with our Co-Founder, limiting your ability to influence corporate matters.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Each share of our Class A common stock entitles its holder to one vote on all matters on which stockholders are entitled to vote generally. Our shares of Class B common stock have no economic rights but each share entitles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Prior to the Secondary Offering in June 2024, our shares of Class C common stock and Class D common stock entitled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As a result of the Secondary Offering in June 2024, the aggregate number of outstanding shares of our Class C common stock and Class D common stock represent less than 5% of the total outstanding shares of common stock. All of the outstanding shares of Class D common stock were converted into an equal number of shares of Class A common stock in June 2024 and there are no shares of Class D common stock outstanding. Pursuant to our amended and restated certificate of incorporation, our board of directors fixed September 30, 2024 as the date the number of votes per share of the remaining outstanding shares of Class C common stock was reduced to one vote per share. Our shares of Class C common stock have no economic rights. All of our Class C common stock are held by certain Continuing Members affiliated with our Sponsor.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3" w:name="page94"/>
    <w:bookmarkEnd w:id="9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to have value. Because of the ten-to-one voting ratio between our Class B common stock, on the one hand, and our Class A common stock on the other hand, our Co-Founder, as the holder of all of our Class B common stock, will continue to control a majority of the combined voting power of our common stock and therefore be able to control all matters submitted to our stockholders so long as the shares held by our Co-Founder collectively represent at least a majority of the total voting power. This concentrated control will limit or preclude the ability of holders of Class A common stock to influence corporate matters for the foreseeable future.</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006098"/>
        </w:rPr>
        <w:t>*Our Co-Founder continues to have significant influence over us, which could limit your ability to influence the outcome of matters submitted to stockholders for a vote.</w:t>
      </w: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As of September 30, 2024, our Co-Founder beneficially owned approximately 73.2% of the combined voting power of our Class A common stock, Class B common stock, and Class C common stock (as of September 30, 2024, no Class D common stock was outstanding). Each share of Class A common stock entitles the holder to one vote and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Thus, our Co-Founder exercises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It is possible that our Co-Founder’s interests may not align with the interests of our other stockholders.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Co-Founder owned approximately 32.9% of the Dutch Bros OpCo Class A common units as of September 30, 2024. Because he holds some of his ownership interest in our business directly in Dutch Bros OpCo, rather than through Dutch Bros Inc., our Co-Founder may have conflicting interests with holders of shares of our Class A common stock. For example, if Dutch Bros OpCo makes distributions to Dutch Bros Inc.,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Our Co-Founder may also have different tax positions from Dutch Bros Inc. that could influence his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4" w:name="page95"/>
    <w:bookmarkEnd w:id="9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of September 30, 2024, our Co-Founder beneficially owned approximately 73.2% of the combined voting power of our Class A common stock, Class B common stock, and Class C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95"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4"/>
          <w:szCs w:val="14"/>
          <w:color w:val="131E29"/>
        </w:rPr>
      </w:pPr>
      <w:r>
        <w:rPr>
          <w:rFonts w:ascii="Arial" w:cs="Arial" w:eastAsia="Arial" w:hAnsi="Arial"/>
          <w:sz w:val="14"/>
          <w:szCs w:val="14"/>
          <w:color w:val="131E29"/>
        </w:rPr>
        <w:t>a board that is composed of a majority of “independent directors,” as defined under the New York Stock Exchange rules;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3"/>
        </w:numPr>
        <w:rPr>
          <w:rFonts w:ascii="Arial" w:cs="Arial" w:eastAsia="Arial" w:hAnsi="Arial"/>
          <w:sz w:val="14"/>
          <w:szCs w:val="14"/>
          <w:color w:val="131E29"/>
        </w:rPr>
      </w:pPr>
      <w:r>
        <w:rPr>
          <w:rFonts w:ascii="Arial" w:cs="Arial" w:eastAsia="Arial" w:hAnsi="Arial"/>
          <w:sz w:val="14"/>
          <w:szCs w:val="14"/>
          <w:color w:val="131E29"/>
        </w:rPr>
        <w:t>a compensation committee that is composed entirely of independent directors; and</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3"/>
        </w:numPr>
        <w:rPr>
          <w:rFonts w:ascii="Arial" w:cs="Arial" w:eastAsia="Arial" w:hAnsi="Arial"/>
          <w:sz w:val="14"/>
          <w:szCs w:val="14"/>
          <w:color w:val="131E29"/>
        </w:rPr>
      </w:pPr>
      <w:r>
        <w:rPr>
          <w:rFonts w:ascii="Arial" w:cs="Arial" w:eastAsia="Arial" w:hAnsi="Arial"/>
          <w:sz w:val="14"/>
          <w:szCs w:val="14"/>
          <w:color w:val="131E29"/>
        </w:rPr>
        <w:t>director nominations be made, or recommended to the full board of directors, by its independent directors, or by a nominations/governance committee that is composed entirely of independent directors.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Certain of our directors have in the past and may in the future have relationships with our Sponsor, which may cause conflicts of interest with respect to our business.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Certain of our directors have in the past been, and may in the future be, affiliated with our Sponsor. Such Sponsor-affiliated directors have fiduciary duties to us and, in addition, have duties to our Sponsor. As a result, such a director may face real or apparent conflicts of interest with respect to matters affecting both us and our Sponsor, whose interests may be adverse to ours in some circumstances.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*Future sales of shares of our Class A common stock could cause the market price of our Class A common stock to decline.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Sales of a substantial number of shares of our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Subject to the terms of the OpCo LLC Agreement, as of September 30, 2024, an aggregate of 63,368,730 Dutch Bros OpCo Class A common units may be redeemed or exchanged for shares of our Class A common stock. Any shares we issue upon redemption or exchange of Dutch Bros OpCo Class A common units will be “restricted securities” as defined in Rule 144 and may not be sold in the absence of registration under the Securities Act of 1933, as amended (Securities Act) unless an exemption from registration is available, including the exemptions contained in Rule 144.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5" w:name="page96"/>
    <w:bookmarkEnd w:id="9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However, all such shares are now eligible for resale in the public market, subject, in the case of shares held by our affiliates, to volume, manner of sale, and other limitations under Rule 144.</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006098"/>
        </w:rPr>
        <w:t>Our trading price and trading volume could decline if securities or industry analysts do not publish research about our business, or if they publish unfavorable research.</w:t>
      </w:r>
    </w:p>
    <w:p>
      <w:pPr>
        <w:spacing w:after="0" w:line="2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General Risks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results may fluctuate significantly and may not meet our expectations or those of investors or securities analysts.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91" w:lineRule="exact"/>
        <w:rPr>
          <w:sz w:val="20"/>
          <w:szCs w:val="20"/>
          <w:color w:val="auto"/>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changes in consumer tastes and nutritional and dietary trends;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successful identification and acquisition of appropriate sites to timely develop and expand our number of profitable shops;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protection of our brand and reputation;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dependence on a small number of suppliers, including for roasting;</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expectations regarding our future operating and financial performance;</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the size of our addressable markets, market share, and market trends;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effective management and continued growth of our workforce and operations;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our ability to attract, retain, and motivate skilled personnel, including key members of our senior management;</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generation of projected same shop sales growth;</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the sufficiency of our cash, cash equivalents, and investments to meet our liquidity needs;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dependence on long-term non-cancelable leases;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our employees and the status of our workers;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our inability to maintain good relationships with our franchising partners;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the timing and amount of deferred expenses related to the maintenance of company-operated shops;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the effects of seasonal trends on our results of operations;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our vulnerability to global financial market conditions, including the continuing effects from the recent recession;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adverse weather conditions in local or regional areas where our shops are located; 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4"/>
        </w:numPr>
        <w:rPr>
          <w:rFonts w:ascii="Arial" w:cs="Arial" w:eastAsia="Arial" w:hAnsi="Arial"/>
          <w:sz w:val="14"/>
          <w:szCs w:val="14"/>
          <w:color w:val="131E29"/>
        </w:rPr>
      </w:pPr>
      <w:r>
        <w:rPr>
          <w:rFonts w:ascii="Arial" w:cs="Arial" w:eastAsia="Arial" w:hAnsi="Arial"/>
          <w:sz w:val="14"/>
          <w:szCs w:val="14"/>
          <w:color w:val="131E29"/>
        </w:rPr>
        <w:t>our realization of any benefit from our organizational structure net of expenses associated with the same (including our obligations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6" w:name="page97"/>
    <w:bookmarkEnd w:id="9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Any one or more of the factors above may result in significant fluctuations in our results of operations, which may negatively impact the trading price of our Class A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You should not rely on our past results as an indicator of our future performance.</w:t>
      </w:r>
    </w:p>
    <w:p>
      <w:pPr>
        <w:spacing w:after="0" w:line="12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64"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As of September 30, 2024, we had $237.8 million outstanding under our term loan facility. In addition, subject to certain restrictions under the 2022 Credit Facility, we may incur additional debt.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131E29"/>
        </w:rPr>
        <w:t>Our debt could have important consequences to you, including the following:</w:t>
      </w:r>
    </w:p>
    <w:p>
      <w:pPr>
        <w:spacing w:after="0" w:line="136" w:lineRule="exact"/>
        <w:rPr>
          <w:sz w:val="20"/>
          <w:szCs w:val="20"/>
          <w:color w:val="auto"/>
        </w:rPr>
      </w:pPr>
    </w:p>
    <w:p>
      <w:pPr>
        <w:ind w:left="260" w:hanging="255"/>
        <w:spacing w:after="0" w:line="290"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it may be difficult for us to satisfy our obligations, including debt service requirements under our outstanding debt, resulting in possible defaults on and acceleration of such indebtedness;</w:t>
      </w:r>
    </w:p>
    <w:p>
      <w:pPr>
        <w:spacing w:after="0" w:line="35"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we may need to issue additional Class A common stock to fund the repayment of our debt, which would result in additional dilution to existing investors and may cause our stock price to decline;</w:t>
      </w:r>
    </w:p>
    <w:p>
      <w:pPr>
        <w:spacing w:after="0" w:line="35" w:lineRule="exact"/>
        <w:rPr>
          <w:rFonts w:ascii="Arial" w:cs="Arial" w:eastAsia="Arial" w:hAnsi="Arial"/>
          <w:sz w:val="14"/>
          <w:szCs w:val="14"/>
          <w:color w:val="131E29"/>
        </w:rPr>
      </w:pPr>
    </w:p>
    <w:p>
      <w:pPr>
        <w:ind w:left="260" w:hanging="255"/>
        <w:spacing w:after="0"/>
        <w:tabs>
          <w:tab w:leader="none" w:pos="260"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our ability to obtain additional financing for working capital, capital expenditures, debt service requirements, or other general corporate purposes may be impaired;</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35" w:lineRule="exact"/>
        <w:rPr>
          <w:rFonts w:ascii="Arial" w:cs="Arial" w:eastAsia="Arial" w:hAnsi="Arial"/>
          <w:sz w:val="14"/>
          <w:szCs w:val="14"/>
          <w:color w:val="131E29"/>
        </w:rPr>
      </w:pPr>
    </w:p>
    <w:p>
      <w:pPr>
        <w:ind w:left="260" w:hanging="255"/>
        <w:spacing w:after="0"/>
        <w:tabs>
          <w:tab w:leader="none" w:pos="260"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we are more vulnerable to economic downturns and adverse industry conditions and our flexibility to plan for, or react to, changes in our business or industry is more limited;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our ability to capitalize on business opportunities and to react to competitive pressures, as compared to our competitors, may be compromised due to our level of debt; 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5"/>
        </w:numPr>
        <w:rPr>
          <w:rFonts w:ascii="Arial" w:cs="Arial" w:eastAsia="Arial" w:hAnsi="Arial"/>
          <w:sz w:val="14"/>
          <w:szCs w:val="14"/>
          <w:color w:val="131E29"/>
        </w:rPr>
      </w:pPr>
      <w:r>
        <w:rPr>
          <w:rFonts w:ascii="Arial" w:cs="Arial" w:eastAsia="Arial" w:hAnsi="Arial"/>
          <w:sz w:val="14"/>
          <w:szCs w:val="14"/>
          <w:color w:val="131E29"/>
        </w:rPr>
        <w:t>our ability to borrow additional funds or to refinance debt may be limited.</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Furthermore, all of our debt under our 2022 Credit Facility bears interest at variable rates, which may increase from time to time.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131E29"/>
        </w:rPr>
        <w:t>The covenants under our 2022 Credit Facility restrict our ability, among other things, to:</w:t>
      </w:r>
    </w:p>
    <w:p>
      <w:pPr>
        <w:spacing w:after="0" w:line="136"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incur additional debt;</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grant liens on assets;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sell or dispose of assets;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merge with or acquire other companies, or make other investments;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enter into sale and leaseback transactions and swap agreements;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liquidate or dissolve ourselves;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engage in businesses that are not in a related line of business; or</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pay dividends or make other distributions.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7" w:name="page98"/>
    <w:bookmarkEnd w:id="9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For example, our 2022 Credit Facility generally requires that any tax distributions received by Dutch Bros Inc. that exceed its actual tax liability and operating expenses generally must be reinvested into Dutch Bros OpCo, which restricts our ability to distribute such cash to our stockholders or to retain such cash in Dutch Bros Inc. for other uses.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As a result of these restrictions, we may be:</w:t>
      </w:r>
    </w:p>
    <w:p>
      <w:pPr>
        <w:spacing w:after="0" w:line="136" w:lineRule="exact"/>
        <w:rPr>
          <w:sz w:val="20"/>
          <w:szCs w:val="20"/>
          <w:color w:val="auto"/>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limited in how we conduct our business;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unable to raise additional debt or equity financing to operate during general economic or business downturns; or</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unable to compete effectively or to take advantage of new business opportunities.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These restrictions may affect our ability to grow in accordance with our strategy.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vulnerable to interest rate risk with respect to our debt, and swap agreements entered into to manage such risk may not effectively limit our exposure.</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8" w:name="page99"/>
    <w:bookmarkEnd w:id="9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In connection with the audit of our consolidated financial statements as of and for the year ended December 31, 2022, our management and auditors determined that material weaknesses existed in the internal control over financial reporting because we did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Although we have implemented measures designed to improve our internal control over financial reporting and remediated these material weaknesses, we cannot assure you that the measures we have taken to date will be sufficient to avoid potential future material weaknesses.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If we identify new material weaknesses in our internal control over financial reporting, if we are unable to comply with the requirements of Section 404 of the Sarbanes-Oxley Act,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9" w:name="page100"/>
    <w:bookmarkEnd w:id="9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0" w:name="page101"/>
    <w:bookmarkEnd w:id="10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may need additional capital, and we cannot be sure that additional financing will be available.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Prior to our IPO, we financed our operations and capital expenditures primarily through sales of OpCo Units that are convertible into our capital stock and debt financing. Thereafter, we have financed our operations and capital expenditures primarily through the sale of Dutch Bros Inc. Class A common stock and debt financing. For example, in September 2023, we raised additional capital through the sale and issuance of approximately 13.3 million shares of our Class A common stock in an underwritten public offering.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1" w:name="page102"/>
    <w:bookmarkEnd w:id="10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131E29"/>
        </w:rPr>
        <w:t>Our amended and restated certificate of incorporation provides that, unless we consent in writing to the selection of an alternative forum, the Court of Chancery of the State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Delaware is the exclusive forum for the following types of actions or proceedings under Delaware statutory or common law:</w:t>
      </w:r>
    </w:p>
    <w:p>
      <w:pPr>
        <w:spacing w:after="0" w:line="122"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any derivative claim or cause of action brought on our behalf;</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any claim or cause of action for a breach of fiduciary duty owed by any of our current or former directors, officers, or other employees to us or our stockholders;</w:t>
      </w:r>
    </w:p>
    <w:p>
      <w:pPr>
        <w:spacing w:after="0" w:line="93"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35"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35"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any claim or cause of action as to which the Delaware General Corporation Law confers jurisdiction to the Court of Chancery of the State of Delaware; 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governed by the internal affairs doctrine.</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These choices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131E29"/>
        </w:rPr>
        <w:t>Our charter documents also contain other provisions that could have an anti-takeover effect, such as:</w:t>
      </w:r>
    </w:p>
    <w:p>
      <w:pPr>
        <w:spacing w:after="0" w:line="136"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permitting the board of directors to establish the number of directors and fill any vacancies and newly created directorships;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providing that directors may only be removed pursuant to the provisions of Section 141(k) of the Delaware General Corporation Law;</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prohibiting cumulative voting for directors;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requiring super-majority voting to amend some provisions in our amended and restated bylaws;</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authorizing the issuance of “blank check” preferred stock that our board of directors could use to implement a stockholder rights plan;</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eliminating the ability of stockholders to call special meetings of stockholders; and</w:t>
      </w:r>
    </w:p>
    <w:p>
      <w:pPr>
        <w:spacing w:after="0" w:line="93" w:lineRule="exact"/>
        <w:rPr>
          <w:rFonts w:ascii="Arial" w:cs="Arial" w:eastAsia="Arial" w:hAnsi="Arial"/>
          <w:sz w:val="14"/>
          <w:szCs w:val="14"/>
          <w:color w:val="131E29"/>
        </w:rPr>
      </w:pPr>
    </w:p>
    <w:p>
      <w:pPr>
        <w:ind w:left="260" w:hanging="255"/>
        <w:spacing w:after="0"/>
        <w:tabs>
          <w:tab w:leader="none" w:pos="260" w:val="left"/>
        </w:tabs>
        <w:numPr>
          <w:ilvl w:val="0"/>
          <w:numId w:val="49"/>
        </w:numPr>
        <w:rPr>
          <w:rFonts w:ascii="Arial" w:cs="Arial" w:eastAsia="Arial" w:hAnsi="Arial"/>
          <w:sz w:val="14"/>
          <w:szCs w:val="14"/>
          <w:color w:val="131E29"/>
        </w:rPr>
      </w:pPr>
      <w:r>
        <w:rPr>
          <w:rFonts w:ascii="Arial" w:cs="Arial" w:eastAsia="Arial" w:hAnsi="Arial"/>
          <w:sz w:val="14"/>
          <w:szCs w:val="14"/>
          <w:color w:val="131E29"/>
        </w:rPr>
        <w:t>our multi-class common stock structure as described above.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Catastrophic events may disrupt our business.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Labor discord or disruption, geopolitical events, social unrest, war, including repercussions of the recent war between Russia and Ukraine and the war between Israel and Hamas, terrorism, political instability, acts of public violence, boycotts, hostilities and social unrest, and other health pandemics that lead to avoidance of public places or cause people to stay at home could harm our business.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3" w:name="page104"/>
    <w:bookmarkEnd w:id="10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Additionally, natural disasters or other catastrophic events may cause damage or disruption to our operations, international commerce, and the global economy, and thus could harm our business. In particular, the west coast wildfires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customers to safely drive to and from our shops, which can be negatively affected by extreme weather. Such extreme weather events may affect traffic to our shops and may have a harmful effect on the local economy, decreasing the demand for our products. For example, we experienced shop closures as a result of hurricanes in Texas and Florida during the third quarter of 2024. In addition, the insurance we maintain would likely not be adequate to cover our losses resulting from disasters or other business interruptions.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Economic and business factors that are largely beyond our control may adversely affect consumer behavior and the results of our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may have a negative effect on consumer confidence and discretionary spending. For example, the federal government provided relief from student loan payments beginning in March 2020, and extended such relief multiple times through September 2023, when loan payments resumed. This and similar governmental acts could have significant impact on consumer discretionary spending. A significant decrease in our customer traffic or average value per transaction without a corresponding decrease in costs would put downward pressure on margins and would negatively impact our financial results.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2. 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purchases of Class A common stock during the three months ended September 30,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131E29"/>
              </w:rPr>
              <w:t>Maximum Number (or Approximate</w:t>
            </w: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700" w:type="dxa"/>
            <w:vAlign w:val="bottom"/>
          </w:tcPr>
          <w:p>
            <w:pPr>
              <w:ind w:left="1060"/>
              <w:spacing w:after="0"/>
              <w:rPr>
                <w:sz w:val="20"/>
                <w:szCs w:val="20"/>
                <w:color w:val="auto"/>
              </w:rPr>
            </w:pPr>
            <w:r>
              <w:rPr>
                <w:rFonts w:ascii="Arial" w:cs="Arial" w:eastAsia="Arial" w:hAnsi="Arial"/>
                <w:sz w:val="14"/>
                <w:szCs w:val="14"/>
                <w:color w:val="131E29"/>
              </w:rPr>
              <w:t>Total Number of Shares</w:t>
            </w:r>
          </w:p>
        </w:tc>
        <w:tc>
          <w:tcPr>
            <w:tcW w:w="160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Arial" w:cs="Arial" w:eastAsia="Arial" w:hAnsi="Arial"/>
                <w:sz w:val="14"/>
                <w:szCs w:val="14"/>
                <w:color w:val="131E29"/>
              </w:rPr>
              <w:t>Total Number of Shares</w:t>
            </w:r>
          </w:p>
        </w:tc>
        <w:tc>
          <w:tcPr>
            <w:tcW w:w="2300" w:type="dxa"/>
            <w:vAlign w:val="bottom"/>
          </w:tcPr>
          <w:p>
            <w:pPr>
              <w:ind w:left="80"/>
              <w:spacing w:after="0"/>
              <w:rPr>
                <w:sz w:val="20"/>
                <w:szCs w:val="20"/>
                <w:color w:val="auto"/>
              </w:rPr>
            </w:pPr>
            <w:r>
              <w:rPr>
                <w:rFonts w:ascii="Arial" w:cs="Arial" w:eastAsia="Arial" w:hAnsi="Arial"/>
                <w:sz w:val="14"/>
                <w:szCs w:val="14"/>
                <w:color w:val="131E29"/>
              </w:rPr>
              <w:t>Dollar Value) of Shares that May</w:t>
            </w:r>
          </w:p>
        </w:tc>
        <w:tc>
          <w:tcPr>
            <w:tcW w:w="0" w:type="dxa"/>
            <w:vAlign w:val="bottom"/>
          </w:tcPr>
          <w:p>
            <w:pPr>
              <w:spacing w:after="0"/>
              <w:rPr>
                <w:sz w:val="1"/>
                <w:szCs w:val="1"/>
                <w:color w:val="auto"/>
              </w:rPr>
            </w:pPr>
          </w:p>
        </w:tc>
      </w:tr>
      <w:tr>
        <w:trPr>
          <w:trHeight w:val="170"/>
        </w:trPr>
        <w:tc>
          <w:tcPr>
            <w:tcW w:w="2560" w:type="dxa"/>
            <w:vAlign w:val="bottom"/>
            <w:vMerge w:val="restart"/>
          </w:tcPr>
          <w:p>
            <w:pPr>
              <w:ind w:left="20"/>
              <w:spacing w:after="0"/>
              <w:rPr>
                <w:sz w:val="20"/>
                <w:szCs w:val="20"/>
                <w:color w:val="auto"/>
              </w:rPr>
            </w:pPr>
            <w:r>
              <w:rPr>
                <w:rFonts w:ascii="Arial" w:cs="Arial" w:eastAsia="Arial" w:hAnsi="Arial"/>
                <w:sz w:val="14"/>
                <w:szCs w:val="14"/>
                <w:color w:val="131E29"/>
              </w:rPr>
              <w:t>Period</w:t>
            </w:r>
          </w:p>
        </w:tc>
        <w:tc>
          <w:tcPr>
            <w:tcW w:w="2700" w:type="dxa"/>
            <w:vAlign w:val="bottom"/>
          </w:tcPr>
          <w:p>
            <w:pPr>
              <w:ind w:left="1060"/>
              <w:spacing w:after="0" w:line="170" w:lineRule="exact"/>
              <w:rPr>
                <w:sz w:val="20"/>
                <w:szCs w:val="20"/>
                <w:color w:val="auto"/>
              </w:rPr>
            </w:pPr>
            <w:r>
              <w:rPr>
                <w:rFonts w:ascii="Arial" w:cs="Arial" w:eastAsia="Arial" w:hAnsi="Arial"/>
                <w:sz w:val="14"/>
                <w:szCs w:val="14"/>
                <w:color w:val="131E29"/>
              </w:rPr>
              <w:t xml:space="preserve">Purchased </w:t>
            </w:r>
            <w:r>
              <w:rPr>
                <w:rFonts w:ascii="Arial" w:cs="Arial" w:eastAsia="Arial" w:hAnsi="Arial"/>
                <w:sz w:val="18"/>
                <w:szCs w:val="18"/>
                <w:color w:val="131E29"/>
                <w:vertAlign w:val="superscript"/>
              </w:rPr>
              <w:t>1</w:t>
            </w:r>
          </w:p>
        </w:tc>
        <w:tc>
          <w:tcPr>
            <w:tcW w:w="1600" w:type="dxa"/>
            <w:vAlign w:val="bottom"/>
          </w:tcPr>
          <w:p>
            <w:pPr>
              <w:ind w:left="160"/>
              <w:spacing w:after="0"/>
              <w:rPr>
                <w:sz w:val="20"/>
                <w:szCs w:val="20"/>
                <w:color w:val="auto"/>
              </w:rPr>
            </w:pPr>
            <w:r>
              <w:rPr>
                <w:rFonts w:ascii="Arial" w:cs="Arial" w:eastAsia="Arial" w:hAnsi="Arial"/>
                <w:sz w:val="14"/>
                <w:szCs w:val="14"/>
                <w:color w:val="131E29"/>
              </w:rPr>
              <w:t>Weighted-Average</w:t>
            </w:r>
          </w:p>
        </w:tc>
        <w:tc>
          <w:tcPr>
            <w:tcW w:w="2120" w:type="dxa"/>
            <w:vAlign w:val="bottom"/>
          </w:tcPr>
          <w:p>
            <w:pPr>
              <w:ind w:left="100"/>
              <w:spacing w:after="0"/>
              <w:rPr>
                <w:sz w:val="20"/>
                <w:szCs w:val="20"/>
                <w:color w:val="auto"/>
              </w:rPr>
            </w:pPr>
            <w:r>
              <w:rPr>
                <w:rFonts w:ascii="Arial" w:cs="Arial" w:eastAsia="Arial" w:hAnsi="Arial"/>
                <w:sz w:val="14"/>
                <w:szCs w:val="14"/>
                <w:color w:val="131E29"/>
              </w:rPr>
              <w:t>Purchased as Part of Publicly</w:t>
            </w:r>
          </w:p>
        </w:tc>
        <w:tc>
          <w:tcPr>
            <w:tcW w:w="2300" w:type="dxa"/>
            <w:vAlign w:val="bottom"/>
          </w:tcPr>
          <w:p>
            <w:pPr>
              <w:jc w:val="center"/>
              <w:spacing w:after="0"/>
              <w:rPr>
                <w:sz w:val="20"/>
                <w:szCs w:val="20"/>
                <w:color w:val="auto"/>
              </w:rPr>
            </w:pPr>
            <w:r>
              <w:rPr>
                <w:rFonts w:ascii="Arial" w:cs="Arial" w:eastAsia="Arial" w:hAnsi="Arial"/>
                <w:sz w:val="14"/>
                <w:szCs w:val="14"/>
                <w:color w:val="131E29"/>
              </w:rPr>
              <w:t>Yet Be Purchased Under the Plans</w:t>
            </w:r>
          </w:p>
        </w:tc>
        <w:tc>
          <w:tcPr>
            <w:tcW w:w="0" w:type="dxa"/>
            <w:vAlign w:val="bottom"/>
          </w:tcPr>
          <w:p>
            <w:pPr>
              <w:spacing w:after="0"/>
              <w:rPr>
                <w:sz w:val="1"/>
                <w:szCs w:val="1"/>
                <w:color w:val="auto"/>
              </w:rPr>
            </w:pPr>
          </w:p>
        </w:tc>
      </w:tr>
      <w:tr>
        <w:trPr>
          <w:trHeight w:val="188"/>
        </w:trPr>
        <w:tc>
          <w:tcPr>
            <w:tcW w:w="2560" w:type="dxa"/>
            <w:vAlign w:val="bottom"/>
            <w:tcBorders>
              <w:bottom w:val="single" w:sz="8" w:color="131E29"/>
            </w:tcBorders>
            <w:vMerge w:val="continue"/>
          </w:tcPr>
          <w:p>
            <w:pPr>
              <w:spacing w:after="0"/>
              <w:rPr>
                <w:sz w:val="16"/>
                <w:szCs w:val="16"/>
                <w:color w:val="auto"/>
              </w:rPr>
            </w:pPr>
          </w:p>
        </w:tc>
        <w:tc>
          <w:tcPr>
            <w:tcW w:w="2700" w:type="dxa"/>
            <w:vAlign w:val="bottom"/>
            <w:tcBorders>
              <w:bottom w:val="single" w:sz="8" w:color="131E29"/>
            </w:tcBorders>
          </w:tcPr>
          <w:p>
            <w:pPr>
              <w:spacing w:after="0"/>
              <w:rPr>
                <w:sz w:val="16"/>
                <w:szCs w:val="16"/>
                <w:color w:val="auto"/>
              </w:rPr>
            </w:pPr>
          </w:p>
        </w:tc>
        <w:tc>
          <w:tcPr>
            <w:tcW w:w="1600" w:type="dxa"/>
            <w:vAlign w:val="bottom"/>
            <w:tcBorders>
              <w:bottom w:val="single" w:sz="8" w:color="131E29"/>
            </w:tcBorders>
          </w:tcPr>
          <w:p>
            <w:pPr>
              <w:ind w:left="160"/>
              <w:spacing w:after="0"/>
              <w:rPr>
                <w:sz w:val="20"/>
                <w:szCs w:val="20"/>
                <w:color w:val="auto"/>
              </w:rPr>
            </w:pPr>
            <w:r>
              <w:rPr>
                <w:rFonts w:ascii="Arial" w:cs="Arial" w:eastAsia="Arial" w:hAnsi="Arial"/>
                <w:sz w:val="14"/>
                <w:szCs w:val="14"/>
                <w:color w:val="131E29"/>
              </w:rPr>
              <w:t>Price Paid Per Share</w:t>
            </w:r>
          </w:p>
        </w:tc>
        <w:tc>
          <w:tcPr>
            <w:tcW w:w="2120" w:type="dxa"/>
            <w:vAlign w:val="bottom"/>
            <w:tcBorders>
              <w:bottom w:val="single" w:sz="8" w:color="131E29"/>
            </w:tcBorders>
          </w:tcPr>
          <w:p>
            <w:pPr>
              <w:ind w:left="100"/>
              <w:spacing w:after="0"/>
              <w:rPr>
                <w:sz w:val="20"/>
                <w:szCs w:val="20"/>
                <w:color w:val="auto"/>
              </w:rPr>
            </w:pPr>
            <w:r>
              <w:rPr>
                <w:rFonts w:ascii="Arial" w:cs="Arial" w:eastAsia="Arial" w:hAnsi="Arial"/>
                <w:sz w:val="14"/>
                <w:szCs w:val="14"/>
                <w:color w:val="131E29"/>
              </w:rPr>
              <w:t>Announced Plans or Programs</w:t>
            </w:r>
          </w:p>
        </w:tc>
        <w:tc>
          <w:tcPr>
            <w:tcW w:w="2300" w:type="dxa"/>
            <w:vAlign w:val="bottom"/>
            <w:tcBorders>
              <w:bottom w:val="single" w:sz="8" w:color="131E29"/>
            </w:tcBorders>
          </w:tcPr>
          <w:p>
            <w:pPr>
              <w:ind w:left="80"/>
              <w:spacing w:after="0"/>
              <w:rPr>
                <w:sz w:val="20"/>
                <w:szCs w:val="20"/>
                <w:color w:val="auto"/>
              </w:rPr>
            </w:pPr>
            <w:r>
              <w:rPr>
                <w:rFonts w:ascii="Arial" w:cs="Arial" w:eastAsia="Arial" w:hAnsi="Arial"/>
                <w:sz w:val="14"/>
                <w:szCs w:val="14"/>
                <w:color w:val="131E29"/>
              </w:rPr>
              <w:t>or Programs</w:t>
            </w:r>
          </w:p>
        </w:tc>
        <w:tc>
          <w:tcPr>
            <w:tcW w:w="0" w:type="dxa"/>
            <w:vAlign w:val="bottom"/>
          </w:tcPr>
          <w:p>
            <w:pPr>
              <w:spacing w:after="0"/>
              <w:rPr>
                <w:sz w:val="1"/>
                <w:szCs w:val="1"/>
                <w:color w:val="auto"/>
              </w:rPr>
            </w:pPr>
          </w:p>
        </w:tc>
      </w:tr>
      <w:tr>
        <w:trPr>
          <w:trHeight w:val="205"/>
        </w:trPr>
        <w:tc>
          <w:tcPr>
            <w:tcW w:w="256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July 1 - 31, 2024</w:t>
            </w:r>
          </w:p>
        </w:tc>
        <w:tc>
          <w:tcPr>
            <w:tcW w:w="2700" w:type="dxa"/>
            <w:vAlign w:val="bottom"/>
            <w:shd w:val="clear" w:color="auto" w:fill="D2DCE5"/>
          </w:tcPr>
          <w:p>
            <w:pPr>
              <w:jc w:val="center"/>
              <w:ind w:left="1029"/>
              <w:spacing w:after="0"/>
              <w:rPr>
                <w:sz w:val="20"/>
                <w:szCs w:val="20"/>
                <w:color w:val="auto"/>
              </w:rPr>
            </w:pPr>
            <w:r>
              <w:rPr>
                <w:rFonts w:ascii="Arial" w:cs="Arial" w:eastAsia="Arial" w:hAnsi="Arial"/>
                <w:sz w:val="14"/>
                <w:szCs w:val="14"/>
                <w:color w:val="131E29"/>
              </w:rPr>
              <w:t>1,350</w:t>
            </w:r>
          </w:p>
        </w:tc>
        <w:tc>
          <w:tcPr>
            <w:tcW w:w="1600" w:type="dxa"/>
            <w:vAlign w:val="bottom"/>
            <w:shd w:val="clear" w:color="auto" w:fill="D2DCE5"/>
          </w:tcPr>
          <w:p>
            <w:pPr>
              <w:jc w:val="center"/>
              <w:ind w:left="89"/>
              <w:spacing w:after="0"/>
              <w:rPr>
                <w:sz w:val="20"/>
                <w:szCs w:val="20"/>
                <w:color w:val="auto"/>
              </w:rPr>
            </w:pPr>
            <w:r>
              <w:rPr>
                <w:rFonts w:ascii="Arial" w:cs="Arial" w:eastAsia="Arial" w:hAnsi="Arial"/>
                <w:sz w:val="14"/>
                <w:szCs w:val="14"/>
                <w:color w:val="131E29"/>
              </w:rPr>
              <w:t>$41.85</w:t>
            </w:r>
          </w:p>
        </w:tc>
        <w:tc>
          <w:tcPr>
            <w:tcW w:w="2120" w:type="dxa"/>
            <w:vAlign w:val="bottom"/>
            <w:shd w:val="clear" w:color="auto" w:fill="D2DCE5"/>
          </w:tcPr>
          <w:p>
            <w:pPr>
              <w:jc w:val="center"/>
              <w:ind w:left="9"/>
              <w:spacing w:after="0"/>
              <w:rPr>
                <w:sz w:val="20"/>
                <w:szCs w:val="20"/>
                <w:color w:val="auto"/>
              </w:rPr>
            </w:pPr>
            <w:r>
              <w:rPr>
                <w:rFonts w:ascii="Arial" w:cs="Arial" w:eastAsia="Arial" w:hAnsi="Arial"/>
                <w:sz w:val="14"/>
                <w:szCs w:val="14"/>
                <w:color w:val="131E29"/>
              </w:rPr>
              <w:t>N/A</w:t>
            </w:r>
          </w:p>
        </w:tc>
        <w:tc>
          <w:tcPr>
            <w:tcW w:w="23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color w:val="131E29"/>
              </w:rPr>
              <w:t>August 1 - 31, 2024</w:t>
            </w:r>
          </w:p>
        </w:tc>
        <w:tc>
          <w:tcPr>
            <w:tcW w:w="2700" w:type="dxa"/>
            <w:vAlign w:val="bottom"/>
          </w:tcPr>
          <w:p>
            <w:pPr>
              <w:jc w:val="center"/>
              <w:ind w:left="1049"/>
              <w:spacing w:after="0"/>
              <w:rPr>
                <w:sz w:val="20"/>
                <w:szCs w:val="20"/>
                <w:color w:val="auto"/>
              </w:rPr>
            </w:pPr>
            <w:r>
              <w:rPr>
                <w:rFonts w:ascii="Arial" w:cs="Arial" w:eastAsia="Arial" w:hAnsi="Arial"/>
                <w:sz w:val="14"/>
                <w:szCs w:val="14"/>
                <w:color w:val="131E29"/>
                <w:w w:val="99"/>
              </w:rPr>
              <w:t>—</w:t>
            </w:r>
          </w:p>
        </w:tc>
        <w:tc>
          <w:tcPr>
            <w:tcW w:w="1600" w:type="dxa"/>
            <w:vAlign w:val="bottom"/>
          </w:tcPr>
          <w:p>
            <w:pPr>
              <w:jc w:val="center"/>
              <w:ind w:left="69"/>
              <w:spacing w:after="0"/>
              <w:rPr>
                <w:sz w:val="20"/>
                <w:szCs w:val="20"/>
                <w:color w:val="auto"/>
              </w:rPr>
            </w:pPr>
            <w:r>
              <w:rPr>
                <w:rFonts w:ascii="Arial" w:cs="Arial" w:eastAsia="Arial" w:hAnsi="Arial"/>
                <w:sz w:val="14"/>
                <w:szCs w:val="14"/>
                <w:color w:val="131E29"/>
                <w:w w:val="99"/>
              </w:rPr>
              <w:t>—</w:t>
            </w:r>
          </w:p>
        </w:tc>
        <w:tc>
          <w:tcPr>
            <w:tcW w:w="2120" w:type="dxa"/>
            <w:vAlign w:val="bottom"/>
          </w:tcPr>
          <w:p>
            <w:pPr>
              <w:jc w:val="center"/>
              <w:spacing w:after="0"/>
              <w:rPr>
                <w:sz w:val="20"/>
                <w:szCs w:val="20"/>
                <w:color w:val="auto"/>
              </w:rPr>
            </w:pPr>
            <w:r>
              <w:rPr>
                <w:rFonts w:ascii="Arial" w:cs="Arial" w:eastAsia="Arial" w:hAnsi="Arial"/>
                <w:sz w:val="14"/>
                <w:szCs w:val="14"/>
                <w:color w:val="131E29"/>
                <w:w w:val="99"/>
              </w:rPr>
              <w:t>—</w:t>
            </w:r>
          </w:p>
        </w:tc>
        <w:tc>
          <w:tcPr>
            <w:tcW w:w="2300" w:type="dxa"/>
            <w:vAlign w:val="bottom"/>
          </w:tcPr>
          <w:p>
            <w:pPr>
              <w:jc w:val="center"/>
              <w:ind w:left="9"/>
              <w:spacing w:after="0"/>
              <w:rPr>
                <w:sz w:val="20"/>
                <w:szCs w:val="20"/>
                <w:color w:val="auto"/>
              </w:rPr>
            </w:pPr>
            <w:r>
              <w:rPr>
                <w:rFonts w:ascii="Arial" w:cs="Arial" w:eastAsia="Arial" w:hAnsi="Arial"/>
                <w:sz w:val="14"/>
                <w:szCs w:val="14"/>
                <w:color w:val="131E29"/>
                <w:w w:val="99"/>
              </w:rPr>
              <w:t>—</w:t>
            </w:r>
          </w:p>
        </w:tc>
        <w:tc>
          <w:tcPr>
            <w:tcW w:w="0" w:type="dxa"/>
            <w:vAlign w:val="bottom"/>
          </w:tcPr>
          <w:p>
            <w:pPr>
              <w:spacing w:after="0"/>
              <w:rPr>
                <w:sz w:val="1"/>
                <w:szCs w:val="1"/>
                <w:color w:val="auto"/>
              </w:rPr>
            </w:pPr>
          </w:p>
        </w:tc>
      </w:tr>
      <w:tr>
        <w:trPr>
          <w:trHeight w:val="222"/>
        </w:trPr>
        <w:tc>
          <w:tcPr>
            <w:tcW w:w="256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September 1 - 30, 2024</w:t>
            </w:r>
          </w:p>
        </w:tc>
        <w:tc>
          <w:tcPr>
            <w:tcW w:w="2700" w:type="dxa"/>
            <w:vAlign w:val="bottom"/>
            <w:shd w:val="clear" w:color="auto" w:fill="D2DCE5"/>
          </w:tcPr>
          <w:p>
            <w:pPr>
              <w:jc w:val="center"/>
              <w:ind w:left="1049"/>
              <w:spacing w:after="0"/>
              <w:rPr>
                <w:sz w:val="20"/>
                <w:szCs w:val="20"/>
                <w:color w:val="auto"/>
              </w:rPr>
            </w:pPr>
            <w:r>
              <w:rPr>
                <w:rFonts w:ascii="Arial" w:cs="Arial" w:eastAsia="Arial" w:hAnsi="Arial"/>
                <w:sz w:val="14"/>
                <w:szCs w:val="14"/>
                <w:color w:val="131E29"/>
                <w:w w:val="99"/>
              </w:rPr>
              <w:t>—</w:t>
            </w:r>
          </w:p>
        </w:tc>
        <w:tc>
          <w:tcPr>
            <w:tcW w:w="1600" w:type="dxa"/>
            <w:vAlign w:val="bottom"/>
            <w:shd w:val="clear" w:color="auto" w:fill="D2DCE5"/>
          </w:tcPr>
          <w:p>
            <w:pPr>
              <w:jc w:val="center"/>
              <w:ind w:left="69"/>
              <w:spacing w:after="0"/>
              <w:rPr>
                <w:sz w:val="20"/>
                <w:szCs w:val="20"/>
                <w:color w:val="auto"/>
              </w:rPr>
            </w:pPr>
            <w:r>
              <w:rPr>
                <w:rFonts w:ascii="Arial" w:cs="Arial" w:eastAsia="Arial" w:hAnsi="Arial"/>
                <w:sz w:val="14"/>
                <w:szCs w:val="14"/>
                <w:color w:val="131E29"/>
                <w:w w:val="99"/>
              </w:rPr>
              <w:t>—</w:t>
            </w:r>
          </w:p>
        </w:tc>
        <w:tc>
          <w:tcPr>
            <w:tcW w:w="21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w:t>
            </w:r>
          </w:p>
        </w:tc>
        <w:tc>
          <w:tcPr>
            <w:tcW w:w="2300" w:type="dxa"/>
            <w:vAlign w:val="bottom"/>
            <w:shd w:val="clear" w:color="auto" w:fill="D2DCE5"/>
          </w:tcPr>
          <w:p>
            <w:pPr>
              <w:jc w:val="center"/>
              <w:ind w:left="9"/>
              <w:spacing w:after="0"/>
              <w:rPr>
                <w:sz w:val="20"/>
                <w:szCs w:val="20"/>
                <w:color w:val="auto"/>
              </w:rPr>
            </w:pPr>
            <w:r>
              <w:rPr>
                <w:rFonts w:ascii="Arial" w:cs="Arial" w:eastAsia="Arial" w:hAnsi="Arial"/>
                <w:sz w:val="14"/>
                <w:szCs w:val="14"/>
                <w:color w:val="131E29"/>
                <w:w w:val="99"/>
              </w:rPr>
              <w:t>—</w:t>
            </w:r>
          </w:p>
        </w:tc>
        <w:tc>
          <w:tcPr>
            <w:tcW w:w="0" w:type="dxa"/>
            <w:vAlign w:val="bottom"/>
          </w:tcPr>
          <w:p>
            <w:pPr>
              <w:spacing w:after="0"/>
              <w:rPr>
                <w:sz w:val="1"/>
                <w:szCs w:val="1"/>
                <w:color w:val="auto"/>
              </w:rPr>
            </w:pPr>
          </w:p>
        </w:tc>
      </w:tr>
      <w:tr>
        <w:trPr>
          <w:trHeight w:val="320"/>
        </w:trPr>
        <w:tc>
          <w:tcPr>
            <w:tcW w:w="2560" w:type="dxa"/>
            <w:vAlign w:val="bottom"/>
          </w:tcPr>
          <w:p>
            <w:pPr>
              <w:spacing w:after="0"/>
              <w:rPr>
                <w:sz w:val="20"/>
                <w:szCs w:val="20"/>
                <w:color w:val="auto"/>
              </w:rPr>
            </w:pPr>
            <w:r>
              <w:rPr>
                <w:rFonts w:ascii="Arial" w:cs="Arial" w:eastAsia="Arial" w:hAnsi="Arial"/>
                <w:sz w:val="14"/>
                <w:szCs w:val="14"/>
                <w:color w:val="131E29"/>
              </w:rPr>
              <w:t>_________________</w:t>
            </w:r>
          </w:p>
        </w:tc>
        <w:tc>
          <w:tcPr>
            <w:tcW w:w="2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40" w:hanging="135"/>
        <w:spacing w:after="0" w:line="303" w:lineRule="auto"/>
        <w:tabs>
          <w:tab w:leader="none" w:pos="180" w:val="left"/>
        </w:tabs>
        <w:numPr>
          <w:ilvl w:val="0"/>
          <w:numId w:val="50"/>
        </w:numPr>
        <w:rPr>
          <w:rFonts w:ascii="Arial" w:cs="Arial" w:eastAsia="Arial" w:hAnsi="Arial"/>
          <w:sz w:val="7"/>
          <w:szCs w:val="7"/>
          <w:color w:val="auto"/>
        </w:rPr>
      </w:pPr>
      <w:r>
        <w:rPr>
          <w:rFonts w:ascii="Arial" w:cs="Arial" w:eastAsia="Arial" w:hAnsi="Arial"/>
          <w:sz w:val="11"/>
          <w:szCs w:val="11"/>
          <w:color w:val="auto"/>
        </w:rPr>
        <w:t>In connection with the vesting of RSUs granted pursuant to the Dutch Bros Inc. 2021 Equity Incentive Plan, as amended, shares of Class A common stock are delivered to Dutch Bros by employees to satisfy tax withholding obligations.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4. MINE SAFETY DISCLOSURES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5.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Rule 10b5-1 Trading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6. EXHIBITS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(a) Exhibits.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exhibits are included herein or incorporated herein by reference: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ind w:left="700"/>
              <w:spacing w:after="0"/>
              <w:rPr>
                <w:sz w:val="20"/>
                <w:szCs w:val="20"/>
                <w:color w:val="auto"/>
              </w:rPr>
            </w:pPr>
            <w:r>
              <w:rPr>
                <w:rFonts w:ascii="Arial" w:cs="Arial" w:eastAsia="Arial" w:hAnsi="Arial"/>
                <w:sz w:val="11"/>
                <w:szCs w:val="11"/>
                <w:b w:val="1"/>
                <w:bCs w:val="1"/>
                <w:color w:val="131E29"/>
              </w:rPr>
              <w:t>Incorporated by Reference</w:t>
            </w:r>
          </w:p>
        </w:tc>
        <w:tc>
          <w:tcPr>
            <w:tcW w:w="1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Exhibit Number</w:t>
            </w:r>
          </w:p>
        </w:tc>
        <w:tc>
          <w:tcPr>
            <w:tcW w:w="100" w:type="dxa"/>
            <w:vAlign w:val="bottom"/>
            <w:tcBorders>
              <w:bottom w:val="single" w:sz="8" w:color="D2DCE5"/>
            </w:tcBorders>
          </w:tcPr>
          <w:p>
            <w:pPr>
              <w:spacing w:after="0"/>
              <w:rPr>
                <w:sz w:val="14"/>
                <w:szCs w:val="14"/>
                <w:color w:val="auto"/>
              </w:rPr>
            </w:pPr>
          </w:p>
        </w:tc>
        <w:tc>
          <w:tcPr>
            <w:tcW w:w="4520" w:type="dxa"/>
            <w:vAlign w:val="bottom"/>
            <w:tcBorders>
              <w:bottom w:val="single" w:sz="8" w:color="auto"/>
            </w:tcBorders>
            <w:gridSpan w:val="12"/>
          </w:tcPr>
          <w:p>
            <w:pPr>
              <w:spacing w:after="0"/>
              <w:rPr>
                <w:sz w:val="20"/>
                <w:szCs w:val="20"/>
                <w:color w:val="auto"/>
              </w:rPr>
            </w:pPr>
            <w:r>
              <w:rPr>
                <w:rFonts w:ascii="Arial" w:cs="Arial" w:eastAsia="Arial" w:hAnsi="Arial"/>
                <w:sz w:val="11"/>
                <w:szCs w:val="11"/>
                <w:b w:val="1"/>
                <w:bCs w:val="1"/>
                <w:color w:val="131E29"/>
              </w:rPr>
              <w:t>Description</w:t>
            </w:r>
          </w:p>
        </w:tc>
        <w:tc>
          <w:tcPr>
            <w:tcW w:w="80" w:type="dxa"/>
            <w:vAlign w:val="bottom"/>
            <w:tcBorders>
              <w:bottom w:val="single" w:sz="8" w:color="D2DCE5"/>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131E29"/>
              </w:rPr>
              <w:t>File 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w w:val="98"/>
              </w:rPr>
              <w:t>Exhibit</w:t>
            </w:r>
          </w:p>
        </w:tc>
        <w:tc>
          <w:tcPr>
            <w:tcW w:w="10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Borders>
              <w:bottom w:val="single" w:sz="8" w:color="D2DCE5"/>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c>
          <w:tcPr>
            <w:tcW w:w="0" w:type="dxa"/>
            <w:vAlign w:val="bottom"/>
          </w:tcPr>
          <w:p>
            <w:pPr>
              <w:spacing w:after="0"/>
              <w:rPr>
                <w:sz w:val="1"/>
                <w:szCs w:val="1"/>
                <w:color w:val="auto"/>
              </w:rPr>
            </w:pPr>
          </w:p>
        </w:tc>
      </w:tr>
      <w:tr>
        <w:trPr>
          <w:trHeight w:val="167"/>
        </w:trPr>
        <w:tc>
          <w:tcPr>
            <w:tcW w:w="1080" w:type="dxa"/>
            <w:vAlign w:val="bottom"/>
            <w:tcBorders>
              <w:bottom w:val="single" w:sz="8" w:color="D2DCE5"/>
            </w:tcBorders>
            <w:shd w:val="clear" w:color="auto" w:fill="D2DCE5"/>
          </w:tcPr>
          <w:p>
            <w:pPr>
              <w:jc w:val="center"/>
              <w:spacing w:after="0" w:line="145" w:lineRule="exact"/>
              <w:rPr>
                <w:sz w:val="20"/>
                <w:szCs w:val="20"/>
                <w:color w:val="auto"/>
              </w:rPr>
            </w:pPr>
            <w:r>
              <w:rPr>
                <w:rFonts w:ascii="Arial" w:cs="Arial" w:eastAsia="Arial" w:hAnsi="Arial"/>
                <w:sz w:val="13"/>
                <w:szCs w:val="13"/>
                <w:color w:val="131E29"/>
                <w:w w:val="88"/>
              </w:rPr>
              <w:t>3.1</w:t>
            </w:r>
          </w:p>
        </w:tc>
        <w:tc>
          <w:tcPr>
            <w:tcW w:w="100" w:type="dxa"/>
            <w:vAlign w:val="bottom"/>
            <w:tcBorders>
              <w:bottom w:val="single" w:sz="8" w:color="D2DCE5"/>
              <w:right w:val="single" w:sz="8" w:color="D2DCE5"/>
            </w:tcBorders>
            <w:shd w:val="clear" w:color="auto" w:fill="D2DCE5"/>
          </w:tcPr>
          <w:p>
            <w:pPr>
              <w:spacing w:after="0"/>
              <w:rPr>
                <w:sz w:val="14"/>
                <w:szCs w:val="14"/>
                <w:color w:val="auto"/>
              </w:rPr>
            </w:pPr>
          </w:p>
        </w:tc>
        <w:tc>
          <w:tcPr>
            <w:tcW w:w="3620" w:type="dxa"/>
            <w:vAlign w:val="bottom"/>
            <w:tcBorders>
              <w:bottom w:val="single" w:sz="8" w:color="auto"/>
            </w:tcBorders>
            <w:gridSpan w:val="6"/>
            <w:shd w:val="clear" w:color="auto" w:fill="D2DCE5"/>
          </w:tcPr>
          <w:p>
            <w:pPr>
              <w:spacing w:after="0" w:line="145" w:lineRule="exact"/>
              <w:rPr>
                <w:rFonts w:ascii="Arial" w:cs="Arial" w:eastAsia="Arial" w:hAnsi="Arial"/>
                <w:sz w:val="13"/>
                <w:szCs w:val="13"/>
                <w:color w:val="auto"/>
                <w:w w:val="97"/>
              </w:rPr>
            </w:pPr>
            <w:hyperlink r:id="rId254">
              <w:r>
                <w:rPr>
                  <w:rFonts w:ascii="Arial" w:cs="Arial" w:eastAsia="Arial" w:hAnsi="Arial"/>
                  <w:sz w:val="13"/>
                  <w:szCs w:val="13"/>
                  <w:color w:val="auto"/>
                  <w:w w:val="97"/>
                </w:rPr>
                <w:t>Amended and Restated Certificate of Incorporation of Registrant</w:t>
              </w:r>
            </w:hyperlink>
          </w:p>
        </w:tc>
        <w:tc>
          <w:tcPr>
            <w:tcW w:w="980" w:type="dxa"/>
            <w:vAlign w:val="bottom"/>
            <w:tcBorders>
              <w:bottom w:val="single" w:sz="8" w:color="D2DCE5"/>
            </w:tcBorders>
            <w:gridSpan w:val="7"/>
            <w:shd w:val="clear" w:color="auto" w:fill="D2DCE5"/>
          </w:tcPr>
          <w:p>
            <w:pPr>
              <w:spacing w:after="0"/>
              <w:rPr>
                <w:sz w:val="14"/>
                <w:szCs w:val="14"/>
                <w:color w:val="auto"/>
              </w:rPr>
            </w:pPr>
          </w:p>
        </w:tc>
        <w:tc>
          <w:tcPr>
            <w:tcW w:w="780" w:type="dxa"/>
            <w:vAlign w:val="bottom"/>
            <w:tcBorders>
              <w:bottom w:val="single" w:sz="8" w:color="D2DCE5"/>
            </w:tcBorders>
            <w:shd w:val="clear" w:color="auto" w:fill="D2DCE5"/>
          </w:tcPr>
          <w:p>
            <w:pPr>
              <w:jc w:val="center"/>
              <w:spacing w:after="0" w:line="145" w:lineRule="exact"/>
              <w:rPr>
                <w:sz w:val="20"/>
                <w:szCs w:val="20"/>
                <w:color w:val="auto"/>
              </w:rPr>
            </w:pPr>
            <w:r>
              <w:rPr>
                <w:rFonts w:ascii="Arial" w:cs="Arial" w:eastAsia="Arial" w:hAnsi="Arial"/>
                <w:sz w:val="13"/>
                <w:szCs w:val="13"/>
                <w:color w:val="131E29"/>
                <w:w w:val="98"/>
              </w:rPr>
              <w:t>8-K</w:t>
            </w:r>
          </w:p>
        </w:tc>
        <w:tc>
          <w:tcPr>
            <w:tcW w:w="1200" w:type="dxa"/>
            <w:vAlign w:val="bottom"/>
            <w:tcBorders>
              <w:bottom w:val="single" w:sz="8" w:color="D2DCE5"/>
            </w:tcBorders>
            <w:shd w:val="clear" w:color="auto" w:fill="D2DCE5"/>
          </w:tcPr>
          <w:p>
            <w:pPr>
              <w:jc w:val="center"/>
              <w:spacing w:after="0" w:line="145" w:lineRule="exact"/>
              <w:rPr>
                <w:sz w:val="20"/>
                <w:szCs w:val="20"/>
                <w:color w:val="auto"/>
              </w:rPr>
            </w:pPr>
            <w:r>
              <w:rPr>
                <w:rFonts w:ascii="Arial" w:cs="Arial" w:eastAsia="Arial" w:hAnsi="Arial"/>
                <w:sz w:val="13"/>
                <w:szCs w:val="13"/>
                <w:color w:val="131E29"/>
                <w:w w:val="96"/>
              </w:rPr>
              <w:t>001-40798</w:t>
            </w:r>
          </w:p>
        </w:tc>
        <w:tc>
          <w:tcPr>
            <w:tcW w:w="820" w:type="dxa"/>
            <w:vAlign w:val="bottom"/>
            <w:tcBorders>
              <w:bottom w:val="single" w:sz="8" w:color="D2DCE5"/>
            </w:tcBorders>
            <w:shd w:val="clear" w:color="auto" w:fill="D2DCE5"/>
          </w:tcPr>
          <w:p>
            <w:pPr>
              <w:jc w:val="center"/>
              <w:spacing w:after="0" w:line="145" w:lineRule="exact"/>
              <w:rPr>
                <w:sz w:val="20"/>
                <w:szCs w:val="20"/>
                <w:color w:val="auto"/>
              </w:rPr>
            </w:pPr>
            <w:r>
              <w:rPr>
                <w:rFonts w:ascii="Arial" w:cs="Arial" w:eastAsia="Arial" w:hAnsi="Arial"/>
                <w:sz w:val="13"/>
                <w:szCs w:val="13"/>
                <w:color w:val="131E29"/>
                <w:w w:val="88"/>
              </w:rPr>
              <w:t>3.1</w:t>
            </w:r>
          </w:p>
        </w:tc>
        <w:tc>
          <w:tcPr>
            <w:tcW w:w="10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1540" w:type="dxa"/>
            <w:vAlign w:val="bottom"/>
            <w:tcBorders>
              <w:bottom w:val="single" w:sz="8" w:color="D2DCE5"/>
            </w:tcBorders>
            <w:gridSpan w:val="2"/>
            <w:shd w:val="clear" w:color="auto" w:fill="D2DCE5"/>
          </w:tcPr>
          <w:p>
            <w:pPr>
              <w:jc w:val="center"/>
              <w:ind w:right="180"/>
              <w:spacing w:after="0" w:line="145" w:lineRule="exact"/>
              <w:rPr>
                <w:sz w:val="20"/>
                <w:szCs w:val="20"/>
                <w:color w:val="auto"/>
              </w:rPr>
            </w:pPr>
            <w:r>
              <w:rPr>
                <w:rFonts w:ascii="Arial" w:cs="Arial" w:eastAsia="Arial" w:hAnsi="Arial"/>
                <w:sz w:val="13"/>
                <w:szCs w:val="13"/>
                <w:color w:val="131E29"/>
                <w:w w:val="98"/>
              </w:rPr>
              <w:t>September 17, 2021</w:t>
            </w:r>
          </w:p>
        </w:tc>
        <w:tc>
          <w:tcPr>
            <w:tcW w:w="960" w:type="dxa"/>
            <w:vAlign w:val="bottom"/>
            <w:tcBorders>
              <w:bottom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jc w:val="center"/>
              <w:spacing w:after="0"/>
              <w:rPr>
                <w:sz w:val="20"/>
                <w:szCs w:val="20"/>
                <w:color w:val="auto"/>
              </w:rPr>
            </w:pPr>
            <w:r>
              <w:rPr>
                <w:rFonts w:ascii="Arial" w:cs="Arial" w:eastAsia="Arial" w:hAnsi="Arial"/>
                <w:sz w:val="13"/>
                <w:szCs w:val="13"/>
                <w:color w:val="131E29"/>
                <w:w w:val="88"/>
              </w:rPr>
              <w:t>3.2</w:t>
            </w:r>
          </w:p>
        </w:tc>
        <w:tc>
          <w:tcPr>
            <w:tcW w:w="100" w:type="dxa"/>
            <w:vAlign w:val="bottom"/>
          </w:tcPr>
          <w:p>
            <w:pPr>
              <w:spacing w:after="0"/>
              <w:rPr>
                <w:sz w:val="12"/>
                <w:szCs w:val="12"/>
                <w:color w:val="auto"/>
              </w:rPr>
            </w:pPr>
          </w:p>
        </w:tc>
        <w:tc>
          <w:tcPr>
            <w:tcW w:w="4600" w:type="dxa"/>
            <w:vAlign w:val="bottom"/>
            <w:gridSpan w:val="13"/>
          </w:tcPr>
          <w:p>
            <w:pPr>
              <w:spacing w:after="0"/>
              <w:rPr>
                <w:rFonts w:ascii="Arial" w:cs="Arial" w:eastAsia="Arial" w:hAnsi="Arial"/>
                <w:sz w:val="13"/>
                <w:szCs w:val="13"/>
                <w:color w:val="auto"/>
              </w:rPr>
            </w:pPr>
            <w:hyperlink r:id="rId255">
              <w:r>
                <w:rPr>
                  <w:rFonts w:ascii="Arial" w:cs="Arial" w:eastAsia="Arial" w:hAnsi="Arial"/>
                  <w:sz w:val="13"/>
                  <w:szCs w:val="13"/>
                  <w:color w:val="auto"/>
                </w:rPr>
                <w:t>Amended and Restated Bylaws of Registrant</w:t>
              </w:r>
            </w:hyperlink>
          </w:p>
        </w:tc>
        <w:tc>
          <w:tcPr>
            <w:tcW w:w="780" w:type="dxa"/>
            <w:vAlign w:val="bottom"/>
          </w:tcPr>
          <w:p>
            <w:pPr>
              <w:jc w:val="center"/>
              <w:spacing w:after="0"/>
              <w:rPr>
                <w:sz w:val="20"/>
                <w:szCs w:val="20"/>
                <w:color w:val="auto"/>
              </w:rPr>
            </w:pPr>
            <w:r>
              <w:rPr>
                <w:rFonts w:ascii="Arial" w:cs="Arial" w:eastAsia="Arial" w:hAnsi="Arial"/>
                <w:sz w:val="13"/>
                <w:szCs w:val="13"/>
                <w:color w:val="131E29"/>
                <w:w w:val="98"/>
              </w:rPr>
              <w:t>S-1</w:t>
            </w:r>
          </w:p>
        </w:tc>
        <w:tc>
          <w:tcPr>
            <w:tcW w:w="1200" w:type="dxa"/>
            <w:vAlign w:val="bottom"/>
          </w:tcPr>
          <w:p>
            <w:pPr>
              <w:jc w:val="center"/>
              <w:spacing w:after="0"/>
              <w:rPr>
                <w:sz w:val="20"/>
                <w:szCs w:val="20"/>
                <w:color w:val="auto"/>
              </w:rPr>
            </w:pPr>
            <w:r>
              <w:rPr>
                <w:rFonts w:ascii="Arial" w:cs="Arial" w:eastAsia="Arial" w:hAnsi="Arial"/>
                <w:sz w:val="13"/>
                <w:szCs w:val="13"/>
                <w:color w:val="131E29"/>
                <w:w w:val="97"/>
              </w:rPr>
              <w:t>333-258988</w:t>
            </w:r>
          </w:p>
        </w:tc>
        <w:tc>
          <w:tcPr>
            <w:tcW w:w="820" w:type="dxa"/>
            <w:vAlign w:val="bottom"/>
          </w:tcPr>
          <w:p>
            <w:pPr>
              <w:jc w:val="center"/>
              <w:spacing w:after="0"/>
              <w:rPr>
                <w:sz w:val="20"/>
                <w:szCs w:val="20"/>
                <w:color w:val="auto"/>
              </w:rPr>
            </w:pPr>
            <w:r>
              <w:rPr>
                <w:rFonts w:ascii="Arial" w:cs="Arial" w:eastAsia="Arial" w:hAnsi="Arial"/>
                <w:sz w:val="13"/>
                <w:szCs w:val="13"/>
                <w:color w:val="131E29"/>
                <w:w w:val="88"/>
              </w:rPr>
              <w:t>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color w:val="131E29"/>
                <w:w w:val="97"/>
              </w:rPr>
              <w:t>August 20, 2021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88"/>
              </w:rPr>
              <w:t>4.1</w:t>
            </w:r>
          </w:p>
        </w:tc>
        <w:tc>
          <w:tcPr>
            <w:tcW w:w="100" w:type="dxa"/>
            <w:vAlign w:val="bottom"/>
            <w:tcBorders>
              <w:right w:val="single" w:sz="8" w:color="D2DCE5"/>
            </w:tcBorders>
            <w:shd w:val="clear" w:color="auto" w:fill="D2DCE5"/>
          </w:tcPr>
          <w:p>
            <w:pPr>
              <w:spacing w:after="0"/>
              <w:rPr>
                <w:sz w:val="12"/>
                <w:szCs w:val="12"/>
                <w:color w:val="auto"/>
              </w:rPr>
            </w:pPr>
          </w:p>
        </w:tc>
        <w:tc>
          <w:tcPr>
            <w:tcW w:w="4600" w:type="dxa"/>
            <w:vAlign w:val="bottom"/>
            <w:gridSpan w:val="13"/>
            <w:shd w:val="clear" w:color="auto" w:fill="D2DCE5"/>
          </w:tcPr>
          <w:p>
            <w:pPr>
              <w:spacing w:after="0"/>
              <w:rPr>
                <w:rFonts w:ascii="Arial" w:cs="Arial" w:eastAsia="Arial" w:hAnsi="Arial"/>
                <w:sz w:val="13"/>
                <w:szCs w:val="13"/>
                <w:color w:val="auto"/>
              </w:rPr>
            </w:pPr>
            <w:hyperlink r:id="rId256">
              <w:r>
                <w:rPr>
                  <w:rFonts w:ascii="Arial" w:cs="Arial" w:eastAsia="Arial" w:hAnsi="Arial"/>
                  <w:sz w:val="13"/>
                  <w:szCs w:val="13"/>
                  <w:color w:val="auto"/>
                </w:rPr>
                <w:t>Form of Common Stock Certificate</w:t>
              </w:r>
            </w:hyperlink>
          </w:p>
        </w:tc>
        <w:tc>
          <w:tcPr>
            <w:tcW w:w="7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8"/>
              </w:rPr>
              <w:t>S-1/A</w:t>
            </w:r>
          </w:p>
        </w:tc>
        <w:tc>
          <w:tcPr>
            <w:tcW w:w="120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7"/>
              </w:rPr>
              <w:t>333-258988</w:t>
            </w:r>
          </w:p>
        </w:tc>
        <w:tc>
          <w:tcPr>
            <w:tcW w:w="82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88"/>
              </w:rPr>
              <w:t>4.1</w:t>
            </w:r>
          </w:p>
        </w:tc>
        <w:tc>
          <w:tcPr>
            <w:tcW w:w="10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40" w:type="dxa"/>
            <w:vAlign w:val="bottom"/>
            <w:gridSpan w:val="2"/>
            <w:shd w:val="clear" w:color="auto" w:fill="D2DCE5"/>
          </w:tcPr>
          <w:p>
            <w:pPr>
              <w:jc w:val="center"/>
              <w:ind w:right="180"/>
              <w:spacing w:after="0"/>
              <w:rPr>
                <w:sz w:val="20"/>
                <w:szCs w:val="20"/>
                <w:color w:val="auto"/>
              </w:rPr>
            </w:pPr>
            <w:r>
              <w:rPr>
                <w:rFonts w:ascii="Arial" w:cs="Arial" w:eastAsia="Arial" w:hAnsi="Arial"/>
                <w:sz w:val="13"/>
                <w:szCs w:val="13"/>
                <w:color w:val="131E29"/>
                <w:w w:val="98"/>
              </w:rPr>
              <w:t>September 13, 2021</w:t>
            </w:r>
          </w:p>
        </w:tc>
        <w:tc>
          <w:tcPr>
            <w:tcW w:w="960" w:type="dxa"/>
            <w:vAlign w:val="bottom"/>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right w:val="single" w:sz="8" w:color="D2DCE5"/>
            </w:tcBorders>
            <w:shd w:val="clear" w:color="auto" w:fill="D2DCE5"/>
          </w:tcPr>
          <w:p>
            <w:pPr>
              <w:spacing w:after="0" w:line="20" w:lineRule="exact"/>
              <w:rPr>
                <w:sz w:val="1"/>
                <w:szCs w:val="1"/>
                <w:color w:val="auto"/>
              </w:rPr>
            </w:pPr>
          </w:p>
        </w:tc>
        <w:tc>
          <w:tcPr>
            <w:tcW w:w="1000" w:type="dxa"/>
            <w:vAlign w:val="bottom"/>
            <w:tcBorders>
              <w:top w:val="single" w:sz="8" w:color="auto"/>
            </w:tcBorders>
            <w:shd w:val="clear" w:color="auto" w:fill="D2DCE5"/>
          </w:tcPr>
          <w:p>
            <w:pPr>
              <w:spacing w:after="0" w:line="20" w:lineRule="exact"/>
              <w:rPr>
                <w:sz w:val="1"/>
                <w:szCs w:val="1"/>
                <w:color w:val="auto"/>
              </w:rPr>
            </w:pPr>
          </w:p>
        </w:tc>
        <w:tc>
          <w:tcPr>
            <w:tcW w:w="660" w:type="dxa"/>
            <w:vAlign w:val="bottom"/>
            <w:tcBorders>
              <w:top w:val="single" w:sz="8" w:color="auto"/>
            </w:tcBorders>
            <w:shd w:val="clear" w:color="auto" w:fill="D2DCE5"/>
          </w:tcPr>
          <w:p>
            <w:pPr>
              <w:spacing w:after="0" w:line="20" w:lineRule="exact"/>
              <w:rPr>
                <w:sz w:val="1"/>
                <w:szCs w:val="1"/>
                <w:color w:val="auto"/>
              </w:rPr>
            </w:pPr>
          </w:p>
        </w:tc>
        <w:tc>
          <w:tcPr>
            <w:tcW w:w="280" w:type="dxa"/>
            <w:vAlign w:val="bottom"/>
            <w:tcBorders>
              <w:top w:val="single" w:sz="8" w:color="auto"/>
            </w:tcBorders>
            <w:shd w:val="clear" w:color="auto" w:fill="D2DCE5"/>
          </w:tcPr>
          <w:p>
            <w:pPr>
              <w:spacing w:after="0" w:line="20" w:lineRule="exact"/>
              <w:rPr>
                <w:sz w:val="1"/>
                <w:szCs w:val="1"/>
                <w:color w:val="auto"/>
              </w:rPr>
            </w:pPr>
          </w:p>
        </w:tc>
        <w:tc>
          <w:tcPr>
            <w:tcW w:w="240" w:type="dxa"/>
            <w:vAlign w:val="bottom"/>
            <w:tcBorders>
              <w:top w:val="single" w:sz="8" w:color="D2DCE5"/>
            </w:tcBorders>
            <w:shd w:val="clear" w:color="auto" w:fill="D2DCE5"/>
          </w:tcPr>
          <w:p>
            <w:pPr>
              <w:spacing w:after="0" w:line="20" w:lineRule="exact"/>
              <w:rPr>
                <w:sz w:val="1"/>
                <w:szCs w:val="1"/>
                <w:color w:val="auto"/>
              </w:rPr>
            </w:pPr>
          </w:p>
        </w:tc>
        <w:tc>
          <w:tcPr>
            <w:tcW w:w="340" w:type="dxa"/>
            <w:vAlign w:val="bottom"/>
            <w:tcBorders>
              <w:top w:val="single" w:sz="8" w:color="D2DCE5"/>
            </w:tcBorders>
            <w:shd w:val="clear" w:color="auto" w:fill="D2DCE5"/>
          </w:tcPr>
          <w:p>
            <w:pPr>
              <w:spacing w:after="0" w:line="20" w:lineRule="exact"/>
              <w:rPr>
                <w:sz w:val="1"/>
                <w:szCs w:val="1"/>
                <w:color w:val="auto"/>
              </w:rPr>
            </w:pPr>
          </w:p>
        </w:tc>
        <w:tc>
          <w:tcPr>
            <w:tcW w:w="1100" w:type="dxa"/>
            <w:vAlign w:val="bottom"/>
            <w:tcBorders>
              <w:top w:val="single" w:sz="8" w:color="D2DCE5"/>
            </w:tcBorders>
            <w:shd w:val="clear" w:color="auto" w:fill="D2DCE5"/>
          </w:tcPr>
          <w:p>
            <w:pPr>
              <w:spacing w:after="0" w:line="20" w:lineRule="exact"/>
              <w:rPr>
                <w:sz w:val="1"/>
                <w:szCs w:val="1"/>
                <w:color w:val="auto"/>
              </w:rPr>
            </w:pPr>
          </w:p>
        </w:tc>
        <w:tc>
          <w:tcPr>
            <w:tcW w:w="6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20" w:type="dxa"/>
            <w:vAlign w:val="bottom"/>
            <w:tcBorders>
              <w:top w:val="single" w:sz="8" w:color="D2DCE5"/>
              <w:left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780" w:type="dxa"/>
            <w:vAlign w:val="bottom"/>
            <w:tcBorders>
              <w:top w:val="single" w:sz="8" w:color="D2DCE5"/>
            </w:tcBorders>
            <w:shd w:val="clear" w:color="auto" w:fill="D2DCE5"/>
          </w:tcPr>
          <w:p>
            <w:pPr>
              <w:spacing w:after="0" w:line="20" w:lineRule="exact"/>
              <w:rPr>
                <w:sz w:val="1"/>
                <w:szCs w:val="1"/>
                <w:color w:val="auto"/>
              </w:rPr>
            </w:pPr>
          </w:p>
        </w:tc>
        <w:tc>
          <w:tcPr>
            <w:tcW w:w="1200" w:type="dxa"/>
            <w:vAlign w:val="bottom"/>
            <w:tcBorders>
              <w:top w:val="single" w:sz="8" w:color="D2DCE5"/>
            </w:tcBorders>
            <w:shd w:val="clear" w:color="auto" w:fill="D2DCE5"/>
          </w:tcPr>
          <w:p>
            <w:pPr>
              <w:spacing w:after="0" w:line="20" w:lineRule="exact"/>
              <w:rPr>
                <w:sz w:val="1"/>
                <w:szCs w:val="1"/>
                <w:color w:val="auto"/>
              </w:rPr>
            </w:pPr>
          </w:p>
        </w:tc>
        <w:tc>
          <w:tcPr>
            <w:tcW w:w="82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46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60" w:type="dxa"/>
            <w:vAlign w:val="bottom"/>
            <w:tcBorders>
              <w:top w:val="single" w:sz="8" w:color="D2DCE5"/>
            </w:tcBorders>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Borders>
              <w:bottom w:val="single" w:sz="8" w:color="auto"/>
            </w:tcBorders>
            <w:gridSpan w:val="7"/>
          </w:tcPr>
          <w:p>
            <w:pPr>
              <w:spacing w:after="0"/>
              <w:rPr>
                <w:sz w:val="20"/>
                <w:szCs w:val="20"/>
                <w:color w:val="auto"/>
              </w:rPr>
            </w:pPr>
            <w:r>
              <w:rPr>
                <w:rFonts w:ascii="Arial" w:cs="Arial" w:eastAsia="Arial" w:hAnsi="Arial"/>
                <w:sz w:val="13"/>
                <w:szCs w:val="13"/>
                <w:color w:val="auto"/>
                <w:w w:val="97"/>
              </w:rPr>
              <w:t>Advisor Agreement, dated as of September 3, 2024, by and between Dutch</w:t>
            </w:r>
          </w:p>
        </w:tc>
        <w:tc>
          <w:tcPr>
            <w:tcW w:w="36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80" w:type="dxa"/>
            <w:vAlign w:val="bottom"/>
            <w:gridSpan w:val="2"/>
          </w:tcPr>
          <w:p>
            <w:pPr>
              <w:jc w:val="center"/>
              <w:ind w:right="100"/>
              <w:spacing w:after="0" w:line="139" w:lineRule="exact"/>
              <w:rPr>
                <w:sz w:val="20"/>
                <w:szCs w:val="20"/>
                <w:color w:val="auto"/>
              </w:rPr>
            </w:pPr>
            <w:r>
              <w:rPr>
                <w:rFonts w:ascii="Arial" w:cs="Arial" w:eastAsia="Arial" w:hAnsi="Arial"/>
                <w:sz w:val="13"/>
                <w:szCs w:val="13"/>
                <w:color w:val="131E29"/>
                <w:w w:val="98"/>
              </w:rPr>
              <w:t>10.1†</w:t>
            </w:r>
          </w:p>
        </w:tc>
        <w:tc>
          <w:tcPr>
            <w:tcW w:w="4600" w:type="dxa"/>
            <w:vAlign w:val="bottom"/>
            <w:gridSpan w:val="13"/>
          </w:tcPr>
          <w:p>
            <w:pPr>
              <w:spacing w:after="0" w:line="139" w:lineRule="exact"/>
              <w:rPr>
                <w:sz w:val="20"/>
                <w:szCs w:val="20"/>
                <w:color w:val="auto"/>
              </w:rPr>
            </w:pPr>
            <w:r>
              <w:rPr>
                <w:rFonts w:ascii="Arial" w:cs="Arial" w:eastAsia="Arial" w:hAnsi="Arial"/>
                <w:sz w:val="13"/>
                <w:szCs w:val="13"/>
                <w:color w:val="auto"/>
              </w:rPr>
              <w:t>Bros Inc. and Charles Jemley</w:t>
            </w: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shd w:val="clear" w:color="auto" w:fill="D2DCE5"/>
          </w:tcPr>
          <w:p>
            <w:pPr>
              <w:spacing w:after="0"/>
              <w:rPr>
                <w:sz w:val="12"/>
                <w:szCs w:val="12"/>
                <w:color w:val="auto"/>
              </w:rPr>
            </w:pPr>
          </w:p>
        </w:tc>
        <w:tc>
          <w:tcPr>
            <w:tcW w:w="100" w:type="dxa"/>
            <w:vAlign w:val="bottom"/>
            <w:tcBorders>
              <w:right w:val="single" w:sz="8" w:color="D2DCE5"/>
            </w:tcBorders>
            <w:shd w:val="clear" w:color="auto" w:fill="D2DCE5"/>
          </w:tcPr>
          <w:p>
            <w:pPr>
              <w:spacing w:after="0"/>
              <w:rPr>
                <w:sz w:val="12"/>
                <w:szCs w:val="12"/>
                <w:color w:val="auto"/>
              </w:rPr>
            </w:pPr>
          </w:p>
        </w:tc>
        <w:tc>
          <w:tcPr>
            <w:tcW w:w="4600" w:type="dxa"/>
            <w:vAlign w:val="bottom"/>
            <w:gridSpan w:val="13"/>
            <w:shd w:val="clear" w:color="auto" w:fill="D2DCE5"/>
          </w:tcPr>
          <w:p>
            <w:pPr>
              <w:spacing w:after="0"/>
              <w:rPr>
                <w:sz w:val="20"/>
                <w:szCs w:val="20"/>
                <w:color w:val="auto"/>
              </w:rPr>
            </w:pPr>
            <w:r>
              <w:rPr>
                <w:rFonts w:ascii="Arial" w:cs="Arial" w:eastAsia="Arial" w:hAnsi="Arial"/>
                <w:sz w:val="13"/>
                <w:szCs w:val="13"/>
                <w:color w:val="auto"/>
              </w:rPr>
              <w:t>Certification of Chief Executive Officer Pursuant to Rules 13a-14(a) and 15d-</w:t>
            </w:r>
          </w:p>
        </w:tc>
        <w:tc>
          <w:tcPr>
            <w:tcW w:w="780" w:type="dxa"/>
            <w:vAlign w:val="bottom"/>
            <w:shd w:val="clear" w:color="auto" w:fill="D2DCE5"/>
          </w:tcPr>
          <w:p>
            <w:pPr>
              <w:spacing w:after="0"/>
              <w:rPr>
                <w:sz w:val="12"/>
                <w:szCs w:val="12"/>
                <w:color w:val="auto"/>
              </w:rPr>
            </w:pPr>
          </w:p>
        </w:tc>
        <w:tc>
          <w:tcPr>
            <w:tcW w:w="1200" w:type="dxa"/>
            <w:vAlign w:val="bottom"/>
            <w:shd w:val="clear" w:color="auto" w:fill="D2DCE5"/>
          </w:tcPr>
          <w:p>
            <w:pPr>
              <w:spacing w:after="0"/>
              <w:rPr>
                <w:sz w:val="12"/>
                <w:szCs w:val="12"/>
                <w:color w:val="auto"/>
              </w:rPr>
            </w:pPr>
          </w:p>
        </w:tc>
        <w:tc>
          <w:tcPr>
            <w:tcW w:w="82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46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960" w:type="dxa"/>
            <w:vAlign w:val="bottom"/>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D2DCE5"/>
          </w:tcPr>
          <w:p>
            <w:pPr>
              <w:spacing w:after="0" w:line="20" w:lineRule="exact"/>
              <w:rPr>
                <w:sz w:val="1"/>
                <w:szCs w:val="1"/>
                <w:color w:val="auto"/>
              </w:rPr>
            </w:pPr>
          </w:p>
        </w:tc>
        <w:tc>
          <w:tcPr>
            <w:tcW w:w="100" w:type="dxa"/>
            <w:vAlign w:val="bottom"/>
            <w:tcBorders>
              <w:right w:val="single" w:sz="8" w:color="D2DCE5"/>
            </w:tcBorders>
            <w:shd w:val="clear" w:color="auto" w:fill="D2DCE5"/>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D2DCE5"/>
          </w:tcPr>
          <w:p>
            <w:pPr>
              <w:spacing w:after="0" w:line="20" w:lineRule="exact"/>
              <w:rPr>
                <w:sz w:val="1"/>
                <w:szCs w:val="1"/>
                <w:color w:val="auto"/>
              </w:rPr>
            </w:pPr>
          </w:p>
        </w:tc>
        <w:tc>
          <w:tcPr>
            <w:tcW w:w="40" w:type="dxa"/>
            <w:vAlign w:val="bottom"/>
            <w:shd w:val="clear" w:color="auto" w:fill="D2DCE5"/>
          </w:tcPr>
          <w:p>
            <w:pPr>
              <w:spacing w:after="0" w:line="20" w:lineRule="exact"/>
              <w:rPr>
                <w:sz w:val="1"/>
                <w:szCs w:val="1"/>
                <w:color w:val="auto"/>
              </w:rPr>
            </w:pPr>
          </w:p>
        </w:tc>
        <w:tc>
          <w:tcPr>
            <w:tcW w:w="20" w:type="dxa"/>
            <w:vAlign w:val="bottom"/>
            <w:shd w:val="clear" w:color="auto" w:fill="D2DCE5"/>
          </w:tcPr>
          <w:p>
            <w:pPr>
              <w:spacing w:after="0" w:line="20" w:lineRule="exact"/>
              <w:rPr>
                <w:sz w:val="1"/>
                <w:szCs w:val="1"/>
                <w:color w:val="auto"/>
              </w:rPr>
            </w:pPr>
          </w:p>
        </w:tc>
        <w:tc>
          <w:tcPr>
            <w:tcW w:w="160" w:type="dxa"/>
            <w:vAlign w:val="bottom"/>
            <w:gridSpan w:val="2"/>
            <w:shd w:val="clear" w:color="auto" w:fill="D2DCE5"/>
          </w:tcPr>
          <w:p>
            <w:pPr>
              <w:spacing w:after="0" w:line="20" w:lineRule="exact"/>
              <w:rPr>
                <w:sz w:val="1"/>
                <w:szCs w:val="1"/>
                <w:color w:val="auto"/>
              </w:rPr>
            </w:pPr>
          </w:p>
        </w:tc>
        <w:tc>
          <w:tcPr>
            <w:tcW w:w="780" w:type="dxa"/>
            <w:vAlign w:val="bottom"/>
            <w:shd w:val="clear" w:color="auto" w:fill="D2DCE5"/>
          </w:tcPr>
          <w:p>
            <w:pPr>
              <w:spacing w:after="0" w:line="20" w:lineRule="exact"/>
              <w:rPr>
                <w:sz w:val="1"/>
                <w:szCs w:val="1"/>
                <w:color w:val="auto"/>
              </w:rPr>
            </w:pPr>
          </w:p>
        </w:tc>
        <w:tc>
          <w:tcPr>
            <w:tcW w:w="120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146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3"/>
                <w:szCs w:val="13"/>
                <w:color w:val="131E29"/>
                <w:w w:val="94"/>
              </w:rPr>
              <w:t>31.1</w:t>
            </w:r>
          </w:p>
        </w:tc>
        <w:tc>
          <w:tcPr>
            <w:tcW w:w="100" w:type="dxa"/>
            <w:vAlign w:val="bottom"/>
            <w:tcBorders>
              <w:right w:val="single" w:sz="8" w:color="D2DCE5"/>
            </w:tcBorders>
            <w:shd w:val="clear" w:color="auto" w:fill="D2DCE5"/>
          </w:tcPr>
          <w:p>
            <w:pPr>
              <w:spacing w:after="0"/>
              <w:rPr>
                <w:sz w:val="12"/>
                <w:szCs w:val="12"/>
                <w:color w:val="auto"/>
              </w:rPr>
            </w:pPr>
          </w:p>
        </w:tc>
        <w:tc>
          <w:tcPr>
            <w:tcW w:w="4600" w:type="dxa"/>
            <w:vAlign w:val="bottom"/>
            <w:gridSpan w:val="13"/>
            <w:shd w:val="clear" w:color="auto" w:fill="D2DCE5"/>
          </w:tcPr>
          <w:p>
            <w:pPr>
              <w:spacing w:after="0" w:line="139" w:lineRule="exact"/>
              <w:rPr>
                <w:sz w:val="20"/>
                <w:szCs w:val="20"/>
                <w:color w:val="auto"/>
              </w:rPr>
            </w:pPr>
            <w:r>
              <w:rPr>
                <w:rFonts w:ascii="Arial" w:cs="Arial" w:eastAsia="Arial" w:hAnsi="Arial"/>
                <w:sz w:val="13"/>
                <w:szCs w:val="13"/>
                <w:color w:val="auto"/>
              </w:rPr>
              <w:t>14(a) of the Securities Exchange Act of 1934, as Adopted Pursuant to Section</w:t>
            </w:r>
          </w:p>
        </w:tc>
        <w:tc>
          <w:tcPr>
            <w:tcW w:w="780" w:type="dxa"/>
            <w:vAlign w:val="bottom"/>
            <w:shd w:val="clear" w:color="auto" w:fill="D2DCE5"/>
          </w:tcPr>
          <w:p>
            <w:pPr>
              <w:spacing w:after="0"/>
              <w:rPr>
                <w:sz w:val="12"/>
                <w:szCs w:val="12"/>
                <w:color w:val="auto"/>
              </w:rPr>
            </w:pPr>
          </w:p>
        </w:tc>
        <w:tc>
          <w:tcPr>
            <w:tcW w:w="1200" w:type="dxa"/>
            <w:vAlign w:val="bottom"/>
            <w:shd w:val="clear" w:color="auto" w:fill="D2DCE5"/>
          </w:tcPr>
          <w:p>
            <w:pPr>
              <w:spacing w:after="0"/>
              <w:rPr>
                <w:sz w:val="12"/>
                <w:szCs w:val="12"/>
                <w:color w:val="auto"/>
              </w:rPr>
            </w:pPr>
          </w:p>
        </w:tc>
        <w:tc>
          <w:tcPr>
            <w:tcW w:w="82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46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960" w:type="dxa"/>
            <w:vAlign w:val="bottom"/>
            <w:vMerge w:val="restart"/>
            <w:shd w:val="clear" w:color="auto" w:fill="D2DCE5"/>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29"/>
        </w:trPr>
        <w:tc>
          <w:tcPr>
            <w:tcW w:w="1080" w:type="dxa"/>
            <w:vAlign w:val="bottom"/>
            <w:tcBorders>
              <w:top w:val="single" w:sz="8" w:color="D2DCE5"/>
            </w:tcBorders>
            <w:vMerge w:val="continue"/>
            <w:shd w:val="clear" w:color="auto" w:fill="D2DCE5"/>
          </w:tcPr>
          <w:p>
            <w:pPr>
              <w:spacing w:after="0"/>
              <w:rPr>
                <w:sz w:val="11"/>
                <w:szCs w:val="11"/>
                <w:color w:val="auto"/>
              </w:rPr>
            </w:pPr>
          </w:p>
        </w:tc>
        <w:tc>
          <w:tcPr>
            <w:tcW w:w="100" w:type="dxa"/>
            <w:vAlign w:val="bottom"/>
            <w:tcBorders>
              <w:top w:val="single" w:sz="8" w:color="D2DCE5"/>
              <w:right w:val="single" w:sz="8" w:color="D2DCE5"/>
            </w:tcBorders>
            <w:shd w:val="clear" w:color="auto" w:fill="D2DCE5"/>
          </w:tcPr>
          <w:p>
            <w:pPr>
              <w:spacing w:after="0"/>
              <w:rPr>
                <w:sz w:val="11"/>
                <w:szCs w:val="11"/>
                <w:color w:val="auto"/>
              </w:rPr>
            </w:pPr>
          </w:p>
        </w:tc>
        <w:tc>
          <w:tcPr>
            <w:tcW w:w="4380" w:type="dxa"/>
            <w:vAlign w:val="bottom"/>
            <w:tcBorders>
              <w:top w:val="single" w:sz="8" w:color="auto"/>
            </w:tcBorders>
            <w:gridSpan w:val="9"/>
            <w:shd w:val="clear" w:color="auto" w:fill="D2DCE5"/>
          </w:tcPr>
          <w:p>
            <w:pPr>
              <w:spacing w:after="0" w:line="129" w:lineRule="exact"/>
              <w:rPr>
                <w:sz w:val="20"/>
                <w:szCs w:val="20"/>
                <w:color w:val="auto"/>
              </w:rPr>
            </w:pPr>
            <w:r>
              <w:rPr>
                <w:rFonts w:ascii="Arial" w:cs="Arial" w:eastAsia="Arial" w:hAnsi="Arial"/>
                <w:sz w:val="13"/>
                <w:szCs w:val="13"/>
                <w:color w:val="auto"/>
              </w:rPr>
              <w:t>302 of the Sarbanes-Oxley Act of 2002</w:t>
            </w:r>
          </w:p>
        </w:tc>
        <w:tc>
          <w:tcPr>
            <w:tcW w:w="220" w:type="dxa"/>
            <w:vAlign w:val="bottom"/>
            <w:tcBorders>
              <w:top w:val="single" w:sz="8" w:color="D2DCE5"/>
            </w:tcBorders>
            <w:gridSpan w:val="4"/>
            <w:shd w:val="clear" w:color="auto" w:fill="D2DCE5"/>
          </w:tcPr>
          <w:p>
            <w:pPr>
              <w:spacing w:after="0"/>
              <w:rPr>
                <w:sz w:val="11"/>
                <w:szCs w:val="11"/>
                <w:color w:val="auto"/>
              </w:rPr>
            </w:pPr>
          </w:p>
        </w:tc>
        <w:tc>
          <w:tcPr>
            <w:tcW w:w="780" w:type="dxa"/>
            <w:vAlign w:val="bottom"/>
            <w:tcBorders>
              <w:top w:val="single" w:sz="8" w:color="D2DCE5"/>
            </w:tcBorders>
            <w:shd w:val="clear" w:color="auto" w:fill="D2DCE5"/>
          </w:tcPr>
          <w:p>
            <w:pPr>
              <w:spacing w:after="0"/>
              <w:rPr>
                <w:sz w:val="11"/>
                <w:szCs w:val="11"/>
                <w:color w:val="auto"/>
              </w:rPr>
            </w:pPr>
          </w:p>
        </w:tc>
        <w:tc>
          <w:tcPr>
            <w:tcW w:w="1200" w:type="dxa"/>
            <w:vAlign w:val="bottom"/>
            <w:tcBorders>
              <w:top w:val="single" w:sz="8" w:color="D2DCE5"/>
            </w:tcBorders>
            <w:shd w:val="clear" w:color="auto" w:fill="D2DCE5"/>
          </w:tcPr>
          <w:p>
            <w:pPr>
              <w:spacing w:after="0"/>
              <w:rPr>
                <w:sz w:val="11"/>
                <w:szCs w:val="11"/>
                <w:color w:val="auto"/>
              </w:rPr>
            </w:pPr>
          </w:p>
        </w:tc>
        <w:tc>
          <w:tcPr>
            <w:tcW w:w="820" w:type="dxa"/>
            <w:vAlign w:val="bottom"/>
            <w:tcBorders>
              <w:top w:val="single" w:sz="8" w:color="D2DCE5"/>
            </w:tcBorders>
            <w:shd w:val="clear" w:color="auto" w:fill="D2DCE5"/>
          </w:tcPr>
          <w:p>
            <w:pPr>
              <w:spacing w:after="0"/>
              <w:rPr>
                <w:sz w:val="11"/>
                <w:szCs w:val="11"/>
                <w:color w:val="auto"/>
              </w:rPr>
            </w:pPr>
          </w:p>
        </w:tc>
        <w:tc>
          <w:tcPr>
            <w:tcW w:w="100" w:type="dxa"/>
            <w:vAlign w:val="bottom"/>
            <w:tcBorders>
              <w:top w:val="single" w:sz="8" w:color="D2DCE5"/>
            </w:tcBorders>
            <w:shd w:val="clear" w:color="auto" w:fill="D2DCE5"/>
          </w:tcPr>
          <w:p>
            <w:pPr>
              <w:spacing w:after="0"/>
              <w:rPr>
                <w:sz w:val="11"/>
                <w:szCs w:val="11"/>
                <w:color w:val="auto"/>
              </w:rPr>
            </w:pPr>
          </w:p>
        </w:tc>
        <w:tc>
          <w:tcPr>
            <w:tcW w:w="100" w:type="dxa"/>
            <w:vAlign w:val="bottom"/>
            <w:tcBorders>
              <w:top w:val="single" w:sz="8" w:color="D2DCE5"/>
            </w:tcBorders>
            <w:shd w:val="clear" w:color="auto" w:fill="D2DCE5"/>
          </w:tcPr>
          <w:p>
            <w:pPr>
              <w:spacing w:after="0"/>
              <w:rPr>
                <w:sz w:val="11"/>
                <w:szCs w:val="11"/>
                <w:color w:val="auto"/>
              </w:rPr>
            </w:pPr>
          </w:p>
        </w:tc>
        <w:tc>
          <w:tcPr>
            <w:tcW w:w="1460" w:type="dxa"/>
            <w:vAlign w:val="bottom"/>
            <w:tcBorders>
              <w:top w:val="single" w:sz="8" w:color="D2DCE5"/>
            </w:tcBorders>
            <w:shd w:val="clear" w:color="auto" w:fill="D2DCE5"/>
          </w:tcPr>
          <w:p>
            <w:pPr>
              <w:spacing w:after="0"/>
              <w:rPr>
                <w:sz w:val="11"/>
                <w:szCs w:val="11"/>
                <w:color w:val="auto"/>
              </w:rPr>
            </w:pPr>
          </w:p>
        </w:tc>
        <w:tc>
          <w:tcPr>
            <w:tcW w:w="80" w:type="dxa"/>
            <w:vAlign w:val="bottom"/>
            <w:tcBorders>
              <w:top w:val="single" w:sz="8" w:color="D2DCE5"/>
            </w:tcBorders>
            <w:shd w:val="clear" w:color="auto" w:fill="D2DCE5"/>
          </w:tcPr>
          <w:p>
            <w:pPr>
              <w:spacing w:after="0"/>
              <w:rPr>
                <w:sz w:val="11"/>
                <w:szCs w:val="11"/>
                <w:color w:val="auto"/>
              </w:rPr>
            </w:pPr>
          </w:p>
        </w:tc>
        <w:tc>
          <w:tcPr>
            <w:tcW w:w="960" w:type="dxa"/>
            <w:vAlign w:val="bottom"/>
            <w:tcBorders>
              <w:top w:val="single" w:sz="8" w:color="D2DCE5"/>
            </w:tcBorders>
            <w:vMerge w:val="continue"/>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right w:val="single" w:sz="8" w:color="D2DCE5"/>
            </w:tcBorders>
            <w:shd w:val="clear" w:color="auto" w:fill="D2DCE5"/>
          </w:tcPr>
          <w:p>
            <w:pPr>
              <w:spacing w:after="0" w:line="20" w:lineRule="exact"/>
              <w:rPr>
                <w:sz w:val="1"/>
                <w:szCs w:val="1"/>
                <w:color w:val="auto"/>
              </w:rPr>
            </w:pPr>
          </w:p>
        </w:tc>
        <w:tc>
          <w:tcPr>
            <w:tcW w:w="1000" w:type="dxa"/>
            <w:vAlign w:val="bottom"/>
            <w:tcBorders>
              <w:top w:val="single" w:sz="8" w:color="auto"/>
            </w:tcBorders>
            <w:shd w:val="clear" w:color="auto" w:fill="D2DCE5"/>
          </w:tcPr>
          <w:p>
            <w:pPr>
              <w:spacing w:after="0" w:line="20" w:lineRule="exact"/>
              <w:rPr>
                <w:sz w:val="1"/>
                <w:szCs w:val="1"/>
                <w:color w:val="auto"/>
              </w:rPr>
            </w:pPr>
          </w:p>
        </w:tc>
        <w:tc>
          <w:tcPr>
            <w:tcW w:w="660" w:type="dxa"/>
            <w:vAlign w:val="bottom"/>
            <w:tcBorders>
              <w:top w:val="single" w:sz="8" w:color="auto"/>
            </w:tcBorders>
            <w:shd w:val="clear" w:color="auto" w:fill="D2DCE5"/>
          </w:tcPr>
          <w:p>
            <w:pPr>
              <w:spacing w:after="0" w:line="20" w:lineRule="exact"/>
              <w:rPr>
                <w:sz w:val="1"/>
                <w:szCs w:val="1"/>
                <w:color w:val="auto"/>
              </w:rPr>
            </w:pPr>
          </w:p>
        </w:tc>
        <w:tc>
          <w:tcPr>
            <w:tcW w:w="280" w:type="dxa"/>
            <w:vAlign w:val="bottom"/>
            <w:tcBorders>
              <w:top w:val="single" w:sz="8" w:color="auto"/>
            </w:tcBorders>
            <w:shd w:val="clear" w:color="auto" w:fill="D2DCE5"/>
          </w:tcPr>
          <w:p>
            <w:pPr>
              <w:spacing w:after="0" w:line="20" w:lineRule="exact"/>
              <w:rPr>
                <w:sz w:val="1"/>
                <w:szCs w:val="1"/>
                <w:color w:val="auto"/>
              </w:rPr>
            </w:pPr>
          </w:p>
        </w:tc>
        <w:tc>
          <w:tcPr>
            <w:tcW w:w="240" w:type="dxa"/>
            <w:vAlign w:val="bottom"/>
            <w:tcBorders>
              <w:top w:val="single" w:sz="8" w:color="auto"/>
            </w:tcBorders>
            <w:shd w:val="clear" w:color="auto" w:fill="D2DCE5"/>
          </w:tcPr>
          <w:p>
            <w:pPr>
              <w:spacing w:after="0" w:line="20" w:lineRule="exact"/>
              <w:rPr>
                <w:sz w:val="1"/>
                <w:szCs w:val="1"/>
                <w:color w:val="auto"/>
              </w:rPr>
            </w:pPr>
          </w:p>
        </w:tc>
        <w:tc>
          <w:tcPr>
            <w:tcW w:w="340" w:type="dxa"/>
            <w:vAlign w:val="bottom"/>
            <w:tcBorders>
              <w:top w:val="single" w:sz="8" w:color="D2DCE5"/>
            </w:tcBorders>
            <w:shd w:val="clear" w:color="auto" w:fill="D2DCE5"/>
          </w:tcPr>
          <w:p>
            <w:pPr>
              <w:spacing w:after="0" w:line="20" w:lineRule="exact"/>
              <w:rPr>
                <w:sz w:val="1"/>
                <w:szCs w:val="1"/>
                <w:color w:val="auto"/>
              </w:rPr>
            </w:pPr>
          </w:p>
        </w:tc>
        <w:tc>
          <w:tcPr>
            <w:tcW w:w="1100" w:type="dxa"/>
            <w:vAlign w:val="bottom"/>
            <w:tcBorders>
              <w:top w:val="single" w:sz="8" w:color="D2DCE5"/>
            </w:tcBorders>
            <w:shd w:val="clear" w:color="auto" w:fill="D2DCE5"/>
          </w:tcPr>
          <w:p>
            <w:pPr>
              <w:spacing w:after="0" w:line="20" w:lineRule="exact"/>
              <w:rPr>
                <w:sz w:val="1"/>
                <w:szCs w:val="1"/>
                <w:color w:val="auto"/>
              </w:rPr>
            </w:pPr>
          </w:p>
        </w:tc>
        <w:tc>
          <w:tcPr>
            <w:tcW w:w="6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20" w:type="dxa"/>
            <w:vAlign w:val="bottom"/>
            <w:tcBorders>
              <w:top w:val="single" w:sz="8" w:color="D2DCE5"/>
              <w:left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780" w:type="dxa"/>
            <w:vAlign w:val="bottom"/>
            <w:tcBorders>
              <w:top w:val="single" w:sz="8" w:color="D2DCE5"/>
            </w:tcBorders>
            <w:shd w:val="clear" w:color="auto" w:fill="D2DCE5"/>
          </w:tcPr>
          <w:p>
            <w:pPr>
              <w:spacing w:after="0" w:line="20" w:lineRule="exact"/>
              <w:rPr>
                <w:sz w:val="1"/>
                <w:szCs w:val="1"/>
                <w:color w:val="auto"/>
              </w:rPr>
            </w:pPr>
          </w:p>
        </w:tc>
        <w:tc>
          <w:tcPr>
            <w:tcW w:w="1200" w:type="dxa"/>
            <w:vAlign w:val="bottom"/>
            <w:tcBorders>
              <w:top w:val="single" w:sz="8" w:color="D2DCE5"/>
            </w:tcBorders>
            <w:shd w:val="clear" w:color="auto" w:fill="D2DCE5"/>
          </w:tcPr>
          <w:p>
            <w:pPr>
              <w:spacing w:after="0" w:line="20" w:lineRule="exact"/>
              <w:rPr>
                <w:sz w:val="1"/>
                <w:szCs w:val="1"/>
                <w:color w:val="auto"/>
              </w:rPr>
            </w:pPr>
          </w:p>
        </w:tc>
        <w:tc>
          <w:tcPr>
            <w:tcW w:w="82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46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60" w:type="dxa"/>
            <w:vAlign w:val="bottom"/>
            <w:tcBorders>
              <w:top w:val="single" w:sz="8" w:color="D2DCE5"/>
            </w:tcBorders>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gridSpan w:val="13"/>
          </w:tcPr>
          <w:p>
            <w:pPr>
              <w:spacing w:after="0"/>
              <w:rPr>
                <w:sz w:val="20"/>
                <w:szCs w:val="20"/>
                <w:color w:val="auto"/>
              </w:rPr>
            </w:pPr>
            <w:r>
              <w:rPr>
                <w:rFonts w:ascii="Arial" w:cs="Arial" w:eastAsia="Arial" w:hAnsi="Arial"/>
                <w:sz w:val="13"/>
                <w:szCs w:val="13"/>
                <w:color w:val="auto"/>
              </w:rPr>
              <w:t>Certification of Chief Financial Officer Pursuant to Rules 13a-14(a) and 15d-</w:t>
            </w: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60" w:type="dxa"/>
            <w:vAlign w:val="bottom"/>
            <w:gridSpan w:val="7"/>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80" w:type="dxa"/>
            <w:vAlign w:val="bottom"/>
            <w:vMerge w:val="restart"/>
          </w:tcPr>
          <w:p>
            <w:pPr>
              <w:jc w:val="center"/>
              <w:spacing w:after="0"/>
              <w:rPr>
                <w:sz w:val="20"/>
                <w:szCs w:val="20"/>
                <w:color w:val="auto"/>
              </w:rPr>
            </w:pPr>
            <w:r>
              <w:rPr>
                <w:rFonts w:ascii="Arial" w:cs="Arial" w:eastAsia="Arial" w:hAnsi="Arial"/>
                <w:sz w:val="13"/>
                <w:szCs w:val="13"/>
                <w:color w:val="131E29"/>
                <w:w w:val="94"/>
              </w:rPr>
              <w:t>31.2</w:t>
            </w:r>
          </w:p>
        </w:tc>
        <w:tc>
          <w:tcPr>
            <w:tcW w:w="100" w:type="dxa"/>
            <w:vAlign w:val="bottom"/>
          </w:tcPr>
          <w:p>
            <w:pPr>
              <w:spacing w:after="0"/>
              <w:rPr>
                <w:sz w:val="12"/>
                <w:szCs w:val="12"/>
                <w:color w:val="auto"/>
              </w:rPr>
            </w:pPr>
          </w:p>
        </w:tc>
        <w:tc>
          <w:tcPr>
            <w:tcW w:w="4600" w:type="dxa"/>
            <w:vAlign w:val="bottom"/>
            <w:gridSpan w:val="13"/>
          </w:tcPr>
          <w:p>
            <w:pPr>
              <w:spacing w:after="0" w:line="139" w:lineRule="exact"/>
              <w:rPr>
                <w:sz w:val="20"/>
                <w:szCs w:val="20"/>
                <w:color w:val="auto"/>
              </w:rPr>
            </w:pPr>
            <w:r>
              <w:rPr>
                <w:rFonts w:ascii="Arial" w:cs="Arial" w:eastAsia="Arial" w:hAnsi="Arial"/>
                <w:sz w:val="13"/>
                <w:szCs w:val="13"/>
                <w:color w:val="auto"/>
              </w:rPr>
              <w:t>14(a) of the Securities Exchange Act of 1934, as Adopted Pursuant to Section</w:t>
            </w: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Borders>
              <w:top w:val="single" w:sz="8" w:color="auto"/>
            </w:tcBorders>
            <w:gridSpan w:val="9"/>
          </w:tcPr>
          <w:p>
            <w:pPr>
              <w:spacing w:after="0" w:line="129" w:lineRule="exact"/>
              <w:rPr>
                <w:sz w:val="20"/>
                <w:szCs w:val="20"/>
                <w:color w:val="auto"/>
              </w:rPr>
            </w:pPr>
            <w:r>
              <w:rPr>
                <w:rFonts w:ascii="Arial" w:cs="Arial" w:eastAsia="Arial" w:hAnsi="Arial"/>
                <w:sz w:val="13"/>
                <w:szCs w:val="13"/>
                <w:color w:val="auto"/>
              </w:rPr>
              <w:t>302 of the Sarbanes-Oxley Act of 2002</w:t>
            </w:r>
          </w:p>
        </w:tc>
        <w:tc>
          <w:tcPr>
            <w:tcW w:w="220" w:type="dxa"/>
            <w:vAlign w:val="bottom"/>
            <w:gridSpan w:val="4"/>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right w:val="single" w:sz="8" w:color="D2DCE5"/>
            </w:tcBorders>
            <w:shd w:val="clear" w:color="auto" w:fill="D2DCE5"/>
          </w:tcPr>
          <w:p>
            <w:pPr>
              <w:spacing w:after="0"/>
              <w:rPr>
                <w:sz w:val="12"/>
                <w:szCs w:val="12"/>
                <w:color w:val="auto"/>
              </w:rPr>
            </w:pPr>
          </w:p>
        </w:tc>
        <w:tc>
          <w:tcPr>
            <w:tcW w:w="4440" w:type="dxa"/>
            <w:vAlign w:val="bottom"/>
            <w:tcBorders>
              <w:bottom w:val="single" w:sz="8" w:color="auto"/>
            </w:tcBorders>
            <w:gridSpan w:val="11"/>
            <w:shd w:val="clear" w:color="auto" w:fill="D2DCE5"/>
          </w:tcPr>
          <w:p>
            <w:pPr>
              <w:spacing w:after="0"/>
              <w:rPr>
                <w:sz w:val="20"/>
                <w:szCs w:val="20"/>
                <w:color w:val="auto"/>
              </w:rPr>
            </w:pPr>
            <w:r>
              <w:rPr>
                <w:rFonts w:ascii="Arial" w:cs="Arial" w:eastAsia="Arial" w:hAnsi="Arial"/>
                <w:sz w:val="13"/>
                <w:szCs w:val="13"/>
                <w:color w:val="auto"/>
                <w:w w:val="97"/>
              </w:rPr>
              <w:t>Certifications of Chief Executive Officer and Chief Financial Officer Pursuant to</w:t>
            </w:r>
          </w:p>
        </w:tc>
        <w:tc>
          <w:tcPr>
            <w:tcW w:w="160" w:type="dxa"/>
            <w:vAlign w:val="bottom"/>
            <w:tcBorders>
              <w:bottom w:val="single" w:sz="8" w:color="D2DCE5"/>
            </w:tcBorders>
            <w:gridSpan w:val="2"/>
            <w:shd w:val="clear" w:color="auto" w:fill="D2DCE5"/>
          </w:tcPr>
          <w:p>
            <w:pPr>
              <w:spacing w:after="0"/>
              <w:rPr>
                <w:sz w:val="12"/>
                <w:szCs w:val="12"/>
                <w:color w:val="auto"/>
              </w:rPr>
            </w:pPr>
          </w:p>
        </w:tc>
        <w:tc>
          <w:tcPr>
            <w:tcW w:w="780" w:type="dxa"/>
            <w:vAlign w:val="bottom"/>
            <w:tcBorders>
              <w:bottom w:val="single" w:sz="8" w:color="D2DCE5"/>
            </w:tcBorders>
            <w:shd w:val="clear" w:color="auto" w:fill="D2DCE5"/>
          </w:tcPr>
          <w:p>
            <w:pPr>
              <w:spacing w:after="0"/>
              <w:rPr>
                <w:sz w:val="12"/>
                <w:szCs w:val="12"/>
                <w:color w:val="auto"/>
              </w:rPr>
            </w:pPr>
          </w:p>
        </w:tc>
        <w:tc>
          <w:tcPr>
            <w:tcW w:w="1200" w:type="dxa"/>
            <w:vAlign w:val="bottom"/>
            <w:tcBorders>
              <w:bottom w:val="single" w:sz="8" w:color="D2DCE5"/>
            </w:tcBorders>
            <w:shd w:val="clear" w:color="auto" w:fill="D2DCE5"/>
          </w:tcPr>
          <w:p>
            <w:pPr>
              <w:spacing w:after="0"/>
              <w:rPr>
                <w:sz w:val="12"/>
                <w:szCs w:val="12"/>
                <w:color w:val="auto"/>
              </w:rPr>
            </w:pPr>
          </w:p>
        </w:tc>
        <w:tc>
          <w:tcPr>
            <w:tcW w:w="82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4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Borders>
              <w:bottom w:val="single" w:sz="8" w:color="D2DCE5"/>
            </w:tcBorders>
            <w:vMerge w:val="restart"/>
            <w:shd w:val="clear" w:color="auto" w:fill="D2DCE5"/>
          </w:tcPr>
          <w:p>
            <w:pPr>
              <w:jc w:val="center"/>
              <w:spacing w:after="0"/>
              <w:rPr>
                <w:sz w:val="20"/>
                <w:szCs w:val="20"/>
                <w:color w:val="auto"/>
              </w:rPr>
            </w:pPr>
            <w:r>
              <w:rPr>
                <w:rFonts w:ascii="Arial" w:cs="Arial" w:eastAsia="Arial" w:hAnsi="Arial"/>
                <w:sz w:val="13"/>
                <w:szCs w:val="13"/>
                <w:color w:val="131E29"/>
                <w:w w:val="92"/>
              </w:rPr>
              <w:t>32.1*</w:t>
            </w:r>
          </w:p>
        </w:tc>
        <w:tc>
          <w:tcPr>
            <w:tcW w:w="100" w:type="dxa"/>
            <w:vAlign w:val="bottom"/>
            <w:tcBorders>
              <w:bottom w:val="single" w:sz="8" w:color="D2DCE5"/>
              <w:right w:val="single" w:sz="8" w:color="D2DCE5"/>
            </w:tcBorders>
            <w:shd w:val="clear" w:color="auto" w:fill="D2DCE5"/>
          </w:tcPr>
          <w:p>
            <w:pPr>
              <w:spacing w:after="0"/>
              <w:rPr>
                <w:sz w:val="12"/>
                <w:szCs w:val="12"/>
                <w:color w:val="auto"/>
              </w:rPr>
            </w:pPr>
          </w:p>
        </w:tc>
        <w:tc>
          <w:tcPr>
            <w:tcW w:w="4420" w:type="dxa"/>
            <w:vAlign w:val="bottom"/>
            <w:tcBorders>
              <w:bottom w:val="single" w:sz="8" w:color="auto"/>
            </w:tcBorders>
            <w:gridSpan w:val="10"/>
            <w:shd w:val="clear" w:color="auto" w:fill="D2DCE5"/>
          </w:tcPr>
          <w:p>
            <w:pPr>
              <w:spacing w:after="0" w:line="139" w:lineRule="exact"/>
              <w:rPr>
                <w:sz w:val="20"/>
                <w:szCs w:val="20"/>
                <w:color w:val="auto"/>
              </w:rPr>
            </w:pPr>
            <w:r>
              <w:rPr>
                <w:rFonts w:ascii="Arial" w:cs="Arial" w:eastAsia="Arial" w:hAnsi="Arial"/>
                <w:sz w:val="13"/>
                <w:szCs w:val="13"/>
                <w:color w:val="auto"/>
                <w:w w:val="97"/>
              </w:rPr>
              <w:t>18 U.S.C. Section 1350, as Adopted Pursuant to Section 906 of the Sarbanes-</w:t>
            </w:r>
          </w:p>
        </w:tc>
        <w:tc>
          <w:tcPr>
            <w:tcW w:w="180" w:type="dxa"/>
            <w:vAlign w:val="bottom"/>
            <w:tcBorders>
              <w:bottom w:val="single" w:sz="8" w:color="D2DCE5"/>
            </w:tcBorders>
            <w:gridSpan w:val="3"/>
            <w:shd w:val="clear" w:color="auto" w:fill="D2DCE5"/>
          </w:tcPr>
          <w:p>
            <w:pPr>
              <w:spacing w:after="0"/>
              <w:rPr>
                <w:sz w:val="12"/>
                <w:szCs w:val="12"/>
                <w:color w:val="auto"/>
              </w:rPr>
            </w:pPr>
          </w:p>
        </w:tc>
        <w:tc>
          <w:tcPr>
            <w:tcW w:w="780" w:type="dxa"/>
            <w:vAlign w:val="bottom"/>
            <w:tcBorders>
              <w:bottom w:val="single" w:sz="8" w:color="D2DCE5"/>
            </w:tcBorders>
            <w:shd w:val="clear" w:color="auto" w:fill="D2DCE5"/>
          </w:tcPr>
          <w:p>
            <w:pPr>
              <w:spacing w:after="0"/>
              <w:rPr>
                <w:sz w:val="12"/>
                <w:szCs w:val="12"/>
                <w:color w:val="auto"/>
              </w:rPr>
            </w:pPr>
          </w:p>
        </w:tc>
        <w:tc>
          <w:tcPr>
            <w:tcW w:w="1200" w:type="dxa"/>
            <w:vAlign w:val="bottom"/>
            <w:tcBorders>
              <w:bottom w:val="single" w:sz="8" w:color="D2DCE5"/>
            </w:tcBorders>
            <w:shd w:val="clear" w:color="auto" w:fill="D2DCE5"/>
          </w:tcPr>
          <w:p>
            <w:pPr>
              <w:spacing w:after="0"/>
              <w:rPr>
                <w:sz w:val="12"/>
                <w:szCs w:val="12"/>
                <w:color w:val="auto"/>
              </w:rPr>
            </w:pPr>
          </w:p>
        </w:tc>
        <w:tc>
          <w:tcPr>
            <w:tcW w:w="82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4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vMerge w:val="restart"/>
            <w:shd w:val="clear" w:color="auto" w:fill="D2DCE5"/>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29"/>
        </w:trPr>
        <w:tc>
          <w:tcPr>
            <w:tcW w:w="1080" w:type="dxa"/>
            <w:vAlign w:val="bottom"/>
            <w:vMerge w:val="continue"/>
            <w:shd w:val="clear" w:color="auto" w:fill="D2DCE5"/>
          </w:tcPr>
          <w:p>
            <w:pPr>
              <w:spacing w:after="0"/>
              <w:rPr>
                <w:sz w:val="11"/>
                <w:szCs w:val="11"/>
                <w:color w:val="auto"/>
              </w:rPr>
            </w:pPr>
          </w:p>
        </w:tc>
        <w:tc>
          <w:tcPr>
            <w:tcW w:w="100" w:type="dxa"/>
            <w:vAlign w:val="bottom"/>
            <w:tcBorders>
              <w:right w:val="single" w:sz="8" w:color="D2DCE5"/>
            </w:tcBorders>
            <w:shd w:val="clear" w:color="auto" w:fill="D2DCE5"/>
          </w:tcPr>
          <w:p>
            <w:pPr>
              <w:spacing w:after="0"/>
              <w:rPr>
                <w:sz w:val="11"/>
                <w:szCs w:val="11"/>
                <w:color w:val="auto"/>
              </w:rPr>
            </w:pPr>
          </w:p>
        </w:tc>
        <w:tc>
          <w:tcPr>
            <w:tcW w:w="4600" w:type="dxa"/>
            <w:vAlign w:val="bottom"/>
            <w:gridSpan w:val="13"/>
            <w:shd w:val="clear" w:color="auto" w:fill="D2DCE5"/>
          </w:tcPr>
          <w:p>
            <w:pPr>
              <w:spacing w:after="0" w:line="129" w:lineRule="exact"/>
              <w:rPr>
                <w:sz w:val="20"/>
                <w:szCs w:val="20"/>
                <w:color w:val="auto"/>
              </w:rPr>
            </w:pPr>
            <w:r>
              <w:rPr>
                <w:rFonts w:ascii="Arial" w:cs="Arial" w:eastAsia="Arial" w:hAnsi="Arial"/>
                <w:sz w:val="13"/>
                <w:szCs w:val="13"/>
                <w:color w:val="auto"/>
              </w:rPr>
              <w:t>Oxley Act of 2002</w:t>
            </w:r>
          </w:p>
        </w:tc>
        <w:tc>
          <w:tcPr>
            <w:tcW w:w="780" w:type="dxa"/>
            <w:vAlign w:val="bottom"/>
            <w:shd w:val="clear" w:color="auto" w:fill="D2DCE5"/>
          </w:tcPr>
          <w:p>
            <w:pPr>
              <w:spacing w:after="0"/>
              <w:rPr>
                <w:sz w:val="11"/>
                <w:szCs w:val="11"/>
                <w:color w:val="auto"/>
              </w:rPr>
            </w:pPr>
          </w:p>
        </w:tc>
        <w:tc>
          <w:tcPr>
            <w:tcW w:w="1200" w:type="dxa"/>
            <w:vAlign w:val="bottom"/>
            <w:shd w:val="clear" w:color="auto" w:fill="D2DCE5"/>
          </w:tcPr>
          <w:p>
            <w:pPr>
              <w:spacing w:after="0"/>
              <w:rPr>
                <w:sz w:val="11"/>
                <w:szCs w:val="11"/>
                <w:color w:val="auto"/>
              </w:rPr>
            </w:pPr>
          </w:p>
        </w:tc>
        <w:tc>
          <w:tcPr>
            <w:tcW w:w="82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14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960" w:type="dxa"/>
            <w:vAlign w:val="bottom"/>
            <w:vMerge w:val="continue"/>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right w:val="single" w:sz="8" w:color="D2DCE5"/>
            </w:tcBorders>
            <w:shd w:val="clear" w:color="auto" w:fill="D2DCE5"/>
          </w:tcPr>
          <w:p>
            <w:pPr>
              <w:spacing w:after="0" w:line="20" w:lineRule="exact"/>
              <w:rPr>
                <w:sz w:val="1"/>
                <w:szCs w:val="1"/>
                <w:color w:val="auto"/>
              </w:rPr>
            </w:pPr>
          </w:p>
        </w:tc>
        <w:tc>
          <w:tcPr>
            <w:tcW w:w="1000" w:type="dxa"/>
            <w:vAlign w:val="bottom"/>
            <w:tcBorders>
              <w:top w:val="single" w:sz="8" w:color="auto"/>
            </w:tcBorders>
            <w:shd w:val="clear" w:color="auto" w:fill="D2DCE5"/>
          </w:tcPr>
          <w:p>
            <w:pPr>
              <w:spacing w:after="0" w:line="20" w:lineRule="exact"/>
              <w:rPr>
                <w:sz w:val="1"/>
                <w:szCs w:val="1"/>
                <w:color w:val="auto"/>
              </w:rPr>
            </w:pPr>
          </w:p>
        </w:tc>
        <w:tc>
          <w:tcPr>
            <w:tcW w:w="660" w:type="dxa"/>
            <w:vAlign w:val="bottom"/>
            <w:tcBorders>
              <w:top w:val="single" w:sz="8" w:color="D2DCE5"/>
            </w:tcBorders>
            <w:shd w:val="clear" w:color="auto" w:fill="D2DCE5"/>
          </w:tcPr>
          <w:p>
            <w:pPr>
              <w:spacing w:after="0" w:line="20" w:lineRule="exact"/>
              <w:rPr>
                <w:sz w:val="1"/>
                <w:szCs w:val="1"/>
                <w:color w:val="auto"/>
              </w:rPr>
            </w:pPr>
          </w:p>
        </w:tc>
        <w:tc>
          <w:tcPr>
            <w:tcW w:w="280" w:type="dxa"/>
            <w:vAlign w:val="bottom"/>
            <w:tcBorders>
              <w:top w:val="single" w:sz="8" w:color="D2DCE5"/>
            </w:tcBorders>
            <w:shd w:val="clear" w:color="auto" w:fill="D2DCE5"/>
          </w:tcPr>
          <w:p>
            <w:pPr>
              <w:spacing w:after="0" w:line="20" w:lineRule="exact"/>
              <w:rPr>
                <w:sz w:val="1"/>
                <w:szCs w:val="1"/>
                <w:color w:val="auto"/>
              </w:rPr>
            </w:pPr>
          </w:p>
        </w:tc>
        <w:tc>
          <w:tcPr>
            <w:tcW w:w="240" w:type="dxa"/>
            <w:vAlign w:val="bottom"/>
            <w:tcBorders>
              <w:top w:val="single" w:sz="8" w:color="D2DCE5"/>
            </w:tcBorders>
            <w:shd w:val="clear" w:color="auto" w:fill="D2DCE5"/>
          </w:tcPr>
          <w:p>
            <w:pPr>
              <w:spacing w:after="0" w:line="20" w:lineRule="exact"/>
              <w:rPr>
                <w:sz w:val="1"/>
                <w:szCs w:val="1"/>
                <w:color w:val="auto"/>
              </w:rPr>
            </w:pPr>
          </w:p>
        </w:tc>
        <w:tc>
          <w:tcPr>
            <w:tcW w:w="340" w:type="dxa"/>
            <w:vAlign w:val="bottom"/>
            <w:tcBorders>
              <w:top w:val="single" w:sz="8" w:color="D2DCE5"/>
            </w:tcBorders>
            <w:shd w:val="clear" w:color="auto" w:fill="D2DCE5"/>
          </w:tcPr>
          <w:p>
            <w:pPr>
              <w:spacing w:after="0" w:line="20" w:lineRule="exact"/>
              <w:rPr>
                <w:sz w:val="1"/>
                <w:szCs w:val="1"/>
                <w:color w:val="auto"/>
              </w:rPr>
            </w:pPr>
          </w:p>
        </w:tc>
        <w:tc>
          <w:tcPr>
            <w:tcW w:w="1100" w:type="dxa"/>
            <w:vAlign w:val="bottom"/>
            <w:tcBorders>
              <w:top w:val="single" w:sz="8" w:color="D2DCE5"/>
            </w:tcBorders>
            <w:shd w:val="clear" w:color="auto" w:fill="D2DCE5"/>
          </w:tcPr>
          <w:p>
            <w:pPr>
              <w:spacing w:after="0" w:line="20" w:lineRule="exact"/>
              <w:rPr>
                <w:sz w:val="1"/>
                <w:szCs w:val="1"/>
                <w:color w:val="auto"/>
              </w:rPr>
            </w:pPr>
          </w:p>
        </w:tc>
        <w:tc>
          <w:tcPr>
            <w:tcW w:w="6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20" w:type="dxa"/>
            <w:vAlign w:val="bottom"/>
            <w:tcBorders>
              <w:top w:val="single" w:sz="8" w:color="D2DCE5"/>
              <w:left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780" w:type="dxa"/>
            <w:vAlign w:val="bottom"/>
            <w:tcBorders>
              <w:top w:val="single" w:sz="8" w:color="D2DCE5"/>
            </w:tcBorders>
            <w:shd w:val="clear" w:color="auto" w:fill="D2DCE5"/>
          </w:tcPr>
          <w:p>
            <w:pPr>
              <w:spacing w:after="0" w:line="20" w:lineRule="exact"/>
              <w:rPr>
                <w:sz w:val="1"/>
                <w:szCs w:val="1"/>
                <w:color w:val="auto"/>
              </w:rPr>
            </w:pPr>
          </w:p>
        </w:tc>
        <w:tc>
          <w:tcPr>
            <w:tcW w:w="1200" w:type="dxa"/>
            <w:vAlign w:val="bottom"/>
            <w:tcBorders>
              <w:top w:val="single" w:sz="8" w:color="D2DCE5"/>
            </w:tcBorders>
            <w:shd w:val="clear" w:color="auto" w:fill="D2DCE5"/>
          </w:tcPr>
          <w:p>
            <w:pPr>
              <w:spacing w:after="0" w:line="20" w:lineRule="exact"/>
              <w:rPr>
                <w:sz w:val="1"/>
                <w:szCs w:val="1"/>
                <w:color w:val="auto"/>
              </w:rPr>
            </w:pPr>
          </w:p>
        </w:tc>
        <w:tc>
          <w:tcPr>
            <w:tcW w:w="82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46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60" w:type="dxa"/>
            <w:vAlign w:val="bottom"/>
            <w:tcBorders>
              <w:top w:val="single" w:sz="8" w:color="D2DCE5"/>
            </w:tcBorders>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101.INS</w:t>
            </w:r>
          </w:p>
        </w:tc>
        <w:tc>
          <w:tcPr>
            <w:tcW w:w="4600" w:type="dxa"/>
            <w:vAlign w:val="bottom"/>
            <w:gridSpan w:val="13"/>
          </w:tcPr>
          <w:p>
            <w:pPr>
              <w:spacing w:after="0"/>
              <w:rPr>
                <w:sz w:val="20"/>
                <w:szCs w:val="20"/>
                <w:color w:val="auto"/>
              </w:rPr>
            </w:pPr>
            <w:r>
              <w:rPr>
                <w:rFonts w:ascii="Arial" w:cs="Arial" w:eastAsia="Arial" w:hAnsi="Arial"/>
                <w:sz w:val="13"/>
                <w:szCs w:val="13"/>
                <w:color w:val="131E29"/>
              </w:rPr>
              <w:t>XBRL Instance Document</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98"/>
        </w:trPr>
        <w:tc>
          <w:tcPr>
            <w:tcW w:w="1180" w:type="dxa"/>
            <w:vAlign w:val="bottom"/>
            <w:tcBorders>
              <w:right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3"/>
                <w:szCs w:val="13"/>
                <w:color w:val="131E29"/>
                <w:w w:val="98"/>
              </w:rPr>
              <w:t>101.SCH</w:t>
            </w:r>
          </w:p>
        </w:tc>
        <w:tc>
          <w:tcPr>
            <w:tcW w:w="4600" w:type="dxa"/>
            <w:vAlign w:val="bottom"/>
            <w:gridSpan w:val="13"/>
            <w:shd w:val="clear" w:color="auto" w:fill="D2DCE5"/>
          </w:tcPr>
          <w:p>
            <w:pPr>
              <w:spacing w:after="0"/>
              <w:rPr>
                <w:sz w:val="20"/>
                <w:szCs w:val="20"/>
                <w:color w:val="auto"/>
              </w:rPr>
            </w:pPr>
            <w:r>
              <w:rPr>
                <w:rFonts w:ascii="Arial" w:cs="Arial" w:eastAsia="Arial" w:hAnsi="Arial"/>
                <w:sz w:val="13"/>
                <w:szCs w:val="13"/>
                <w:color w:val="131E29"/>
              </w:rPr>
              <w:t>XBRL Taxonomy Extension Schema Document</w:t>
            </w:r>
          </w:p>
        </w:tc>
        <w:tc>
          <w:tcPr>
            <w:tcW w:w="78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4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131E29"/>
                <w:w w:val="94"/>
              </w:rPr>
              <w:t>101.CAL</w:t>
            </w:r>
          </w:p>
        </w:tc>
        <w:tc>
          <w:tcPr>
            <w:tcW w:w="4600" w:type="dxa"/>
            <w:vAlign w:val="bottom"/>
            <w:gridSpan w:val="13"/>
          </w:tcPr>
          <w:p>
            <w:pPr>
              <w:spacing w:after="0"/>
              <w:rPr>
                <w:sz w:val="20"/>
                <w:szCs w:val="20"/>
                <w:color w:val="auto"/>
              </w:rPr>
            </w:pPr>
            <w:r>
              <w:rPr>
                <w:rFonts w:ascii="Arial" w:cs="Arial" w:eastAsia="Arial" w:hAnsi="Arial"/>
                <w:sz w:val="13"/>
                <w:szCs w:val="13"/>
                <w:color w:val="131E29"/>
              </w:rPr>
              <w:t>XBRL Taxonomy Extension Calculation Linkbase Document</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98"/>
        </w:trPr>
        <w:tc>
          <w:tcPr>
            <w:tcW w:w="1180" w:type="dxa"/>
            <w:vAlign w:val="bottom"/>
            <w:tcBorders>
              <w:right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3"/>
                <w:szCs w:val="13"/>
                <w:color w:val="131E29"/>
              </w:rPr>
              <w:t>101.DEF</w:t>
            </w:r>
          </w:p>
        </w:tc>
        <w:tc>
          <w:tcPr>
            <w:tcW w:w="4600" w:type="dxa"/>
            <w:vAlign w:val="bottom"/>
            <w:gridSpan w:val="13"/>
            <w:shd w:val="clear" w:color="auto" w:fill="D2DCE5"/>
          </w:tcPr>
          <w:p>
            <w:pPr>
              <w:spacing w:after="0"/>
              <w:rPr>
                <w:sz w:val="20"/>
                <w:szCs w:val="20"/>
                <w:color w:val="auto"/>
              </w:rPr>
            </w:pPr>
            <w:r>
              <w:rPr>
                <w:rFonts w:ascii="Arial" w:cs="Arial" w:eastAsia="Arial" w:hAnsi="Arial"/>
                <w:sz w:val="13"/>
                <w:szCs w:val="13"/>
                <w:color w:val="131E29"/>
              </w:rPr>
              <w:t>XBRL Taxonomy Extension Definition Linkbase Document</w:t>
            </w:r>
          </w:p>
        </w:tc>
        <w:tc>
          <w:tcPr>
            <w:tcW w:w="78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4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101.LAB</w:t>
            </w:r>
          </w:p>
        </w:tc>
        <w:tc>
          <w:tcPr>
            <w:tcW w:w="4600" w:type="dxa"/>
            <w:vAlign w:val="bottom"/>
            <w:gridSpan w:val="13"/>
          </w:tcPr>
          <w:p>
            <w:pPr>
              <w:spacing w:after="0"/>
              <w:rPr>
                <w:sz w:val="20"/>
                <w:szCs w:val="20"/>
                <w:color w:val="auto"/>
              </w:rPr>
            </w:pPr>
            <w:r>
              <w:rPr>
                <w:rFonts w:ascii="Arial" w:cs="Arial" w:eastAsia="Arial" w:hAnsi="Arial"/>
                <w:sz w:val="13"/>
                <w:szCs w:val="13"/>
                <w:color w:val="131E29"/>
              </w:rPr>
              <w:t>XBRL Taxonomy Extension Label Linkbase Document</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98"/>
        </w:trPr>
        <w:tc>
          <w:tcPr>
            <w:tcW w:w="1180" w:type="dxa"/>
            <w:vAlign w:val="bottom"/>
            <w:tcBorders>
              <w:right w:val="single" w:sz="8" w:color="D2DCE5"/>
            </w:tcBorders>
            <w:gridSpan w:val="2"/>
            <w:shd w:val="clear" w:color="auto" w:fill="D2DCE5"/>
          </w:tcPr>
          <w:p>
            <w:pPr>
              <w:jc w:val="center"/>
              <w:ind w:right="100"/>
              <w:spacing w:after="0"/>
              <w:rPr>
                <w:sz w:val="20"/>
                <w:szCs w:val="20"/>
                <w:color w:val="auto"/>
              </w:rPr>
            </w:pPr>
            <w:r>
              <w:rPr>
                <w:rFonts w:ascii="Arial" w:cs="Arial" w:eastAsia="Arial" w:hAnsi="Arial"/>
                <w:sz w:val="13"/>
                <w:szCs w:val="13"/>
                <w:color w:val="131E29"/>
                <w:w w:val="99"/>
              </w:rPr>
              <w:t>101.PRE</w:t>
            </w:r>
          </w:p>
        </w:tc>
        <w:tc>
          <w:tcPr>
            <w:tcW w:w="4600" w:type="dxa"/>
            <w:vAlign w:val="bottom"/>
            <w:gridSpan w:val="13"/>
            <w:shd w:val="clear" w:color="auto" w:fill="D2DCE5"/>
          </w:tcPr>
          <w:p>
            <w:pPr>
              <w:spacing w:after="0"/>
              <w:rPr>
                <w:sz w:val="20"/>
                <w:szCs w:val="20"/>
                <w:color w:val="auto"/>
              </w:rPr>
            </w:pPr>
            <w:r>
              <w:rPr>
                <w:rFonts w:ascii="Arial" w:cs="Arial" w:eastAsia="Arial" w:hAnsi="Arial"/>
                <w:sz w:val="13"/>
                <w:szCs w:val="13"/>
                <w:color w:val="131E29"/>
              </w:rPr>
              <w:t>XBRL Taxonomy Extension Presentation Linkbase Document</w:t>
            </w:r>
          </w:p>
        </w:tc>
        <w:tc>
          <w:tcPr>
            <w:tcW w:w="78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82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4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gridSpan w:val="13"/>
          </w:tcPr>
          <w:p>
            <w:pPr>
              <w:spacing w:after="0"/>
              <w:rPr>
                <w:sz w:val="20"/>
                <w:szCs w:val="20"/>
                <w:color w:val="auto"/>
              </w:rPr>
            </w:pPr>
            <w:r>
              <w:rPr>
                <w:rFonts w:ascii="Arial" w:cs="Arial" w:eastAsia="Arial" w:hAnsi="Arial"/>
                <w:sz w:val="13"/>
                <w:szCs w:val="13"/>
                <w:color w:val="131E29"/>
              </w:rPr>
              <w:t>Cover Page with Interactive Data File (formatted as Inline XBRL with applicable</w:t>
            </w: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jc w:val="center"/>
              <w:spacing w:after="0"/>
              <w:rPr>
                <w:sz w:val="20"/>
                <w:szCs w:val="20"/>
                <w:color w:val="auto"/>
              </w:rPr>
            </w:pPr>
            <w:r>
              <w:rPr>
                <w:rFonts w:ascii="Arial" w:cs="Arial" w:eastAsia="Arial" w:hAnsi="Arial"/>
                <w:sz w:val="13"/>
                <w:szCs w:val="13"/>
                <w:color w:val="131E29"/>
                <w:w w:val="92"/>
              </w:rPr>
              <w:t>104</w:t>
            </w:r>
          </w:p>
        </w:tc>
        <w:tc>
          <w:tcPr>
            <w:tcW w:w="100" w:type="dxa"/>
            <w:vAlign w:val="bottom"/>
          </w:tcPr>
          <w:p>
            <w:pPr>
              <w:spacing w:after="0"/>
              <w:rPr>
                <w:sz w:val="14"/>
                <w:szCs w:val="14"/>
                <w:color w:val="auto"/>
              </w:rPr>
            </w:pPr>
          </w:p>
        </w:tc>
        <w:tc>
          <w:tcPr>
            <w:tcW w:w="4600" w:type="dxa"/>
            <w:vAlign w:val="bottom"/>
            <w:gridSpan w:val="13"/>
          </w:tcPr>
          <w:p>
            <w:pPr>
              <w:spacing w:after="0"/>
              <w:rPr>
                <w:sz w:val="20"/>
                <w:szCs w:val="20"/>
                <w:color w:val="auto"/>
              </w:rPr>
            </w:pPr>
            <w:r>
              <w:rPr>
                <w:rFonts w:ascii="Arial" w:cs="Arial" w:eastAsia="Arial" w:hAnsi="Arial"/>
                <w:sz w:val="13"/>
                <w:szCs w:val="13"/>
                <w:color w:val="131E29"/>
              </w:rPr>
              <w:t>taxonomy extension information contained in Exhibits 101)</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131E29"/>
        </w:rPr>
        <w:t>_______________________</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 Management contract or compensatory plan or arrangement.</w:t>
      </w:r>
    </w:p>
    <w:p>
      <w:pPr>
        <w:spacing w:after="0" w:line="54" w:lineRule="exact"/>
        <w:rPr>
          <w:sz w:val="20"/>
          <w:szCs w:val="20"/>
          <w:color w:val="auto"/>
        </w:rPr>
      </w:pPr>
    </w:p>
    <w:p>
      <w:pPr>
        <w:ind w:left="140" w:hanging="135"/>
        <w:spacing w:after="0" w:line="283" w:lineRule="auto"/>
        <w:tabs>
          <w:tab w:leader="none" w:pos="227"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84"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80" w:type="dxa"/>
            <w:vAlign w:val="bottom"/>
          </w:tcPr>
          <w:p>
            <w:pPr>
              <w:spacing w:after="0"/>
              <w:rPr>
                <w:sz w:val="16"/>
                <w:szCs w:val="16"/>
                <w:color w:val="auto"/>
              </w:rPr>
            </w:pPr>
          </w:p>
        </w:tc>
        <w:tc>
          <w:tcPr>
            <w:tcW w:w="4680" w:type="dxa"/>
            <w:vAlign w:val="bottom"/>
            <w:gridSpan w:val="2"/>
          </w:tcPr>
          <w:p>
            <w:pPr>
              <w:ind w:left="3260"/>
              <w:spacing w:after="0"/>
              <w:rPr>
                <w:sz w:val="20"/>
                <w:szCs w:val="20"/>
                <w:color w:val="auto"/>
              </w:rPr>
            </w:pPr>
            <w:r>
              <w:rPr>
                <w:rFonts w:ascii="Arial" w:cs="Arial" w:eastAsia="Arial" w:hAnsi="Arial"/>
                <w:sz w:val="14"/>
                <w:szCs w:val="14"/>
                <w:b w:val="1"/>
                <w:bCs w:val="1"/>
                <w:color w:val="131E29"/>
              </w:rPr>
              <w:t>DUTCH BROS INC.</w:t>
            </w:r>
          </w:p>
        </w:tc>
        <w:tc>
          <w:tcPr>
            <w:tcW w:w="3920" w:type="dxa"/>
            <w:vAlign w:val="bottom"/>
          </w:tcPr>
          <w:p>
            <w:pPr>
              <w:spacing w:after="0"/>
              <w:rPr>
                <w:sz w:val="16"/>
                <w:szCs w:val="16"/>
                <w:color w:val="auto"/>
              </w:rPr>
            </w:pPr>
          </w:p>
        </w:tc>
      </w:tr>
      <w:tr>
        <w:trPr>
          <w:trHeight w:val="204"/>
        </w:trPr>
        <w:tc>
          <w:tcPr>
            <w:tcW w:w="2680" w:type="dxa"/>
            <w:vAlign w:val="bottom"/>
          </w:tcPr>
          <w:p>
            <w:pPr>
              <w:spacing w:after="0"/>
              <w:rPr>
                <w:sz w:val="17"/>
                <w:szCs w:val="17"/>
                <w:color w:val="auto"/>
              </w:rPr>
            </w:pPr>
          </w:p>
        </w:tc>
        <w:tc>
          <w:tcPr>
            <w:tcW w:w="4680" w:type="dxa"/>
            <w:vAlign w:val="bottom"/>
            <w:gridSpan w:val="2"/>
          </w:tcPr>
          <w:p>
            <w:pPr>
              <w:ind w:left="3260"/>
              <w:spacing w:after="0"/>
              <w:rPr>
                <w:sz w:val="20"/>
                <w:szCs w:val="20"/>
                <w:color w:val="auto"/>
              </w:rPr>
            </w:pPr>
            <w:r>
              <w:rPr>
                <w:rFonts w:ascii="Arial" w:cs="Arial" w:eastAsia="Arial" w:hAnsi="Arial"/>
                <w:sz w:val="14"/>
                <w:szCs w:val="14"/>
                <w:color w:val="131E29"/>
              </w:rPr>
              <w:t>(Registrant)</w:t>
            </w:r>
          </w:p>
        </w:tc>
        <w:tc>
          <w:tcPr>
            <w:tcW w:w="3920" w:type="dxa"/>
            <w:vAlign w:val="bottom"/>
          </w:tcPr>
          <w:p>
            <w:pPr>
              <w:spacing w:after="0"/>
              <w:rPr>
                <w:sz w:val="17"/>
                <w:szCs w:val="17"/>
                <w:color w:val="auto"/>
              </w:rPr>
            </w:pPr>
          </w:p>
        </w:tc>
      </w:tr>
      <w:tr>
        <w:trPr>
          <w:trHeight w:val="470"/>
        </w:trPr>
        <w:tc>
          <w:tcPr>
            <w:tcW w:w="2680" w:type="dxa"/>
            <w:vAlign w:val="bottom"/>
          </w:tcPr>
          <w:p>
            <w:pPr>
              <w:ind w:left="20"/>
              <w:spacing w:after="0"/>
              <w:rPr>
                <w:sz w:val="20"/>
                <w:szCs w:val="20"/>
                <w:color w:val="auto"/>
              </w:rPr>
            </w:pPr>
            <w:r>
              <w:rPr>
                <w:rFonts w:ascii="Arial" w:cs="Arial" w:eastAsia="Arial" w:hAnsi="Arial"/>
                <w:sz w:val="14"/>
                <w:szCs w:val="14"/>
                <w:color w:val="131E29"/>
              </w:rPr>
              <w:t>November 7, 2024</w:t>
            </w:r>
          </w:p>
        </w:tc>
        <w:tc>
          <w:tcPr>
            <w:tcW w:w="4680" w:type="dxa"/>
            <w:vAlign w:val="bottom"/>
            <w:gridSpan w:val="2"/>
          </w:tcPr>
          <w:p>
            <w:pPr>
              <w:ind w:left="3260"/>
              <w:spacing w:after="0"/>
              <w:rPr>
                <w:sz w:val="20"/>
                <w:szCs w:val="20"/>
                <w:color w:val="auto"/>
              </w:rPr>
            </w:pPr>
            <w:r>
              <w:rPr>
                <w:rFonts w:ascii="Arial" w:cs="Arial" w:eastAsia="Arial" w:hAnsi="Arial"/>
                <w:sz w:val="14"/>
                <w:szCs w:val="14"/>
                <w:color w:val="131E29"/>
              </w:rPr>
              <w:t>By:</w:t>
            </w:r>
          </w:p>
        </w:tc>
        <w:tc>
          <w:tcPr>
            <w:tcW w:w="3920" w:type="dxa"/>
            <w:vAlign w:val="bottom"/>
          </w:tcPr>
          <w:p>
            <w:pPr>
              <w:jc w:val="center"/>
              <w:ind w:right="789"/>
              <w:spacing w:after="0"/>
              <w:rPr>
                <w:sz w:val="20"/>
                <w:szCs w:val="20"/>
                <w:color w:val="auto"/>
              </w:rPr>
            </w:pPr>
            <w:r>
              <w:rPr>
                <w:rFonts w:ascii="Arial" w:cs="Arial" w:eastAsia="Arial" w:hAnsi="Arial"/>
                <w:sz w:val="14"/>
                <w:szCs w:val="14"/>
                <w:b w:val="1"/>
                <w:bCs w:val="1"/>
                <w:color w:val="131E29"/>
              </w:rPr>
              <w:t>/s/ Christine Barone</w:t>
            </w:r>
          </w:p>
        </w:tc>
      </w:tr>
      <w:tr>
        <w:trPr>
          <w:trHeight w:val="189"/>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131E29"/>
              </w:rPr>
              <w:t>Date</w:t>
            </w:r>
          </w:p>
        </w:tc>
        <w:tc>
          <w:tcPr>
            <w:tcW w:w="38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jc w:val="center"/>
              <w:ind w:right="789"/>
              <w:spacing w:after="0"/>
              <w:rPr>
                <w:sz w:val="20"/>
                <w:szCs w:val="20"/>
                <w:color w:val="auto"/>
              </w:rPr>
            </w:pPr>
            <w:r>
              <w:rPr>
                <w:rFonts w:ascii="Arial" w:cs="Arial" w:eastAsia="Arial" w:hAnsi="Arial"/>
                <w:sz w:val="14"/>
                <w:szCs w:val="14"/>
                <w:color w:val="131E29"/>
              </w:rPr>
              <w:t>Christine Barone</w:t>
            </w:r>
          </w:p>
        </w:tc>
      </w:tr>
      <w:tr>
        <w:trPr>
          <w:trHeight w:val="212"/>
        </w:trPr>
        <w:tc>
          <w:tcPr>
            <w:tcW w:w="2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jc w:val="center"/>
              <w:ind w:right="789"/>
              <w:spacing w:after="0"/>
              <w:rPr>
                <w:sz w:val="20"/>
                <w:szCs w:val="20"/>
                <w:color w:val="auto"/>
              </w:rPr>
            </w:pPr>
            <w:r>
              <w:rPr>
                <w:rFonts w:ascii="Arial" w:cs="Arial" w:eastAsia="Arial" w:hAnsi="Arial"/>
                <w:sz w:val="14"/>
                <w:szCs w:val="14"/>
                <w:color w:val="131E29"/>
              </w:rPr>
              <w:t>Chief Executive Officer and President</w:t>
            </w:r>
          </w:p>
        </w:tc>
      </w:tr>
      <w:tr>
        <w:trPr>
          <w:trHeight w:val="212"/>
        </w:trPr>
        <w:tc>
          <w:tcPr>
            <w:tcW w:w="2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jc w:val="center"/>
              <w:ind w:right="789"/>
              <w:spacing w:after="0"/>
              <w:rPr>
                <w:sz w:val="20"/>
                <w:szCs w:val="20"/>
                <w:color w:val="auto"/>
              </w:rPr>
            </w:pPr>
            <w:r>
              <w:rPr>
                <w:rFonts w:ascii="Arial" w:cs="Arial" w:eastAsia="Arial" w:hAnsi="Arial"/>
                <w:sz w:val="14"/>
                <w:szCs w:val="14"/>
                <w:i w:val="1"/>
                <w:iCs w:val="1"/>
                <w:color w:val="131E29"/>
              </w:rPr>
              <w:t>(Principal Executive Officer)</w:t>
            </w:r>
          </w:p>
        </w:tc>
      </w:tr>
      <w:tr>
        <w:trPr>
          <w:trHeight w:val="629"/>
        </w:trPr>
        <w:tc>
          <w:tcPr>
            <w:tcW w:w="2680" w:type="dxa"/>
            <w:vAlign w:val="bottom"/>
          </w:tcPr>
          <w:p>
            <w:pPr>
              <w:ind w:left="20"/>
              <w:spacing w:after="0"/>
              <w:rPr>
                <w:sz w:val="20"/>
                <w:szCs w:val="20"/>
                <w:color w:val="auto"/>
              </w:rPr>
            </w:pPr>
            <w:r>
              <w:rPr>
                <w:rFonts w:ascii="Arial" w:cs="Arial" w:eastAsia="Arial" w:hAnsi="Arial"/>
                <w:sz w:val="14"/>
                <w:szCs w:val="14"/>
                <w:color w:val="131E29"/>
              </w:rPr>
              <w:t>November 7, 2024</w:t>
            </w:r>
          </w:p>
        </w:tc>
        <w:tc>
          <w:tcPr>
            <w:tcW w:w="4680" w:type="dxa"/>
            <w:vAlign w:val="bottom"/>
            <w:gridSpan w:val="2"/>
          </w:tcPr>
          <w:p>
            <w:pPr>
              <w:ind w:left="3260"/>
              <w:spacing w:after="0"/>
              <w:rPr>
                <w:sz w:val="20"/>
                <w:szCs w:val="20"/>
                <w:color w:val="auto"/>
              </w:rPr>
            </w:pPr>
            <w:r>
              <w:rPr>
                <w:rFonts w:ascii="Arial" w:cs="Arial" w:eastAsia="Arial" w:hAnsi="Arial"/>
                <w:sz w:val="14"/>
                <w:szCs w:val="14"/>
                <w:color w:val="131E29"/>
              </w:rPr>
              <w:t>By:</w:t>
            </w:r>
          </w:p>
        </w:tc>
        <w:tc>
          <w:tcPr>
            <w:tcW w:w="3920" w:type="dxa"/>
            <w:vAlign w:val="bottom"/>
          </w:tcPr>
          <w:p>
            <w:pPr>
              <w:jc w:val="center"/>
              <w:ind w:right="789"/>
              <w:spacing w:after="0"/>
              <w:rPr>
                <w:sz w:val="20"/>
                <w:szCs w:val="20"/>
                <w:color w:val="auto"/>
              </w:rPr>
            </w:pPr>
            <w:r>
              <w:rPr>
                <w:rFonts w:ascii="Arial" w:cs="Arial" w:eastAsia="Arial" w:hAnsi="Arial"/>
                <w:sz w:val="14"/>
                <w:szCs w:val="14"/>
                <w:b w:val="1"/>
                <w:bCs w:val="1"/>
                <w:color w:val="131E29"/>
              </w:rPr>
              <w:t>/s/ Joshua Guenser</w:t>
            </w:r>
          </w:p>
        </w:tc>
      </w:tr>
      <w:tr>
        <w:trPr>
          <w:trHeight w:val="189"/>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131E29"/>
              </w:rPr>
              <w:t>Date</w:t>
            </w:r>
          </w:p>
        </w:tc>
        <w:tc>
          <w:tcPr>
            <w:tcW w:w="38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jc w:val="center"/>
              <w:ind w:right="809"/>
              <w:spacing w:after="0"/>
              <w:rPr>
                <w:sz w:val="20"/>
                <w:szCs w:val="20"/>
                <w:color w:val="auto"/>
              </w:rPr>
            </w:pPr>
            <w:r>
              <w:rPr>
                <w:rFonts w:ascii="Arial" w:cs="Arial" w:eastAsia="Arial" w:hAnsi="Arial"/>
                <w:sz w:val="14"/>
                <w:szCs w:val="14"/>
                <w:color w:val="131E29"/>
              </w:rPr>
              <w:t>Joshua Guenser</w:t>
            </w:r>
          </w:p>
        </w:tc>
      </w:tr>
      <w:tr>
        <w:trPr>
          <w:trHeight w:val="212"/>
        </w:trPr>
        <w:tc>
          <w:tcPr>
            <w:tcW w:w="2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jc w:val="center"/>
              <w:ind w:right="789"/>
              <w:spacing w:after="0"/>
              <w:rPr>
                <w:sz w:val="20"/>
                <w:szCs w:val="20"/>
                <w:color w:val="auto"/>
              </w:rPr>
            </w:pPr>
            <w:r>
              <w:rPr>
                <w:rFonts w:ascii="Arial" w:cs="Arial" w:eastAsia="Arial" w:hAnsi="Arial"/>
                <w:sz w:val="14"/>
                <w:szCs w:val="14"/>
                <w:color w:val="131E29"/>
              </w:rPr>
              <w:t>Chief Financial Officer</w:t>
            </w:r>
          </w:p>
        </w:tc>
      </w:tr>
      <w:tr>
        <w:trPr>
          <w:trHeight w:val="212"/>
        </w:trPr>
        <w:tc>
          <w:tcPr>
            <w:tcW w:w="2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jc w:val="center"/>
              <w:ind w:right="809"/>
              <w:spacing w:after="0"/>
              <w:rPr>
                <w:sz w:val="20"/>
                <w:szCs w:val="20"/>
                <w:color w:val="auto"/>
              </w:rPr>
            </w:pPr>
            <w:r>
              <w:rPr>
                <w:rFonts w:ascii="Arial" w:cs="Arial" w:eastAsia="Arial" w:hAnsi="Arial"/>
                <w:sz w:val="14"/>
                <w:szCs w:val="14"/>
                <w:i w:val="1"/>
                <w:iCs w:val="1"/>
                <w:color w:val="131E2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10-Q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104</w:t>
      </w:r>
    </w:p>
    <w:p>
      <w:pPr>
        <w:sectPr>
          <w:pgSz w:w="11900" w:h="16838" w:orient="portrait"/>
          <w:cols w:equalWidth="0" w:num="1">
            <w:col w:w="11280"/>
          </w:cols>
          <w:pgMar w:left="300" w:top="133" w:right="319" w:bottom="1440"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131E29"/>
        </w:rPr>
        <w:t>Exhibit 31.1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I, Christine Barone, certify that:</w:t>
      </w:r>
    </w:p>
    <w:p>
      <w:pPr>
        <w:spacing w:after="0" w:line="136" w:lineRule="exact"/>
        <w:rPr>
          <w:sz w:val="20"/>
          <w:szCs w:val="20"/>
          <w:color w:val="auto"/>
        </w:rPr>
      </w:pPr>
    </w:p>
    <w:p>
      <w:pPr>
        <w:ind w:left="500" w:hanging="240"/>
        <w:spacing w:after="0"/>
        <w:tabs>
          <w:tab w:leader="none" w:pos="500" w:val="left"/>
        </w:tabs>
        <w:numPr>
          <w:ilvl w:val="0"/>
          <w:numId w:val="52"/>
        </w:numPr>
        <w:rPr>
          <w:rFonts w:ascii="Arial" w:cs="Arial" w:eastAsia="Arial" w:hAnsi="Arial"/>
          <w:sz w:val="14"/>
          <w:szCs w:val="14"/>
          <w:color w:val="131E29"/>
        </w:rPr>
      </w:pPr>
      <w:r>
        <w:rPr>
          <w:rFonts w:ascii="Arial" w:cs="Arial" w:eastAsia="Arial" w:hAnsi="Arial"/>
          <w:sz w:val="14"/>
          <w:szCs w:val="14"/>
          <w:color w:val="131E29"/>
        </w:rPr>
        <w:t>I have reviewed this Quarterly Report on Form 10-Q for the period ended September 30, 2024 of Dutch Bros Inc.;</w:t>
      </w:r>
    </w:p>
    <w:p>
      <w:pPr>
        <w:spacing w:after="0" w:line="93"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2"/>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2"/>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2"/>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52"/>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52"/>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131E29"/>
        </w:rPr>
      </w:pPr>
    </w:p>
    <w:p>
      <w:pPr>
        <w:ind w:left="760" w:hanging="246"/>
        <w:spacing w:after="0" w:line="290" w:lineRule="auto"/>
        <w:tabs>
          <w:tab w:leader="none" w:pos="755" w:val="left"/>
        </w:tabs>
        <w:numPr>
          <w:ilvl w:val="1"/>
          <w:numId w:val="52"/>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52"/>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2"/>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131E29"/>
        </w:rPr>
      </w:pPr>
    </w:p>
    <w:p>
      <w:pPr>
        <w:ind w:left="760" w:hanging="246"/>
        <w:spacing w:after="0" w:line="290" w:lineRule="auto"/>
        <w:tabs>
          <w:tab w:leader="none" w:pos="752" w:val="left"/>
        </w:tabs>
        <w:numPr>
          <w:ilvl w:val="1"/>
          <w:numId w:val="52"/>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131E29"/>
        </w:rPr>
      </w:pPr>
    </w:p>
    <w:p>
      <w:pPr>
        <w:ind w:left="760" w:hanging="246"/>
        <w:spacing w:after="0"/>
        <w:tabs>
          <w:tab w:leader="none" w:pos="760" w:val="left"/>
        </w:tabs>
        <w:numPr>
          <w:ilvl w:val="1"/>
          <w:numId w:val="52"/>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November 7, 2024</w:t>
            </w:r>
          </w:p>
        </w:tc>
        <w:tc>
          <w:tcPr>
            <w:tcW w:w="4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 Christine Barone</w:t>
            </w:r>
          </w:p>
        </w:tc>
      </w:tr>
      <w:tr>
        <w:trPr>
          <w:trHeight w:val="167"/>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3460" w:type="dxa"/>
            <w:vAlign w:val="bottom"/>
          </w:tcPr>
          <w:p>
            <w:pPr>
              <w:spacing w:after="0"/>
              <w:rPr>
                <w:sz w:val="14"/>
                <w:szCs w:val="14"/>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Christine Barone</w:t>
            </w:r>
          </w:p>
        </w:tc>
        <w:tc>
          <w:tcPr>
            <w:tcW w:w="20" w:type="dxa"/>
            <w:vAlign w:val="bottom"/>
          </w:tcPr>
          <w:p>
            <w:pPr>
              <w:spacing w:after="0"/>
              <w:rPr>
                <w:sz w:val="14"/>
                <w:szCs w:val="14"/>
                <w:color w:val="auto"/>
              </w:rPr>
            </w:pPr>
          </w:p>
        </w:tc>
      </w:tr>
      <w:tr>
        <w:trPr>
          <w:trHeight w:val="182"/>
        </w:trPr>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960" w:type="dxa"/>
            <w:vAlign w:val="bottom"/>
            <w:gridSpan w:val="2"/>
          </w:tcPr>
          <w:p>
            <w:pPr>
              <w:jc w:val="cente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960" w:type="dxa"/>
            <w:vAlign w:val="bottom"/>
            <w:gridSpan w:val="2"/>
          </w:tcPr>
          <w:p>
            <w:pPr>
              <w:jc w:val="center"/>
              <w:ind w:right="20"/>
              <w:spacing w:after="0"/>
              <w:rPr>
                <w:sz w:val="20"/>
                <w:szCs w:val="20"/>
                <w:color w:val="auto"/>
              </w:rPr>
            </w:pPr>
            <w:r>
              <w:rPr>
                <w:rFonts w:ascii="Arial" w:cs="Arial" w:eastAsia="Arial" w:hAnsi="Arial"/>
                <w:sz w:val="14"/>
                <w:szCs w:val="14"/>
                <w:i w:val="1"/>
                <w:iCs w:val="1"/>
                <w:color w:val="auto"/>
              </w:rPr>
              <w:t>(Principal Executive Officer)</w:t>
            </w:r>
          </w:p>
        </w:tc>
      </w:tr>
      <w:tr>
        <w:trPr>
          <w:trHeight w:val="847"/>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3520"/>
              <w:spacing w:after="0"/>
              <w:rPr>
                <w:sz w:val="20"/>
                <w:szCs w:val="20"/>
                <w:color w:val="auto"/>
              </w:rPr>
            </w:pP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-241935</wp:posOffset>
            </wp:positionV>
            <wp:extent cx="13462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131E29"/>
        </w:rPr>
        <w:t>Exhibit 31.2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I, Joshua Guenser, certify that:</w:t>
      </w:r>
    </w:p>
    <w:p>
      <w:pPr>
        <w:spacing w:after="0" w:line="200" w:lineRule="exact"/>
        <w:rPr>
          <w:sz w:val="20"/>
          <w:szCs w:val="20"/>
          <w:color w:val="auto"/>
        </w:rPr>
      </w:pPr>
    </w:p>
    <w:p>
      <w:pPr>
        <w:ind w:left="500" w:hanging="240"/>
        <w:spacing w:after="0"/>
        <w:tabs>
          <w:tab w:leader="none" w:pos="500" w:val="left"/>
        </w:tabs>
        <w:numPr>
          <w:ilvl w:val="0"/>
          <w:numId w:val="53"/>
        </w:numPr>
        <w:rPr>
          <w:rFonts w:ascii="Arial" w:cs="Arial" w:eastAsia="Arial" w:hAnsi="Arial"/>
          <w:sz w:val="14"/>
          <w:szCs w:val="14"/>
          <w:color w:val="131E29"/>
        </w:rPr>
      </w:pPr>
      <w:r>
        <w:rPr>
          <w:rFonts w:ascii="Arial" w:cs="Arial" w:eastAsia="Arial" w:hAnsi="Arial"/>
          <w:sz w:val="14"/>
          <w:szCs w:val="14"/>
          <w:color w:val="131E29"/>
        </w:rPr>
        <w:t>I have reviewed this Quarterly Report on Form 10-Q for the period ended September 30, 2024 of Dutch Bros Inc.;</w:t>
      </w:r>
    </w:p>
    <w:p>
      <w:pPr>
        <w:spacing w:after="0" w:line="93"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3"/>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3"/>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131E29"/>
        </w:rPr>
      </w:pPr>
    </w:p>
    <w:p>
      <w:pPr>
        <w:ind w:left="520" w:hanging="260"/>
        <w:spacing w:after="0" w:line="337" w:lineRule="auto"/>
        <w:tabs>
          <w:tab w:leader="none" w:pos="511" w:val="left"/>
        </w:tabs>
        <w:numPr>
          <w:ilvl w:val="0"/>
          <w:numId w:val="53"/>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53"/>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53"/>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131E29"/>
        </w:rPr>
      </w:pPr>
    </w:p>
    <w:p>
      <w:pPr>
        <w:ind w:left="760" w:hanging="246"/>
        <w:spacing w:after="0" w:line="290" w:lineRule="auto"/>
        <w:tabs>
          <w:tab w:leader="none" w:pos="755" w:val="left"/>
        </w:tabs>
        <w:numPr>
          <w:ilvl w:val="1"/>
          <w:numId w:val="53"/>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53"/>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53"/>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131E29"/>
        </w:rPr>
      </w:pPr>
    </w:p>
    <w:p>
      <w:pPr>
        <w:ind w:left="760" w:hanging="246"/>
        <w:spacing w:after="0" w:line="290" w:lineRule="auto"/>
        <w:tabs>
          <w:tab w:leader="none" w:pos="752" w:val="left"/>
        </w:tabs>
        <w:numPr>
          <w:ilvl w:val="1"/>
          <w:numId w:val="53"/>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131E29"/>
        </w:rPr>
      </w:pPr>
    </w:p>
    <w:p>
      <w:pPr>
        <w:ind w:left="760" w:hanging="246"/>
        <w:spacing w:after="0"/>
        <w:tabs>
          <w:tab w:leader="none" w:pos="760" w:val="left"/>
        </w:tabs>
        <w:numPr>
          <w:ilvl w:val="1"/>
          <w:numId w:val="53"/>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November 7, 2024</w:t>
            </w:r>
          </w:p>
        </w:tc>
        <w:tc>
          <w:tcPr>
            <w:tcW w:w="5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 Joshua Guenser</w:t>
            </w:r>
          </w:p>
        </w:tc>
      </w:tr>
      <w:tr>
        <w:trPr>
          <w:trHeight w:val="167"/>
        </w:trPr>
        <w:tc>
          <w:tcPr>
            <w:tcW w:w="2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740" w:type="dxa"/>
            <w:vAlign w:val="bottom"/>
          </w:tcPr>
          <w:p>
            <w:pPr>
              <w:spacing w:after="0"/>
              <w:rPr>
                <w:sz w:val="14"/>
                <w:szCs w:val="14"/>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Joshua Guenser</w:t>
            </w:r>
          </w:p>
        </w:tc>
        <w:tc>
          <w:tcPr>
            <w:tcW w:w="60" w:type="dxa"/>
            <w:vAlign w:val="bottom"/>
          </w:tcPr>
          <w:p>
            <w:pPr>
              <w:spacing w:after="0"/>
              <w:rPr>
                <w:sz w:val="14"/>
                <w:szCs w:val="14"/>
                <w:color w:val="auto"/>
              </w:rPr>
            </w:pPr>
          </w:p>
        </w:tc>
      </w:tr>
      <w:tr>
        <w:trPr>
          <w:trHeight w:val="182"/>
        </w:trPr>
        <w:tc>
          <w:tcPr>
            <w:tcW w:w="2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740" w:type="dxa"/>
            <w:vAlign w:val="bottom"/>
            <w:gridSpan w:val="2"/>
          </w:tcPr>
          <w:p>
            <w:pPr>
              <w:jc w:val="center"/>
              <w:ind w:right="60"/>
              <w:spacing w:after="0"/>
              <w:rPr>
                <w:sz w:val="20"/>
                <w:szCs w:val="20"/>
                <w:color w:val="auto"/>
              </w:rPr>
            </w:pPr>
            <w:r>
              <w:rPr>
                <w:rFonts w:ascii="Arial" w:cs="Arial" w:eastAsia="Arial" w:hAnsi="Arial"/>
                <w:sz w:val="14"/>
                <w:szCs w:val="14"/>
                <w:color w:val="auto"/>
              </w:rPr>
              <w:t>Chief Financial Officer</w:t>
            </w:r>
          </w:p>
        </w:tc>
      </w:tr>
      <w:tr>
        <w:trPr>
          <w:trHeight w:val="184"/>
        </w:trPr>
        <w:tc>
          <w:tcPr>
            <w:tcW w:w="2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74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rPr>
              <w:t>(Principal Financial and Accounting Officer)</w:t>
            </w:r>
          </w:p>
        </w:tc>
      </w:tr>
      <w:tr>
        <w:trPr>
          <w:trHeight w:val="836"/>
        </w:trPr>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40" w:type="dxa"/>
            <w:vAlign w:val="bottom"/>
            <w:gridSpan w:val="2"/>
          </w:tcPr>
          <w:p>
            <w:pPr>
              <w:ind w:left="4320"/>
              <w:spacing w:after="0"/>
              <w:rPr>
                <w:sz w:val="20"/>
                <w:szCs w:val="20"/>
                <w:color w:val="auto"/>
              </w:rPr>
            </w:pP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-234950</wp:posOffset>
            </wp:positionV>
            <wp:extent cx="13462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connection with the Quarterly Report of Dutch Bros Inc. (the Company) on Form 10-Q for the period ended September 30, 2024,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spacing w:after="0" w:line="159" w:lineRule="exact"/>
        <w:rPr>
          <w:sz w:val="20"/>
          <w:szCs w:val="20"/>
          <w:color w:val="auto"/>
        </w:rPr>
      </w:pPr>
    </w:p>
    <w:p>
      <w:pPr>
        <w:ind w:left="500" w:hanging="240"/>
        <w:spacing w:after="0"/>
        <w:tabs>
          <w:tab w:leader="none" w:pos="500" w:val="left"/>
        </w:tabs>
        <w:numPr>
          <w:ilvl w:val="0"/>
          <w:numId w:val="54"/>
        </w:numPr>
        <w:rPr>
          <w:rFonts w:ascii="Arial" w:cs="Arial" w:eastAsia="Arial" w:hAnsi="Arial"/>
          <w:sz w:val="14"/>
          <w:szCs w:val="14"/>
          <w:color w:val="131E29"/>
        </w:rPr>
      </w:pPr>
      <w:r>
        <w:rPr>
          <w:rFonts w:ascii="Arial" w:cs="Arial" w:eastAsia="Arial" w:hAnsi="Arial"/>
          <w:sz w:val="14"/>
          <w:szCs w:val="14"/>
          <w:color w:val="131E29"/>
        </w:rPr>
        <w:t>the Report fully complies with the requirements of Section 13(a) or Section 15(d) of the Securities Exchange Act of 1934; and</w:t>
      </w:r>
    </w:p>
    <w:p>
      <w:pPr>
        <w:spacing w:after="0" w:line="22" w:lineRule="exact"/>
        <w:rPr>
          <w:rFonts w:ascii="Arial" w:cs="Arial" w:eastAsia="Arial" w:hAnsi="Arial"/>
          <w:sz w:val="14"/>
          <w:szCs w:val="14"/>
          <w:color w:val="131E29"/>
        </w:rPr>
      </w:pPr>
    </w:p>
    <w:p>
      <w:pPr>
        <w:ind w:left="500" w:hanging="240"/>
        <w:spacing w:after="0"/>
        <w:tabs>
          <w:tab w:leader="none" w:pos="500" w:val="left"/>
        </w:tabs>
        <w:numPr>
          <w:ilvl w:val="0"/>
          <w:numId w:val="54"/>
        </w:numPr>
        <w:rPr>
          <w:rFonts w:ascii="Arial" w:cs="Arial" w:eastAsia="Arial" w:hAnsi="Arial"/>
          <w:sz w:val="14"/>
          <w:szCs w:val="14"/>
          <w:color w:val="131E29"/>
        </w:rPr>
      </w:pPr>
      <w:r>
        <w:rPr>
          <w:rFonts w:ascii="Arial" w:cs="Arial" w:eastAsia="Arial" w:hAnsi="Arial"/>
          <w:sz w:val="14"/>
          <w:szCs w:val="14"/>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November 7, 2024</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rPr>
              <w:t>/s/ Christine Barone</w:t>
            </w:r>
          </w:p>
        </w:tc>
      </w:tr>
      <w:tr>
        <w:trPr>
          <w:trHeight w:val="167"/>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680" w:type="dxa"/>
            <w:vAlign w:val="bottom"/>
          </w:tcPr>
          <w:p>
            <w:pPr>
              <w:spacing w:after="0"/>
              <w:rPr>
                <w:sz w:val="14"/>
                <w:szCs w:val="14"/>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Christine Barone</w:t>
            </w:r>
          </w:p>
        </w:tc>
      </w:tr>
      <w:tr>
        <w:trPr>
          <w:trHeight w:val="182"/>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Executive Officer)</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November 7, 2024</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rPr>
              <w:t>/s/ Joshua Guenser</w:t>
            </w:r>
          </w:p>
        </w:tc>
      </w:tr>
      <w:tr>
        <w:trPr>
          <w:trHeight w:val="167"/>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680" w:type="dxa"/>
            <w:vAlign w:val="bottom"/>
          </w:tcPr>
          <w:p>
            <w:pPr>
              <w:spacing w:after="0"/>
              <w:rPr>
                <w:sz w:val="14"/>
                <w:szCs w:val="14"/>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Joshua Guenser</w:t>
            </w:r>
          </w:p>
        </w:tc>
      </w:tr>
      <w:tr>
        <w:trPr>
          <w:trHeight w:val="182"/>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r>
      <w:tr>
        <w:trPr>
          <w:trHeight w:val="184"/>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Financial and Accounting Officer)</w:t>
            </w:r>
          </w:p>
        </w:tc>
      </w:tr>
    </w:tbl>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Exhibit 32.1</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bullet"/>
      <w:start w:val="1"/>
    </w:lvl>
  </w:abstractNum>
  <w:abstractNum w:abstractNumId="3">
    <w:nsid w:val="2901D82"/>
    <w:multiLevelType w:val="hybridMultilevel"/>
    <w:lvl w:ilvl="0">
      <w:lvlJc w:val="left"/>
      <w:lvlText w:val="1"/>
      <w:numFmt w:val="bullet"/>
      <w:start w:val="1"/>
    </w:lvl>
  </w:abstractNum>
  <w:abstractNum w:abstractNumId="4">
    <w:nsid w:val="3A95F874"/>
    <w:multiLevelType w:val="hybridMultilevel"/>
    <w:lvl w:ilvl="0">
      <w:lvlJc w:val="left"/>
      <w:lvlText w:val="1"/>
      <w:numFmt w:val="bullet"/>
      <w:start w:val="1"/>
    </w:lvl>
  </w:abstractNum>
  <w:abstractNum w:abstractNumId="5">
    <w:nsid w:val="8138641"/>
    <w:multiLevelType w:val="hybridMultilevel"/>
    <w:lvl w:ilvl="0">
      <w:lvlJc w:val="left"/>
      <w:lvlText w:val="1"/>
      <w:numFmt w:val="bullet"/>
      <w:start w:val="1"/>
    </w:lvl>
  </w:abstractNum>
  <w:abstractNum w:abstractNumId="6">
    <w:nsid w:val="1E7FF521"/>
    <w:multiLevelType w:val="hybridMultilevel"/>
    <w:lvl w:ilvl="0">
      <w:lvlJc w:val="left"/>
      <w:lvlText w:val="1"/>
      <w:numFmt w:val="bullet"/>
      <w:start w:val="1"/>
    </w:lvl>
  </w:abstractNum>
  <w:abstractNum w:abstractNumId="7">
    <w:nsid w:val="7C3DBD3D"/>
    <w:multiLevelType w:val="hybridMultilevel"/>
    <w:lvl w:ilvl="0">
      <w:lvlJc w:val="left"/>
      <w:lvlText w:val="1"/>
      <w:numFmt w:val="bullet"/>
      <w:start w:val="1"/>
    </w:lvl>
  </w:abstractNum>
  <w:abstractNum w:abstractNumId="8">
    <w:nsid w:val="737B8DDC"/>
    <w:multiLevelType w:val="hybridMultilevel"/>
    <w:lvl w:ilvl="0">
      <w:lvlJc w:val="left"/>
      <w:lvlText w:val="2"/>
      <w:numFmt w:val="bullet"/>
      <w:start w:val="1"/>
    </w:lvl>
  </w:abstractNum>
  <w:abstractNum w:abstractNumId="9">
    <w:nsid w:val="6CEAF087"/>
    <w:multiLevelType w:val="hybridMultilevel"/>
    <w:lvl w:ilvl="0">
      <w:lvlJc w:val="left"/>
      <w:lvlText w:val="3"/>
      <w:numFmt w:val="bullet"/>
      <w:start w:val="1"/>
    </w:lvl>
  </w:abstractNum>
  <w:abstractNum w:abstractNumId="10">
    <w:nsid w:val="22221A70"/>
    <w:multiLevelType w:val="hybridMultilevel"/>
    <w:lvl w:ilvl="0">
      <w:lvlJc w:val="left"/>
      <w:lvlText w:val="4"/>
      <w:numFmt w:val="bullet"/>
      <w:start w:val="1"/>
    </w:lvl>
  </w:abstractNum>
  <w:abstractNum w:abstractNumId="11">
    <w:nsid w:val="4516DDE9"/>
    <w:multiLevelType w:val="hybridMultilevel"/>
    <w:lvl w:ilvl="0">
      <w:lvlJc w:val="left"/>
      <w:lvlText w:val="5"/>
      <w:numFmt w:val="bullet"/>
      <w:start w:val="1"/>
    </w:lvl>
  </w:abstractNum>
  <w:abstractNum w:abstractNumId="12">
    <w:nsid w:val="3006C83E"/>
    <w:multiLevelType w:val="hybridMultilevel"/>
    <w:lvl w:ilvl="0">
      <w:lvlJc w:val="left"/>
      <w:lvlText w:val="6"/>
      <w:numFmt w:val="bullet"/>
      <w:start w:val="1"/>
    </w:lvl>
  </w:abstractNum>
  <w:abstractNum w:abstractNumId="13">
    <w:nsid w:val="614FD4A1"/>
    <w:multiLevelType w:val="hybridMultilevel"/>
    <w:lvl w:ilvl="0">
      <w:lvlJc w:val="left"/>
      <w:lvlText w:val="7"/>
      <w:numFmt w:val="bullet"/>
      <w:start w:val="1"/>
    </w:lvl>
  </w:abstractNum>
  <w:abstractNum w:abstractNumId="14">
    <w:nsid w:val="419AC241"/>
    <w:multiLevelType w:val="hybridMultilevel"/>
    <w:lvl w:ilvl="0">
      <w:lvlJc w:val="left"/>
      <w:lvlText w:val="1"/>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bullet"/>
      <w:start w:val="1"/>
    </w:lvl>
  </w:abstractNum>
  <w:abstractNum w:abstractNumId="18">
    <w:nsid w:val="3804823E"/>
    <w:multiLevelType w:val="hybridMultilevel"/>
    <w:lvl w:ilvl="0">
      <w:lvlJc w:val="left"/>
      <w:lvlText w:val="1"/>
      <w:numFmt w:val="bullet"/>
      <w:start w:val="1"/>
    </w:lvl>
  </w:abstractNum>
  <w:abstractNum w:abstractNumId="19">
    <w:nsid w:val="77465F01"/>
    <w:multiLevelType w:val="hybridMultilevel"/>
    <w:lvl w:ilvl="0">
      <w:lvlJc w:val="left"/>
      <w:lvlText w:val="1"/>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emdash "/>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7" Type="http://schemas.openxmlformats.org/officeDocument/2006/relationships/image" Target="media/image247.jpe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jpe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jpeg"/><Relationship Id="rId269" Type="http://schemas.openxmlformats.org/officeDocument/2006/relationships/image" Target="media/image259.jpeg"/><Relationship Id="rId270" Type="http://schemas.openxmlformats.org/officeDocument/2006/relationships/image" Target="media/image260.jpeg"/><Relationship Id="rId254" Type="http://schemas.openxmlformats.org/officeDocument/2006/relationships/hyperlink" Target="https://www.sec.gov/Archives/edgar/data/0001866581/000162828021018861/exhibit31-8xk.htm" TargetMode="External"/><Relationship Id="rId255" Type="http://schemas.openxmlformats.org/officeDocument/2006/relationships/hyperlink" Target="https://www.sec.gov/Archives/edgar/data/1866581/000162828021017441/exhibit34-sx1.htm" TargetMode="External"/><Relationship Id="rId256" Type="http://schemas.openxmlformats.org/officeDocument/2006/relationships/hyperlink" Target="https://www.sec.gov/Archives/edgar/data/0001866581/000162828021018116/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2024-11-07T15:41:17Z</dcterms:created>
  <dcterms:modified xsi:type="dcterms:W3CDTF">2024-11-07T15:41:17Z</dcterms:modified>
</cp:coreProperties>
</file>