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UNITED STATES</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SECURITIES AND EXCHANGE COMMISSION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______________________________</w:t>
      </w:r>
    </w:p>
    <w:p>
      <w:pPr>
        <w:pStyle w:val="TextBody"/>
        <w:bidi w:val="0"/>
        <w:spacing w:lineRule="auto" w:line="288" w:before="60" w:after="283"/>
        <w:jc w:val="center"/>
        <w:rPr>
          <w:rFonts w:ascii="Arial;sans-serif" w:hAnsi="Arial;sans-serif"/>
          <w:b/>
          <w:color w:val="000000"/>
          <w:sz w:val="32"/>
        </w:rPr>
      </w:pPr>
      <w:r>
        <w:rPr>
          <w:rFonts w:ascii="Arial;sans-serif" w:hAnsi="Arial;sans-serif"/>
          <w:b/>
          <w:color w:val="000000"/>
          <w:sz w:val="32"/>
        </w:rPr>
        <w:t>FORM 10-Q</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______________________________</w:t>
      </w:r>
    </w:p>
    <w:p>
      <w:pPr>
        <w:pStyle w:val="TextBody"/>
        <w:bidi w:val="0"/>
        <w:spacing w:lineRule="auto" w:line="288" w:before="0" w:after="0"/>
        <w:jc w:val="left"/>
        <w:rPr>
          <w:rFonts w:ascii="Arial;sans-serif" w:hAnsi="Arial;sans-serif"/>
          <w:b/>
          <w:color w:val="131E29"/>
          <w:sz w:val="20"/>
        </w:rPr>
      </w:pPr>
      <w:r>
        <w:rPr>
          <w:rFonts w:ascii="Arial;sans-serif" w:hAnsi="Arial;sans-serif"/>
          <w:b/>
          <w:color w:val="131E29"/>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131E29"/>
              </w:rPr>
            </w:pPr>
            <w:r>
              <w:rPr>
                <w:color w:val="131E29"/>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color w:val="131E29"/>
                <w:sz w:val="20"/>
              </w:rPr>
            </w:pPr>
            <w:r>
              <w:rPr>
                <w:rFonts w:ascii="Arial;sans-serif" w:hAnsi="Arial;sans-serif"/>
                <w:b/>
                <w:color w:val="131E29"/>
                <w:sz w:val="20"/>
              </w:rPr>
              <w:t>QUARTERLY REPORT PURSUANT TO SECTION 13 OR 15(d) OF THE SECURITIES EXCHANGE ACT OF 1934</w:t>
            </w:r>
          </w:p>
        </w:tc>
      </w:tr>
    </w:tbl>
    <w:p>
      <w:pPr>
        <w:pStyle w:val="TextBody"/>
        <w:bidi w:val="0"/>
        <w:spacing w:lineRule="auto" w:line="288" w:before="0" w:after="180"/>
        <w:jc w:val="center"/>
        <w:rPr>
          <w:rFonts w:ascii="Arial;sans-serif" w:hAnsi="Arial;sans-serif"/>
          <w:b/>
          <w:color w:val="131E29"/>
          <w:sz w:val="20"/>
        </w:rPr>
      </w:pPr>
      <w:r>
        <w:rPr>
          <w:rFonts w:ascii="Arial;sans-serif" w:hAnsi="Arial;sans-serif"/>
          <w:b/>
          <w:color w:val="131E29"/>
          <w:sz w:val="20"/>
        </w:rPr>
        <w:t>For the Quarterly Period ended June 30, 2026</w:t>
      </w:r>
    </w:p>
    <w:p>
      <w:pPr>
        <w:pStyle w:val="TextBody"/>
        <w:bidi w:val="0"/>
        <w:spacing w:lineRule="auto" w:line="288" w:before="0" w:after="180"/>
        <w:jc w:val="center"/>
        <w:rPr>
          <w:rFonts w:ascii="Arial;sans-serif" w:hAnsi="Arial;sans-serif"/>
          <w:b/>
          <w:color w:val="131E29"/>
          <w:sz w:val="20"/>
        </w:rPr>
      </w:pPr>
      <w:r>
        <w:rPr>
          <w:rFonts w:ascii="Arial;sans-serif" w:hAnsi="Arial;sans-serif"/>
          <w:b/>
          <w:color w:val="131E29"/>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131E29"/>
              </w:rPr>
            </w:pPr>
            <w:r>
              <w:rPr>
                <w:color w:val="131E29"/>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color w:val="131E29"/>
                <w:sz w:val="20"/>
              </w:rPr>
            </w:pPr>
            <w:r>
              <w:rPr>
                <w:rFonts w:ascii="Arial;sans-serif" w:hAnsi="Arial;sans-serif"/>
                <w:b/>
                <w:color w:val="131E29"/>
                <w:sz w:val="20"/>
              </w:rPr>
              <w:t>TRANSITION REPORT PURSUANT TO SECTION 13 OR 15(d) OF THE SECURITIES EXCHANGE ACT OF 1934</w:t>
            </w:r>
          </w:p>
        </w:tc>
      </w:tr>
    </w:tbl>
    <w:p>
      <w:pPr>
        <w:pStyle w:val="TextBody"/>
        <w:bidi w:val="0"/>
        <w:spacing w:lineRule="auto" w:line="288" w:before="0" w:after="180"/>
        <w:jc w:val="center"/>
        <w:rPr>
          <w:rFonts w:ascii="Arial;sans-serif" w:hAnsi="Arial;sans-serif"/>
          <w:b/>
          <w:color w:val="131E29"/>
          <w:sz w:val="20"/>
        </w:rPr>
      </w:pPr>
      <w:r>
        <w:rPr>
          <w:rFonts w:ascii="Arial;sans-serif" w:hAnsi="Arial;sans-serif"/>
          <w:b/>
          <w:color w:val="131E29"/>
          <w:sz w:val="20"/>
        </w:rPr>
        <w:t>For the transition period from ________ to ________</w:t>
      </w:r>
    </w:p>
    <w:p>
      <w:pPr>
        <w:pStyle w:val="TextBody"/>
        <w:bidi w:val="0"/>
        <w:spacing w:lineRule="auto" w:line="288" w:before="0" w:after="0"/>
        <w:jc w:val="center"/>
        <w:rPr>
          <w:rFonts w:ascii="Arial;sans-serif" w:hAnsi="Arial;sans-serif"/>
          <w:b/>
          <w:color w:val="131E29"/>
          <w:sz w:val="20"/>
        </w:rPr>
      </w:pPr>
      <w:r>
        <w:rPr>
          <w:rFonts w:ascii="Arial;sans-serif" w:hAnsi="Arial;sans-serif"/>
          <w:b/>
          <w:color w:val="131E29"/>
          <w:sz w:val="20"/>
        </w:rPr>
        <w:t>Commission file number 001-40798</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______________________________</w:t>
      </w:r>
    </w:p>
    <w:p>
      <w:pPr>
        <w:pStyle w:val="TextBody"/>
        <w:bidi w:val="0"/>
        <w:spacing w:before="0" w:after="0"/>
        <w:jc w:val="center"/>
        <w:rPr/>
      </w:pPr>
      <w:r>
        <w:rPr/>
        <w:drawing>
          <wp:inline distT="0" distB="0" distL="0" distR="0">
            <wp:extent cx="1514475" cy="762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14475" cy="762000"/>
                    </a:xfrm>
                    <a:prstGeom prst="rect">
                      <a:avLst/>
                    </a:prstGeom>
                  </pic:spPr>
                </pic:pic>
              </a:graphicData>
            </a:graphic>
          </wp:inline>
        </w:drawing>
      </w:r>
      <w:bookmarkStart w:id="0" w:name="i-1"/>
      <w:bookmarkEnd w:id="0"/>
    </w:p>
    <w:p>
      <w:pPr>
        <w:pStyle w:val="TextBody"/>
        <w:bidi w:val="0"/>
        <w:spacing w:lineRule="auto" w:line="288" w:before="60" w:after="283"/>
        <w:jc w:val="center"/>
        <w:rPr>
          <w:rFonts w:ascii="Arial;sans-serif" w:hAnsi="Arial;sans-serif"/>
          <w:b/>
          <w:color w:val="131E29"/>
          <w:sz w:val="36"/>
        </w:rPr>
      </w:pPr>
      <w:r>
        <w:rPr>
          <w:rFonts w:ascii="Arial;sans-serif" w:hAnsi="Arial;sans-serif"/>
          <w:b/>
          <w:color w:val="131E29"/>
          <w:sz w:val="36"/>
        </w:rPr>
        <w:t>DUTCH BROS INC.</w:t>
      </w:r>
    </w:p>
    <w:p>
      <w:pPr>
        <w:pStyle w:val="TextBody"/>
        <w:bidi w:val="0"/>
        <w:spacing w:lineRule="auto" w:line="288" w:before="0" w:after="0"/>
        <w:jc w:val="center"/>
        <w:rPr>
          <w:rFonts w:ascii="Arial;sans-serif" w:hAnsi="Arial;sans-serif"/>
          <w:b/>
          <w:color w:val="131E29"/>
          <w:sz w:val="20"/>
        </w:rPr>
      </w:pPr>
      <w:r>
        <w:rPr>
          <w:rFonts w:ascii="Arial;sans-serif" w:hAnsi="Arial;sans-serif"/>
          <w:b/>
          <w:color w:val="131E29"/>
          <w:sz w:val="20"/>
        </w:rPr>
        <w:t>(Exact name of Registrant as specified in its charter)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______________________________</w:t>
      </w:r>
    </w:p>
    <w:tbl>
      <w:tblPr>
        <w:tblW w:w="6009" w:type="dxa"/>
        <w:jc w:val="center"/>
        <w:tblInd w:w="0" w:type="dxa"/>
        <w:tblLayout w:type="fixed"/>
        <w:tblCellMar>
          <w:top w:w="28" w:type="dxa"/>
          <w:left w:w="28" w:type="dxa"/>
          <w:bottom w:w="28" w:type="dxa"/>
          <w:right w:w="28" w:type="dxa"/>
        </w:tblCellMar>
      </w:tblPr>
      <w:tblGrid>
        <w:gridCol w:w="374"/>
        <w:gridCol w:w="329"/>
        <w:gridCol w:w="329"/>
        <w:gridCol w:w="329"/>
        <w:gridCol w:w="329"/>
        <w:gridCol w:w="329"/>
        <w:gridCol w:w="330"/>
        <w:gridCol w:w="330"/>
        <w:gridCol w:w="349"/>
        <w:gridCol w:w="109"/>
        <w:gridCol w:w="109"/>
        <w:gridCol w:w="109"/>
        <w:gridCol w:w="775"/>
        <w:gridCol w:w="775"/>
        <w:gridCol w:w="1104"/>
      </w:tblGrid>
      <w:tr>
        <w:trPr/>
        <w:tc>
          <w:tcPr>
            <w:tcW w:w="37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r>
      <w:tr>
        <w:trPr/>
        <w:tc>
          <w:tcPr>
            <w:tcW w:w="3028" w:type="dxa"/>
            <w:gridSpan w:val="9"/>
            <w:tcBorders/>
            <w:tcMar>
              <w:top w:w="0" w:type="dxa"/>
              <w:left w:w="0" w:type="dxa"/>
              <w:bottom w:w="0" w:type="dxa"/>
              <w:right w:w="0" w:type="dxa"/>
            </w:tcMar>
            <w:vAlign w:val="center"/>
          </w:tcPr>
          <w:p>
            <w:pPr>
              <w:pStyle w:val="TableContents"/>
              <w:bidi w:val="0"/>
              <w:spacing w:lineRule="auto" w:line="288" w:before="0" w:after="180"/>
              <w:jc w:val="center"/>
              <w:rPr>
                <w:rFonts w:ascii="Arial;sans-serif" w:hAnsi="Arial;sans-serif"/>
                <w:b/>
                <w:color w:val="131E29"/>
                <w:sz w:val="20"/>
              </w:rPr>
            </w:pPr>
            <w:r>
              <w:rPr>
                <w:rFonts w:ascii="Arial;sans-serif" w:hAnsi="Arial;sans-serif"/>
                <w:b/>
                <w:color w:val="131E29"/>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Arial;sans-serif" w:hAnsi="Arial;sans-serif"/>
                <w:b/>
                <w:color w:val="131E29"/>
                <w:sz w:val="20"/>
              </w:rPr>
            </w:pPr>
            <w:r>
              <w:rPr>
                <w:rFonts w:ascii="Arial;sans-serif" w:hAnsi="Arial;sans-serif"/>
                <w:b/>
                <w:color w:val="131E29"/>
                <w:sz w:val="20"/>
              </w:rPr>
              <w:t>87-1041305</w:t>
            </w:r>
          </w:p>
        </w:tc>
      </w:tr>
      <w:tr>
        <w:trPr/>
        <w:tc>
          <w:tcPr>
            <w:tcW w:w="3028"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(State or other jurisdiction of</w:t>
            </w:r>
          </w:p>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Arial;sans-serif" w:hAnsi="Arial;sans-serif"/>
                <w:b w:val="false"/>
                <w:color w:val="131E29"/>
                <w:sz w:val="16"/>
              </w:rPr>
            </w:pPr>
            <w:r>
              <w:rPr>
                <w:rFonts w:ascii="Arial;sans-serif" w:hAnsi="Arial;sans-serif"/>
                <w:b w:val="false"/>
                <w:color w:val="131E29"/>
                <w:sz w:val="16"/>
              </w:rPr>
              <w:t>(I.R.S. Employer Identification No.)</w:t>
            </w:r>
          </w:p>
        </w:tc>
      </w:tr>
      <w:tr>
        <w:trPr/>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8"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20"/>
              </w:rPr>
            </w:pPr>
            <w:r>
              <w:rPr>
                <w:rFonts w:ascii="Arial;sans-serif" w:hAnsi="Arial;sans-serif"/>
                <w:b/>
                <w:color w:val="131E29"/>
                <w:sz w:val="20"/>
              </w:rPr>
              <w:t>1930 W. Rio Salado Pkwy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lineRule="auto" w:line="288" w:before="0" w:after="180"/>
              <w:jc w:val="right"/>
              <w:rPr>
                <w:rFonts w:ascii="Arial;sans-serif" w:hAnsi="Arial;sans-serif"/>
                <w:b/>
                <w:color w:val="131E29"/>
                <w:sz w:val="20"/>
              </w:rPr>
            </w:pPr>
            <w:r>
              <w:rPr>
                <w:rFonts w:ascii="Arial;sans-serif" w:hAnsi="Arial;sans-serif"/>
                <w:b/>
                <w:color w:val="131E29"/>
                <w:sz w:val="20"/>
              </w:rPr>
              <w:t>Tempe,</w:t>
            </w:r>
          </w:p>
        </w:tc>
        <w:tc>
          <w:tcPr>
            <w:tcW w:w="1009"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color w:val="131E29"/>
                <w:sz w:val="20"/>
              </w:rPr>
            </w:pPr>
            <w:r>
              <w:rPr>
                <w:rFonts w:ascii="Arial;sans-serif" w:hAnsi="Arial;sans-serif"/>
                <w:b/>
                <w:color w:val="131E29"/>
                <w:sz w:val="20"/>
              </w:rPr>
              <w:t>Arizona</w:t>
            </w:r>
          </w:p>
        </w:tc>
        <w:tc>
          <w:tcPr>
            <w:tcW w:w="327" w:type="dxa"/>
            <w:gridSpan w:val="3"/>
            <w:tcBorders/>
            <w:tcMar>
              <w:top w:w="0" w:type="dxa"/>
              <w:left w:w="0" w:type="dxa"/>
              <w:bottom w:w="0" w:type="dxa"/>
              <w:right w:w="0" w:type="dxa"/>
            </w:tcMar>
            <w:vAlign w:val="center"/>
          </w:tcPr>
          <w:p>
            <w:pPr>
              <w:pStyle w:val="TableContents"/>
              <w:bidi w:val="0"/>
              <w:spacing w:before="0" w:after="180"/>
              <w:jc w:val="center"/>
              <w:rPr/>
            </w:pPr>
            <w:r>
              <w:rPr/>
            </w:r>
          </w:p>
        </w:tc>
        <w:tc>
          <w:tcPr>
            <w:tcW w:w="265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Arial;sans-serif" w:hAnsi="Arial;sans-serif"/>
                <w:b/>
                <w:color w:val="131E29"/>
                <w:sz w:val="20"/>
              </w:rPr>
            </w:pPr>
            <w:r>
              <w:rPr>
                <w:rFonts w:ascii="Arial;sans-serif" w:hAnsi="Arial;sans-serif"/>
                <w:b/>
                <w:color w:val="131E29"/>
                <w:sz w:val="20"/>
              </w:rPr>
              <w:t>85281</w:t>
            </w:r>
          </w:p>
        </w:tc>
      </w:tr>
      <w:tr>
        <w:trPr/>
        <w:tc>
          <w:tcPr>
            <w:tcW w:w="3028" w:type="dxa"/>
            <w:gridSpan w:val="9"/>
            <w:tcBorders/>
            <w:tcMar>
              <w:top w:w="0" w:type="dxa"/>
              <w:left w:w="0" w:type="dxa"/>
              <w:bottom w:w="0" w:type="dxa"/>
              <w:right w:w="0" w:type="dxa"/>
            </w:tcMar>
            <w:vAlign w:val="center"/>
          </w:tcPr>
          <w:p>
            <w:pPr>
              <w:pStyle w:val="TableContents"/>
              <w:bidi w:val="0"/>
              <w:spacing w:lineRule="auto" w:line="288" w:before="0" w:after="180"/>
              <w:jc w:val="center"/>
              <w:rPr>
                <w:rFonts w:ascii="Arial;sans-serif" w:hAnsi="Arial;sans-serif"/>
                <w:b w:val="false"/>
                <w:color w:val="131E29"/>
                <w:sz w:val="16"/>
              </w:rPr>
            </w:pPr>
            <w:r>
              <w:rPr>
                <w:rFonts w:ascii="Arial;sans-serif" w:hAnsi="Arial;sans-serif"/>
                <w:b w:val="false"/>
                <w:color w:val="131E29"/>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Arial;sans-serif" w:hAnsi="Arial;sans-serif"/>
                <w:b w:val="false"/>
                <w:color w:val="131E29"/>
                <w:sz w:val="16"/>
              </w:rPr>
            </w:pPr>
            <w:r>
              <w:rPr>
                <w:rFonts w:ascii="Arial;sans-serif" w:hAnsi="Arial;sans-serif"/>
                <w:b w:val="false"/>
                <w:color w:val="131E29"/>
                <w:sz w:val="16"/>
              </w:rPr>
              <w:t>(Zip Code)</w:t>
            </w:r>
          </w:p>
        </w:tc>
      </w:tr>
    </w:tbl>
    <w:p>
      <w:pPr>
        <w:pStyle w:val="TextBody"/>
        <w:bidi w:val="0"/>
        <w:spacing w:lineRule="auto" w:line="288" w:before="0" w:after="0"/>
        <w:jc w:val="center"/>
        <w:rPr>
          <w:rFonts w:ascii="Arial;sans-serif" w:hAnsi="Arial;sans-serif"/>
          <w:b/>
          <w:color w:val="131E29"/>
          <w:sz w:val="20"/>
        </w:rPr>
      </w:pPr>
      <w:r>
        <w:rPr>
          <w:rFonts w:ascii="Arial;sans-serif" w:hAnsi="Arial;sans-serif"/>
          <w:b/>
          <w:color w:val="131E29"/>
          <w:sz w:val="20"/>
        </w:rPr>
        <w:t>(877) 899-2767</w:t>
      </w:r>
    </w:p>
    <w:p>
      <w:pPr>
        <w:pStyle w:val="TextBody"/>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(Registrant's telephone number, including area code)</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______________________________</w:t>
      </w:r>
    </w:p>
    <w:p>
      <w:pPr>
        <w:pStyle w:val="TextBody"/>
        <w:bidi w:val="0"/>
        <w:spacing w:before="0" w:after="18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180"/>
        <w:jc w:val="left"/>
        <w:rPr>
          <w:rFonts w:ascii="Arial;sans-serif" w:hAnsi="Arial;sans-serif"/>
          <w:b/>
          <w:color w:val="131E29"/>
          <w:sz w:val="20"/>
        </w:rPr>
      </w:pPr>
      <w:r>
        <w:rPr>
          <w:rFonts w:ascii="Arial;sans-serif" w:hAnsi="Arial;sans-serif"/>
          <w:b/>
          <w:color w:val="131E29"/>
          <w:sz w:val="20"/>
        </w:rPr>
        <w:t>Securities registered pursuant to Section 12(b) of the Act:</w:t>
      </w:r>
    </w:p>
    <w:tbl>
      <w:tblPr>
        <w:tblW w:w="8098" w:type="dxa"/>
        <w:jc w:val="left"/>
        <w:tblInd w:w="0" w:type="dxa"/>
        <w:tblLayout w:type="fixed"/>
        <w:tblCellMar>
          <w:top w:w="28" w:type="dxa"/>
          <w:left w:w="28" w:type="dxa"/>
          <w:bottom w:w="28" w:type="dxa"/>
          <w:right w:w="28" w:type="dxa"/>
        </w:tblCellMar>
      </w:tblPr>
      <w:tblGrid>
        <w:gridCol w:w="954"/>
        <w:gridCol w:w="841"/>
        <w:gridCol w:w="845"/>
        <w:gridCol w:w="534"/>
        <w:gridCol w:w="534"/>
        <w:gridCol w:w="536"/>
        <w:gridCol w:w="1128"/>
        <w:gridCol w:w="1128"/>
        <w:gridCol w:w="1598"/>
      </w:tblGrid>
      <w:tr>
        <w:trPr/>
        <w:tc>
          <w:tcPr>
            <w:tcW w:w="95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180"/>
              <w:jc w:val="center"/>
              <w:rPr>
                <w:rFonts w:ascii="Arial;sans-serif" w:hAnsi="Arial;sans-serif"/>
                <w:b/>
                <w:color w:val="131E29"/>
                <w:sz w:val="20"/>
              </w:rPr>
            </w:pPr>
            <w:r>
              <w:rPr>
                <w:rFonts w:ascii="Arial;sans-serif" w:hAnsi="Arial;sans-serif"/>
                <w:b/>
                <w:color w:val="131E29"/>
                <w:sz w:val="20"/>
              </w:rPr>
              <w:t>Title of Each Class</w:t>
            </w:r>
          </w:p>
        </w:tc>
        <w:tc>
          <w:tcPr>
            <w:tcW w:w="16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180"/>
              <w:jc w:val="center"/>
              <w:rPr>
                <w:rFonts w:ascii="Arial;sans-serif" w:hAnsi="Arial;sans-serif"/>
                <w:b/>
                <w:color w:val="131E29"/>
                <w:sz w:val="20"/>
              </w:rPr>
            </w:pPr>
            <w:r>
              <w:rPr>
                <w:rFonts w:ascii="Arial;sans-serif" w:hAnsi="Arial;sans-serif"/>
                <w:b/>
                <w:color w:val="131E29"/>
                <w:sz w:val="20"/>
              </w:rPr>
              <w:t>Trading Symbol</w:t>
            </w:r>
          </w:p>
        </w:tc>
        <w:tc>
          <w:tcPr>
            <w:tcW w:w="38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180"/>
              <w:jc w:val="center"/>
              <w:rPr>
                <w:rFonts w:ascii="Arial;sans-serif" w:hAnsi="Arial;sans-serif"/>
                <w:b/>
                <w:color w:val="131E29"/>
                <w:sz w:val="20"/>
              </w:rPr>
            </w:pPr>
            <w:r>
              <w:rPr>
                <w:rFonts w:ascii="Arial;sans-serif" w:hAnsi="Arial;sans-serif"/>
                <w:b/>
                <w:color w:val="131E29"/>
                <w:sz w:val="20"/>
              </w:rPr>
              <w:t>Name of Exchange on which Registered</w:t>
            </w:r>
          </w:p>
        </w:tc>
      </w:tr>
      <w:tr>
        <w:trPr/>
        <w:tc>
          <w:tcPr>
            <w:tcW w:w="264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Class A Common Stock, </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par value $0.00001 per share</w:t>
            </w:r>
          </w:p>
        </w:tc>
        <w:tc>
          <w:tcPr>
            <w:tcW w:w="160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BROS</w:t>
            </w:r>
          </w:p>
        </w:tc>
        <w:tc>
          <w:tcPr>
            <w:tcW w:w="385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The New York Stock Exchange</w:t>
            </w:r>
          </w:p>
        </w:tc>
      </w:tr>
    </w:tbl>
    <w:p>
      <w:pPr>
        <w:pStyle w:val="TextBody"/>
        <w:bidi w:val="0"/>
        <w:spacing w:before="0" w:after="0"/>
        <w:jc w:val="center"/>
        <w:rPr/>
      </w:pPr>
      <w:r>
        <w:rPr/>
      </w:r>
    </w:p>
    <w:p>
      <w:pPr>
        <w:pStyle w:val="TextBody"/>
        <w:bidi w:val="0"/>
        <w:spacing w:lineRule="auto" w:line="288" w:before="0" w:after="180"/>
        <w:jc w:val="both"/>
        <w:rPr/>
      </w:pPr>
      <w:r>
        <w:rPr>
          <w:rFonts w:ascii="Arial;sans-serif" w:hAnsi="Arial;sans-serif"/>
          <w:b w:val="false"/>
          <w:color w:val="131E29"/>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131E29"/>
          <w:sz w:val="20"/>
        </w:rPr>
        <w:t>x</w:t>
      </w:r>
      <w:r>
        <w:rPr>
          <w:color w:val="131E29"/>
        </w:rPr>
        <w:t>  </w:t>
      </w:r>
      <w:r>
        <w:rPr>
          <w:rFonts w:ascii="Arial;sans-serif" w:hAnsi="Arial;sans-serif"/>
          <w:b w:val="false"/>
          <w:color w:val="131E29"/>
          <w:sz w:val="20"/>
        </w:rPr>
        <w:t>No </w:t>
      </w:r>
      <w:r>
        <w:rPr>
          <w:rFonts w:ascii="Wingdings;sans-serif" w:hAnsi="Wingdings;sans-serif"/>
          <w:b w:val="false"/>
          <w:color w:val="131E29"/>
          <w:sz w:val="20"/>
        </w:rPr>
        <w:t>o</w:t>
      </w:r>
    </w:p>
    <w:p>
      <w:pPr>
        <w:pStyle w:val="TextBody"/>
        <w:bidi w:val="0"/>
        <w:spacing w:lineRule="auto" w:line="288" w:before="0" w:after="180"/>
        <w:jc w:val="both"/>
        <w:rPr/>
      </w:pPr>
      <w:r>
        <w:rPr>
          <w:rFonts w:ascii="Arial;sans-serif" w:hAnsi="Arial;sans-serif"/>
          <w:b w:val="false"/>
          <w:color w:val="131E29"/>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131E29"/>
          <w:sz w:val="20"/>
        </w:rPr>
        <w:t>x</w:t>
      </w:r>
      <w:r>
        <w:rPr>
          <w:color w:val="131E29"/>
        </w:rPr>
        <w:t>   </w:t>
      </w:r>
      <w:r>
        <w:rPr>
          <w:rFonts w:ascii="Arial;sans-serif" w:hAnsi="Arial;sans-serif"/>
          <w:b w:val="false"/>
          <w:color w:val="131E29"/>
          <w:sz w:val="20"/>
        </w:rPr>
        <w:t>No </w:t>
      </w:r>
      <w:r>
        <w:rPr>
          <w:rFonts w:ascii="Wingdings;sans-serif" w:hAnsi="Wingdings;sans-serif"/>
          <w:b w:val="false"/>
          <w:color w:val="131E29"/>
          <w:sz w:val="20"/>
        </w:rPr>
        <w:t>o</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495" w:type="dxa"/>
        <w:jc w:val="left"/>
        <w:tblInd w:w="0" w:type="dxa"/>
        <w:tblLayout w:type="fixed"/>
        <w:tblCellMar>
          <w:top w:w="28" w:type="dxa"/>
          <w:left w:w="28" w:type="dxa"/>
          <w:bottom w:w="28" w:type="dxa"/>
          <w:right w:w="28" w:type="dxa"/>
        </w:tblCellMar>
      </w:tblPr>
      <w:tblGrid>
        <w:gridCol w:w="739"/>
        <w:gridCol w:w="648"/>
        <w:gridCol w:w="652"/>
        <w:gridCol w:w="109"/>
        <w:gridCol w:w="109"/>
        <w:gridCol w:w="109"/>
        <w:gridCol w:w="109"/>
        <w:gridCol w:w="109"/>
        <w:gridCol w:w="109"/>
        <w:gridCol w:w="809"/>
        <w:gridCol w:w="809"/>
        <w:gridCol w:w="812"/>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Wingdings;sans-serif" w:hAnsi="Wingdings;sans-serif"/>
                <w:b w:val="false"/>
                <w:color w:val="131E29"/>
                <w:sz w:val="20"/>
              </w:rPr>
            </w:pPr>
            <w:r>
              <w:rPr>
                <w:rFonts w:ascii="Wingdings;sans-serif" w:hAnsi="Wingdings;sans-serif"/>
                <w:b w:val="false"/>
                <w:color w:val="131E29"/>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Wingdings;sans-serif" w:hAnsi="Wingdings;sans-serif"/>
                <w:b w:val="false"/>
                <w:color w:val="131E29"/>
                <w:sz w:val="20"/>
              </w:rPr>
            </w:pPr>
            <w:r>
              <w:rPr>
                <w:rFonts w:ascii="Wingdings;sans-serif" w:hAnsi="Wingdings;sans-serif"/>
                <w:b w:val="false"/>
                <w:color w:val="131E29"/>
                <w:sz w:val="20"/>
              </w:rPr>
              <w:t>o</w:t>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Wingdings;sans-serif" w:hAnsi="Wingdings;sans-serif"/>
                <w:b w:val="false"/>
                <w:color w:val="131E29"/>
                <w:sz w:val="20"/>
              </w:rPr>
            </w:pPr>
            <w:r>
              <w:rPr>
                <w:rFonts w:ascii="Wingdings;sans-serif" w:hAnsi="Wingdings;sans-serif"/>
                <w:b w:val="false"/>
                <w:color w:val="131E29"/>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Wingdings;sans-serif" w:hAnsi="Wingdings;sans-serif"/>
                <w:b w:val="false"/>
                <w:color w:val="131E29"/>
                <w:sz w:val="20"/>
              </w:rPr>
            </w:pPr>
            <w:r>
              <w:rPr>
                <w:rFonts w:ascii="Wingdings;sans-serif" w:hAnsi="Wingdings;sans-serif"/>
                <w:b w:val="false"/>
                <w:color w:val="131E29"/>
                <w:sz w:val="20"/>
              </w:rPr>
              <w:t>o</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Wingdings;sans-serif" w:hAnsi="Wingdings;sans-serif"/>
                <w:b w:val="false"/>
                <w:color w:val="131E29"/>
                <w:sz w:val="20"/>
              </w:rPr>
            </w:pPr>
            <w:r>
              <w:rPr>
                <w:rFonts w:ascii="Wingdings;sans-serif" w:hAnsi="Wingdings;sans-serif"/>
                <w:b w:val="false"/>
                <w:color w:val="131E29"/>
                <w:sz w:val="20"/>
              </w:rPr>
              <w:t>o</w:t>
            </w:r>
          </w:p>
        </w:tc>
      </w:tr>
    </w:tbl>
    <w:p>
      <w:pPr>
        <w:pStyle w:val="TextBody"/>
        <w:bidi w:val="0"/>
        <w:spacing w:lineRule="auto" w:line="288" w:before="0" w:after="180"/>
        <w:jc w:val="both"/>
        <w:rPr/>
      </w:pPr>
      <w:r>
        <w:rPr>
          <w:rFonts w:ascii="Arial;sans-serif" w:hAnsi="Arial;sans-serif"/>
          <w:b w:val="false"/>
          <w:color w:val="131E29"/>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131E29"/>
          <w:sz w:val="20"/>
        </w:rPr>
        <w:t>o</w:t>
      </w:r>
    </w:p>
    <w:p>
      <w:pPr>
        <w:pStyle w:val="TextBody"/>
        <w:bidi w:val="0"/>
        <w:spacing w:lineRule="auto" w:line="288" w:before="0" w:after="180"/>
        <w:jc w:val="both"/>
        <w:rPr/>
      </w:pPr>
      <w:r>
        <w:rPr>
          <w:rFonts w:ascii="Arial;sans-serif" w:hAnsi="Arial;sans-serif"/>
          <w:b w:val="false"/>
          <w:color w:val="131E29"/>
          <w:sz w:val="20"/>
        </w:rPr>
        <w:t>Indicate by check mark whether the registrant is a shell company (as defined in Rule 12b-2 of the Act). Yes  </w:t>
      </w:r>
      <w:r>
        <w:rPr>
          <w:rFonts w:ascii="Wingdings;sans-serif" w:hAnsi="Wingdings;sans-serif"/>
          <w:b w:val="false"/>
          <w:color w:val="131E29"/>
          <w:sz w:val="20"/>
        </w:rPr>
        <w:t>o</w:t>
      </w:r>
      <w:r>
        <w:rPr>
          <w:color w:val="131E29"/>
        </w:rPr>
        <w:t>  </w:t>
      </w:r>
      <w:r>
        <w:rPr>
          <w:rFonts w:ascii="Arial;sans-serif" w:hAnsi="Arial;sans-serif"/>
          <w:b w:val="false"/>
          <w:color w:val="131E29"/>
          <w:sz w:val="20"/>
        </w:rPr>
        <w:t>No  </w:t>
      </w:r>
      <w:r>
        <w:rPr>
          <w:rFonts w:ascii="Wingdings;sans-serif" w:hAnsi="Wingdings;sans-serif"/>
          <w:b w:val="false"/>
          <w:color w:val="131E29"/>
          <w:sz w:val="20"/>
        </w:rPr>
        <w:t>x</w:t>
      </w:r>
    </w:p>
    <w:p>
      <w:pPr>
        <w:pStyle w:val="TextBody"/>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As of July 31, 2026, the registrant’s outstanding shares of common stock were as follows:</w:t>
      </w:r>
    </w:p>
    <w:p>
      <w:pPr>
        <w:pStyle w:val="TextBody"/>
        <w:bidi w:val="0"/>
        <w:spacing w:before="0" w:after="0"/>
        <w:jc w:val="center"/>
        <w:rPr/>
      </w:pPr>
      <w:r>
        <w:rPr/>
      </w:r>
    </w:p>
    <w:tbl>
      <w:tblPr>
        <w:tblW w:w="3545" w:type="dxa"/>
        <w:jc w:val="center"/>
        <w:tblInd w:w="0" w:type="dxa"/>
        <w:tblLayout w:type="fixed"/>
        <w:tblCellMar>
          <w:top w:w="28" w:type="dxa"/>
          <w:left w:w="28" w:type="dxa"/>
          <w:bottom w:w="28" w:type="dxa"/>
          <w:right w:w="28" w:type="dxa"/>
        </w:tblCellMar>
      </w:tblPr>
      <w:tblGrid>
        <w:gridCol w:w="781"/>
        <w:gridCol w:w="687"/>
        <w:gridCol w:w="692"/>
        <w:gridCol w:w="615"/>
        <w:gridCol w:w="616"/>
        <w:gridCol w:w="154"/>
      </w:tblGrid>
      <w:tr>
        <w:trPr/>
        <w:tc>
          <w:tcPr>
            <w:tcW w:w="7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Class A common stock</w:t>
            </w:r>
          </w:p>
        </w:tc>
        <w:tc>
          <w:tcPr>
            <w:tcW w:w="123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137,940,798 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Class B common stock</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35,177,924 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Class C common stock</w:t>
            </w:r>
          </w:p>
        </w:tc>
        <w:tc>
          <w:tcPr>
            <w:tcW w:w="123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1,562,994 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both"/>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60"/>
        <w:jc w:val="center"/>
        <w:rPr>
          <w:rFonts w:ascii="Arial;sans-serif" w:hAnsi="Arial;sans-serif"/>
          <w:b/>
          <w:color w:val="00416B"/>
          <w:sz w:val="28"/>
        </w:rPr>
      </w:pPr>
      <w:r>
        <w:rPr>
          <w:rFonts w:ascii="Arial;sans-serif" w:hAnsi="Arial;sans-serif"/>
          <w:b/>
          <w:color w:val="00416B"/>
          <w:sz w:val="28"/>
        </w:rPr>
        <w:t>DUTCH BROS INC.</w:t>
      </w:r>
    </w:p>
    <w:p>
      <w:pPr>
        <w:pStyle w:val="TextBody"/>
        <w:bidi w:val="0"/>
        <w:spacing w:lineRule="auto" w:line="288" w:before="0" w:after="60"/>
        <w:jc w:val="center"/>
        <w:rPr>
          <w:rFonts w:ascii="Arial;sans-serif" w:hAnsi="Arial;sans-serif"/>
          <w:b w:val="false"/>
          <w:color w:val="131E29"/>
          <w:sz w:val="20"/>
        </w:rPr>
      </w:pPr>
      <w:r>
        <w:rPr>
          <w:rFonts w:ascii="Arial;sans-serif" w:hAnsi="Arial;sans-serif"/>
          <w:b w:val="false"/>
          <w:color w:val="131E29"/>
          <w:sz w:val="20"/>
        </w:rPr>
        <w:t>QUARTERLY REPORT ON FORM 10-Q</w:t>
      </w:r>
    </w:p>
    <w:p>
      <w:pPr>
        <w:pStyle w:val="TextBody"/>
        <w:bidi w:val="0"/>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TABLE OF CONTENTS</w:t>
      </w:r>
    </w:p>
    <w:tbl>
      <w:tblPr>
        <w:tblW w:w="7898" w:type="dxa"/>
        <w:jc w:val="left"/>
        <w:tblInd w:w="0" w:type="dxa"/>
        <w:tblLayout w:type="fixed"/>
        <w:tblCellMar>
          <w:top w:w="28" w:type="dxa"/>
          <w:left w:w="28" w:type="dxa"/>
          <w:bottom w:w="28" w:type="dxa"/>
          <w:right w:w="28" w:type="dxa"/>
        </w:tblCellMar>
      </w:tblPr>
      <w:tblGrid>
        <w:gridCol w:w="483"/>
        <w:gridCol w:w="422"/>
        <w:gridCol w:w="422"/>
        <w:gridCol w:w="1956"/>
        <w:gridCol w:w="1956"/>
        <w:gridCol w:w="2043"/>
        <w:gridCol w:w="180"/>
        <w:gridCol w:w="180"/>
        <w:gridCol w:w="256"/>
      </w:tblGrid>
      <w:tr>
        <w:trPr/>
        <w:tc>
          <w:tcPr>
            <w:tcW w:w="483"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956" w:type="dxa"/>
            <w:tcBorders/>
            <w:vAlign w:val="center"/>
          </w:tcPr>
          <w:p>
            <w:pPr>
              <w:pStyle w:val="TableContents"/>
              <w:bidi w:val="0"/>
              <w:spacing w:before="0" w:after="283"/>
              <w:jc w:val="left"/>
              <w:rPr>
                <w:sz w:val="4"/>
                <w:szCs w:val="4"/>
              </w:rPr>
            </w:pPr>
            <w:r>
              <w:rPr>
                <w:sz w:val="4"/>
                <w:szCs w:val="4"/>
              </w:rPr>
            </w:r>
          </w:p>
        </w:tc>
        <w:tc>
          <w:tcPr>
            <w:tcW w:w="1956" w:type="dxa"/>
            <w:tcBorders/>
            <w:vAlign w:val="center"/>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Page</w:t>
            </w:r>
          </w:p>
        </w:tc>
      </w:tr>
      <w:tr>
        <w:trPr/>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2" w:type="dxa"/>
            <w:gridSpan w:val="6"/>
            <w:tcBorders>
              <w:bottom w:val="single" w:sz="8" w:space="0" w:color="D2DCE5"/>
            </w:tcBorders>
            <w:tcMar>
              <w:top w:w="0" w:type="dxa"/>
              <w:left w:w="0" w:type="dxa"/>
              <w:bottom w:w="30" w:type="dxa"/>
              <w:right w:w="0" w:type="dxa"/>
            </w:tcMar>
            <w:vAlign w:val="center"/>
          </w:tcPr>
          <w:p>
            <w:pPr>
              <w:pStyle w:val="TableContents"/>
              <w:bidi w:val="0"/>
              <w:spacing w:lineRule="auto" w:line="288" w:before="0" w:after="0"/>
              <w:jc w:val="left"/>
              <w:rPr/>
            </w:pPr>
            <w:hyperlink w:anchor="i901a725797c944a19267b6f140f14c09_22">
              <w:r>
                <w:rPr>
                  <w:rStyle w:val="InternetLink"/>
                  <w:rFonts w:ascii="Arial;sans-serif" w:hAnsi="Arial;sans-serif"/>
                  <w:b w:val="false"/>
                  <w:strike w:val="false"/>
                  <w:dstrike w:val="false"/>
                  <w:color w:val="131E29"/>
                  <w:sz w:val="20"/>
                  <w:u w:val="none"/>
                  <w:effect w:val="none"/>
                </w:rPr>
                <w:t>Glossary</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01a725797c944a19267b6f140f14c09_22">
              <w:r>
                <w:rPr>
                  <w:rStyle w:val="InternetLink"/>
                  <w:rFonts w:ascii="Arial;sans-serif" w:hAnsi="Arial;sans-serif"/>
                  <w:b w:val="false"/>
                  <w:strike w:val="false"/>
                  <w:dstrike w:val="false"/>
                  <w:color w:val="131E29"/>
                  <w:sz w:val="20"/>
                  <w:u w:val="none"/>
                  <w:effect w:val="none"/>
                </w:rPr>
                <w:t>1</w:t>
              </w:r>
            </w:hyperlink>
          </w:p>
        </w:tc>
      </w:tr>
      <w:tr>
        <w:trPr/>
        <w:tc>
          <w:tcPr>
            <w:tcW w:w="7282" w:type="dxa"/>
            <w:gridSpan w:val="6"/>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left"/>
              <w:rPr/>
            </w:pPr>
            <w:hyperlink w:anchor="i901a725797c944a19267b6f140f14c09_28">
              <w:r>
                <w:rPr>
                  <w:rStyle w:val="InternetLink"/>
                  <w:rFonts w:ascii="Arial;sans-serif" w:hAnsi="Arial;sans-serif"/>
                  <w:b w:val="false"/>
                  <w:strike w:val="false"/>
                  <w:dstrike w:val="false"/>
                  <w:color w:val="131E29"/>
                  <w:sz w:val="20"/>
                  <w:u w:val="none"/>
                  <w:effect w:val="none"/>
                </w:rPr>
                <w:t>Forward-Looking Statements</w:t>
              </w:r>
            </w:hyperlink>
          </w:p>
        </w:tc>
        <w:tc>
          <w:tcPr>
            <w:tcW w:w="616"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center"/>
              <w:rPr/>
            </w:pPr>
            <w:hyperlink w:anchor="i901a725797c944a19267b6f140f14c09_28">
              <w:r>
                <w:rPr>
                  <w:rStyle w:val="InternetLink"/>
                  <w:rFonts w:ascii="Arial;sans-serif" w:hAnsi="Arial;sans-serif"/>
                  <w:b w:val="false"/>
                  <w:strike w:val="false"/>
                  <w:dstrike w:val="false"/>
                  <w:color w:val="131E29"/>
                  <w:sz w:val="20"/>
                  <w:u w:val="none"/>
                  <w:effect w:val="none"/>
                </w:rPr>
                <w:t>2</w:t>
              </w:r>
            </w:hyperlink>
          </w:p>
        </w:tc>
      </w:tr>
      <w:tr>
        <w:trPr/>
        <w:tc>
          <w:tcPr>
            <w:tcW w:w="1327" w:type="dxa"/>
            <w:gridSpan w:val="3"/>
            <w:tcBorders>
              <w:top w:val="single" w:sz="8" w:space="0" w:color="D2DC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5" w:type="dxa"/>
            <w:gridSpan w:val="3"/>
            <w:tcBorders>
              <w:top w:val="single" w:sz="8" w:space="0" w:color="D2DC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D2DC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01a725797c944a19267b6f140f14c09_34">
              <w:r>
                <w:rPr>
                  <w:rStyle w:val="InternetLink"/>
                  <w:rFonts w:ascii="Arial;sans-serif" w:hAnsi="Arial;sans-serif"/>
                  <w:b/>
                  <w:strike w:val="false"/>
                  <w:dstrike w:val="false"/>
                  <w:color w:val="006098"/>
                  <w:sz w:val="20"/>
                  <w:u w:val="none"/>
                  <w:effect w:val="none"/>
                </w:rPr>
                <w:t>PART I</w:t>
              </w:r>
            </w:hyperlink>
          </w:p>
        </w:tc>
        <w:tc>
          <w:tcPr>
            <w:tcW w:w="595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01a725797c944a19267b6f140f14c09_34">
              <w:r>
                <w:rPr>
                  <w:rStyle w:val="InternetLink"/>
                  <w:rFonts w:ascii="Arial;sans-serif" w:hAnsi="Arial;sans-serif"/>
                  <w:b/>
                  <w:strike w:val="false"/>
                  <w:dstrike w:val="false"/>
                  <w:color w:val="006098"/>
                  <w:sz w:val="20"/>
                  <w:u w:val="none"/>
                  <w:effect w:val="none"/>
                </w:rPr>
                <w:t>FINANCIAL INFORMATION</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01a725797c944a19267b6f140f14c09_34">
              <w:r>
                <w:rPr>
                  <w:rStyle w:val="InternetLink"/>
                  <w:rFonts w:ascii="Arial;sans-serif" w:hAnsi="Arial;sans-serif"/>
                  <w:b w:val="false"/>
                  <w:strike w:val="false"/>
                  <w:dstrike w:val="false"/>
                  <w:color w:val="131E29"/>
                  <w:sz w:val="20"/>
                  <w:u w:val="none"/>
                  <w:effect w:val="none"/>
                </w:rPr>
                <w:t>3</w:t>
              </w:r>
            </w:hyperlink>
          </w:p>
        </w:tc>
      </w:tr>
      <w:tr>
        <w:trPr/>
        <w:tc>
          <w:tcPr>
            <w:tcW w:w="1327" w:type="dxa"/>
            <w:gridSpan w:val="3"/>
            <w:tcBorders/>
            <w:shd w:fill="FDE02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5" w:type="dxa"/>
            <w:gridSpan w:val="3"/>
            <w:tcBorders/>
            <w:shd w:fill="FDE02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DE02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7" w:type="dxa"/>
            <w:gridSpan w:val="3"/>
            <w:tcBorders/>
            <w:shd w:fill="D7282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5" w:type="dxa"/>
            <w:gridSpan w:val="3"/>
            <w:tcBorders/>
            <w:shd w:fill="D7282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7282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7" w:type="dxa"/>
            <w:gridSpan w:val="3"/>
            <w:tcBorders/>
            <w:shd w:fill="00416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5" w:type="dxa"/>
            <w:gridSpan w:val="3"/>
            <w:tcBorders/>
            <w:shd w:fill="00416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00416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01a725797c944a19267b6f140f14c09_37">
              <w:r>
                <w:rPr>
                  <w:rStyle w:val="InternetLink"/>
                  <w:rFonts w:ascii="Arial;sans-serif" w:hAnsi="Arial;sans-serif"/>
                  <w:b w:val="false"/>
                  <w:strike w:val="false"/>
                  <w:dstrike w:val="false"/>
                  <w:color w:val="131E29"/>
                  <w:sz w:val="20"/>
                  <w:u w:val="none"/>
                  <w:effect w:val="none"/>
                </w:rPr>
                <w:t>ITEM 1.</w:t>
              </w:r>
            </w:hyperlink>
          </w:p>
        </w:tc>
        <w:tc>
          <w:tcPr>
            <w:tcW w:w="595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01a725797c944a19267b6f140f14c09_37">
              <w:r>
                <w:rPr>
                  <w:rStyle w:val="InternetLink"/>
                  <w:rFonts w:ascii="Arial;sans-serif" w:hAnsi="Arial;sans-serif"/>
                  <w:b w:val="false"/>
                  <w:strike w:val="false"/>
                  <w:dstrike w:val="false"/>
                  <w:color w:val="131E29"/>
                  <w:sz w:val="20"/>
                  <w:u w:val="none"/>
                  <w:effect w:val="none"/>
                </w:rPr>
                <w:t>Financial Statements</w:t>
              </w:r>
            </w:hyperlink>
            <w:r>
              <w:rPr>
                <w:rFonts w:ascii="Arial;sans-serif" w:hAnsi="Arial;sans-serif"/>
                <w:b w:val="false"/>
                <w:color w:val="131E29"/>
                <w:sz w:val="20"/>
              </w:rPr>
              <w:t xml:space="preserve"> (Unaudited)</w:t>
            </w:r>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01a725797c944a19267b6f140f14c09_37">
              <w:r>
                <w:rPr>
                  <w:rStyle w:val="InternetLink"/>
                  <w:rFonts w:ascii="Arial;sans-serif" w:hAnsi="Arial;sans-serif"/>
                  <w:b w:val="false"/>
                  <w:strike w:val="false"/>
                  <w:dstrike w:val="false"/>
                  <w:color w:val="131E29"/>
                  <w:sz w:val="20"/>
                  <w:u w:val="none"/>
                  <w:effect w:val="none"/>
                </w:rPr>
                <w:t>3</w:t>
              </w:r>
            </w:hyperlink>
          </w:p>
        </w:tc>
      </w:tr>
      <w:tr>
        <w:trPr/>
        <w:tc>
          <w:tcPr>
            <w:tcW w:w="1327" w:type="dxa"/>
            <w:gridSpan w:val="3"/>
            <w:tcBorders/>
            <w:vAlign w:val="center"/>
          </w:tcPr>
          <w:p>
            <w:pPr>
              <w:pStyle w:val="TableContents"/>
              <w:bidi w:val="0"/>
              <w:spacing w:before="0" w:after="283"/>
              <w:jc w:val="left"/>
              <w:rPr>
                <w:sz w:val="4"/>
                <w:szCs w:val="4"/>
              </w:rPr>
            </w:pPr>
            <w:r>
              <w:rPr>
                <w:sz w:val="4"/>
                <w:szCs w:val="4"/>
              </w:rPr>
            </w:r>
          </w:p>
        </w:tc>
        <w:tc>
          <w:tcPr>
            <w:tcW w:w="5955"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r>
      <w:tr>
        <w:trPr/>
        <w:tc>
          <w:tcPr>
            <w:tcW w:w="1327"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5"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88" w:before="0" w:after="0"/>
              <w:jc w:val="left"/>
              <w:rPr/>
            </w:pPr>
            <w:hyperlink w:anchor="i901a725797c944a19267b6f140f14c09_46">
              <w:r>
                <w:rPr>
                  <w:rStyle w:val="InternetLink"/>
                  <w:rFonts w:ascii="Arial;sans-serif" w:hAnsi="Arial;sans-serif"/>
                  <w:b w:val="false"/>
                  <w:strike w:val="false"/>
                  <w:dstrike w:val="false"/>
                  <w:color w:val="131E29"/>
                  <w:sz w:val="20"/>
                  <w:u w:val="none"/>
                  <w:effect w:val="none"/>
                </w:rPr>
                <w:t>Condensed Consolidated Statements of Operations</w:t>
              </w:r>
            </w:hyperlink>
          </w:p>
        </w:tc>
        <w:tc>
          <w:tcPr>
            <w:tcW w:w="616"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88" w:before="0" w:after="0"/>
              <w:jc w:val="center"/>
              <w:rPr/>
            </w:pPr>
            <w:hyperlink w:anchor="i901a725797c944a19267b6f140f14c09_46">
              <w:r>
                <w:rPr>
                  <w:rStyle w:val="InternetLink"/>
                  <w:rFonts w:ascii="Arial;sans-serif" w:hAnsi="Arial;sans-serif"/>
                  <w:b w:val="false"/>
                  <w:strike w:val="false"/>
                  <w:dstrike w:val="false"/>
                  <w:color w:val="131E29"/>
                  <w:sz w:val="20"/>
                  <w:u w:val="none"/>
                  <w:effect w:val="none"/>
                </w:rPr>
                <w:t>3</w:t>
              </w:r>
            </w:hyperlink>
          </w:p>
        </w:tc>
      </w:tr>
      <w:tr>
        <w:trPr/>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5"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left"/>
              <w:rPr/>
            </w:pPr>
            <w:hyperlink w:anchor="i901a725797c944a19267b6f140f14c09_49">
              <w:r>
                <w:rPr>
                  <w:rStyle w:val="InternetLink"/>
                  <w:rFonts w:ascii="Arial;sans-serif" w:hAnsi="Arial;sans-serif"/>
                  <w:b w:val="false"/>
                  <w:strike w:val="false"/>
                  <w:dstrike w:val="false"/>
                  <w:color w:val="131E29"/>
                  <w:sz w:val="20"/>
                  <w:u w:val="none"/>
                  <w:effect w:val="none"/>
                </w:rPr>
                <w:t>Condensed Consolidated Statements of Comprehensive Income</w:t>
              </w:r>
            </w:hyperlink>
          </w:p>
        </w:tc>
        <w:tc>
          <w:tcPr>
            <w:tcW w:w="616"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center"/>
              <w:rPr/>
            </w:pPr>
            <w:hyperlink w:anchor="i901a725797c944a19267b6f140f14c09_49">
              <w:r>
                <w:rPr>
                  <w:rStyle w:val="InternetLink"/>
                  <w:rFonts w:ascii="Arial;sans-serif" w:hAnsi="Arial;sans-serif"/>
                  <w:b w:val="false"/>
                  <w:strike w:val="false"/>
                  <w:dstrike w:val="false"/>
                  <w:color w:val="131E29"/>
                  <w:sz w:val="20"/>
                  <w:u w:val="none"/>
                  <w:effect w:val="none"/>
                </w:rPr>
                <w:t>4</w:t>
              </w:r>
            </w:hyperlink>
          </w:p>
        </w:tc>
      </w:tr>
      <w:tr>
        <w:trPr/>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5"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left"/>
              <w:rPr/>
            </w:pPr>
            <w:hyperlink w:anchor="i901a725797c944a19267b6f140f14c09_52">
              <w:r>
                <w:rPr>
                  <w:rStyle w:val="InternetLink"/>
                  <w:rFonts w:ascii="Arial;sans-serif" w:hAnsi="Arial;sans-serif"/>
                  <w:b w:val="false"/>
                  <w:strike w:val="false"/>
                  <w:dstrike w:val="false"/>
                  <w:color w:val="131E29"/>
                  <w:sz w:val="20"/>
                  <w:u w:val="none"/>
                  <w:effect w:val="none"/>
                </w:rPr>
                <w:t>Condensed Consolidated Balance Sheets</w:t>
              </w:r>
            </w:hyperlink>
          </w:p>
        </w:tc>
        <w:tc>
          <w:tcPr>
            <w:tcW w:w="616"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center"/>
              <w:rPr/>
            </w:pPr>
            <w:hyperlink w:anchor="i901a725797c944a19267b6f140f14c09_52">
              <w:r>
                <w:rPr>
                  <w:rStyle w:val="InternetLink"/>
                  <w:rFonts w:ascii="Arial;sans-serif" w:hAnsi="Arial;sans-serif"/>
                  <w:b w:val="false"/>
                  <w:strike w:val="false"/>
                  <w:dstrike w:val="false"/>
                  <w:color w:val="131E29"/>
                  <w:sz w:val="20"/>
                  <w:u w:val="none"/>
                  <w:effect w:val="none"/>
                </w:rPr>
                <w:t>5</w:t>
              </w:r>
            </w:hyperlink>
          </w:p>
        </w:tc>
      </w:tr>
      <w:tr>
        <w:trPr/>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5"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left"/>
              <w:rPr/>
            </w:pPr>
            <w:hyperlink w:anchor="i901a725797c944a19267b6f140f14c09_55">
              <w:r>
                <w:rPr>
                  <w:rStyle w:val="InternetLink"/>
                  <w:rFonts w:ascii="Arial;sans-serif" w:hAnsi="Arial;sans-serif"/>
                  <w:b w:val="false"/>
                  <w:strike w:val="false"/>
                  <w:dstrike w:val="false"/>
                  <w:color w:val="131E29"/>
                  <w:sz w:val="20"/>
                  <w:u w:val="none"/>
                  <w:effect w:val="none"/>
                </w:rPr>
                <w:t>Condensed Consolidated Statements of Stockholders’ Equity</w:t>
              </w:r>
            </w:hyperlink>
          </w:p>
        </w:tc>
        <w:tc>
          <w:tcPr>
            <w:tcW w:w="616"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center"/>
              <w:rPr/>
            </w:pPr>
            <w:hyperlink w:anchor="i901a725797c944a19267b6f140f14c09_55">
              <w:r>
                <w:rPr>
                  <w:rStyle w:val="InternetLink"/>
                  <w:rFonts w:ascii="Arial;sans-serif" w:hAnsi="Arial;sans-serif"/>
                  <w:b w:val="false"/>
                  <w:strike w:val="false"/>
                  <w:dstrike w:val="false"/>
                  <w:color w:val="131E29"/>
                  <w:sz w:val="20"/>
                  <w:u w:val="none"/>
                  <w:effect w:val="none"/>
                </w:rPr>
                <w:t>6</w:t>
              </w:r>
            </w:hyperlink>
          </w:p>
        </w:tc>
      </w:tr>
      <w:tr>
        <w:trPr/>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5"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left"/>
              <w:rPr/>
            </w:pPr>
            <w:hyperlink w:anchor="i901a725797c944a19267b6f140f14c09_76">
              <w:r>
                <w:rPr>
                  <w:rStyle w:val="InternetLink"/>
                  <w:rFonts w:ascii="Arial;sans-serif" w:hAnsi="Arial;sans-serif"/>
                  <w:b w:val="false"/>
                  <w:strike w:val="false"/>
                  <w:dstrike w:val="false"/>
                  <w:color w:val="131E29"/>
                  <w:sz w:val="20"/>
                  <w:u w:val="none"/>
                  <w:effect w:val="none"/>
                </w:rPr>
                <w:t>Condensed Consolidated Statements of Cash Flows</w:t>
              </w:r>
            </w:hyperlink>
          </w:p>
        </w:tc>
        <w:tc>
          <w:tcPr>
            <w:tcW w:w="616"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center"/>
              <w:rPr/>
            </w:pPr>
            <w:hyperlink w:anchor="i901a725797c944a19267b6f140f14c09_76">
              <w:r>
                <w:rPr>
                  <w:rStyle w:val="InternetLink"/>
                  <w:rFonts w:ascii="Arial;sans-serif" w:hAnsi="Arial;sans-serif"/>
                  <w:b w:val="false"/>
                  <w:strike w:val="false"/>
                  <w:dstrike w:val="false"/>
                  <w:color w:val="131E29"/>
                  <w:sz w:val="20"/>
                  <w:u w:val="none"/>
                  <w:effect w:val="none"/>
                </w:rPr>
                <w:t>10</w:t>
              </w:r>
            </w:hyperlink>
          </w:p>
        </w:tc>
      </w:tr>
      <w:tr>
        <w:trPr/>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5"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left"/>
              <w:rPr/>
            </w:pPr>
            <w:hyperlink w:anchor="i901a725797c944a19267b6f140f14c09_82">
              <w:r>
                <w:rPr>
                  <w:rStyle w:val="InternetLink"/>
                  <w:rFonts w:ascii="Arial;sans-serif" w:hAnsi="Arial;sans-serif"/>
                  <w:b w:val="false"/>
                  <w:strike w:val="false"/>
                  <w:dstrike w:val="false"/>
                  <w:color w:val="131E29"/>
                  <w:sz w:val="20"/>
                  <w:u w:val="none"/>
                  <w:effect w:val="none"/>
                </w:rPr>
                <w:t>Notes to Condensed Consolidated Financial Statements</w:t>
              </w:r>
            </w:hyperlink>
            <w:r>
              <w:rPr>
                <w:rFonts w:ascii="Arial;sans-serif" w:hAnsi="Arial;sans-serif"/>
                <w:b w:val="false"/>
                <w:color w:val="131E29"/>
                <w:sz w:val="20"/>
              </w:rPr>
              <w:t xml:space="preserve"> </w:t>
            </w:r>
          </w:p>
        </w:tc>
        <w:tc>
          <w:tcPr>
            <w:tcW w:w="616"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center"/>
              <w:rPr/>
            </w:pPr>
            <w:hyperlink w:anchor="i901a725797c944a19267b6f140f14c09_82">
              <w:r>
                <w:rPr>
                  <w:rStyle w:val="InternetLink"/>
                  <w:rFonts w:ascii="Arial;sans-serif" w:hAnsi="Arial;sans-serif"/>
                  <w:b w:val="false"/>
                  <w:strike w:val="false"/>
                  <w:dstrike w:val="false"/>
                  <w:color w:val="131E29"/>
                  <w:sz w:val="20"/>
                  <w:u w:val="none"/>
                  <w:effect w:val="none"/>
                </w:rPr>
                <w:t>12</w:t>
              </w:r>
            </w:hyperlink>
          </w:p>
        </w:tc>
      </w:tr>
      <w:tr>
        <w:trPr/>
        <w:tc>
          <w:tcPr>
            <w:tcW w:w="1327"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center"/>
              <w:rPr/>
            </w:pPr>
            <w:hyperlink w:anchor="i901a725797c944a19267b6f140f14c09_424">
              <w:r>
                <w:rPr>
                  <w:rStyle w:val="InternetLink"/>
                  <w:rFonts w:ascii="Arial;sans-serif" w:hAnsi="Arial;sans-serif"/>
                  <w:b w:val="false"/>
                  <w:strike w:val="false"/>
                  <w:dstrike w:val="false"/>
                  <w:color w:val="131E29"/>
                  <w:sz w:val="20"/>
                  <w:u w:val="none"/>
                  <w:effect w:val="none"/>
                </w:rPr>
                <w:t>ITEM 2.</w:t>
              </w:r>
            </w:hyperlink>
          </w:p>
        </w:tc>
        <w:tc>
          <w:tcPr>
            <w:tcW w:w="5955"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left"/>
              <w:rPr/>
            </w:pPr>
            <w:hyperlink w:anchor="i901a725797c944a19267b6f140f14c09_424">
              <w:r>
                <w:rPr>
                  <w:rStyle w:val="InternetLink"/>
                  <w:rFonts w:ascii="Arial;sans-serif" w:hAnsi="Arial;sans-serif"/>
                  <w:b w:val="false"/>
                  <w:strike w:val="false"/>
                  <w:dstrike w:val="false"/>
                  <w:color w:val="131E29"/>
                  <w:sz w:val="20"/>
                  <w:u w:val="none"/>
                  <w:effect w:val="none"/>
                </w:rPr>
                <w:t xml:space="preserve">Management’s Discussion and Analysis of Financial Condition and </w:t>
              </w:r>
            </w:hyperlink>
          </w:p>
          <w:p>
            <w:pPr>
              <w:pStyle w:val="TableContents"/>
              <w:bidi w:val="0"/>
              <w:spacing w:lineRule="auto" w:line="288" w:before="0" w:after="0"/>
              <w:jc w:val="left"/>
              <w:rPr/>
            </w:pPr>
            <w:hyperlink w:anchor="i901a725797c944a19267b6f140f14c09_424">
              <w:r>
                <w:rPr>
                  <w:rStyle w:val="InternetLink"/>
                  <w:rFonts w:ascii="Arial;sans-serif" w:hAnsi="Arial;sans-serif"/>
                  <w:b w:val="false"/>
                  <w:strike w:val="false"/>
                  <w:dstrike w:val="false"/>
                  <w:color w:val="131E29"/>
                  <w:sz w:val="20"/>
                  <w:u w:val="none"/>
                  <w:effect w:val="none"/>
                </w:rPr>
                <w:t>Results of Operations</w:t>
              </w:r>
            </w:hyperlink>
          </w:p>
        </w:tc>
        <w:tc>
          <w:tcPr>
            <w:tcW w:w="616"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center"/>
              <w:rPr/>
            </w:pPr>
            <w:hyperlink w:anchor="i901a725797c944a19267b6f140f14c09_424">
              <w:r>
                <w:rPr>
                  <w:rStyle w:val="InternetLink"/>
                  <w:rFonts w:ascii="Arial;sans-serif" w:hAnsi="Arial;sans-serif"/>
                  <w:b w:val="false"/>
                  <w:strike w:val="false"/>
                  <w:dstrike w:val="false"/>
                  <w:color w:val="131E29"/>
                  <w:sz w:val="20"/>
                  <w:u w:val="none"/>
                  <w:effect w:val="none"/>
                </w:rPr>
                <w:t>30</w:t>
              </w:r>
            </w:hyperlink>
          </w:p>
        </w:tc>
      </w:tr>
      <w:tr>
        <w:trPr/>
        <w:tc>
          <w:tcPr>
            <w:tcW w:w="1327"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center"/>
              <w:rPr/>
            </w:pPr>
            <w:hyperlink w:anchor="i901a725797c944a19267b6f140f14c09_664">
              <w:r>
                <w:rPr>
                  <w:rStyle w:val="InternetLink"/>
                  <w:rFonts w:ascii="Arial;sans-serif" w:hAnsi="Arial;sans-serif"/>
                  <w:b w:val="false"/>
                  <w:strike w:val="false"/>
                  <w:dstrike w:val="false"/>
                  <w:color w:val="131E29"/>
                  <w:sz w:val="20"/>
                  <w:u w:val="none"/>
                  <w:effect w:val="none"/>
                </w:rPr>
                <w:t>ITEM 3</w:t>
              </w:r>
            </w:hyperlink>
            <w:r>
              <w:rPr>
                <w:rFonts w:ascii="Arial;sans-serif" w:hAnsi="Arial;sans-serif"/>
                <w:b w:val="false"/>
                <w:color w:val="131E29"/>
                <w:sz w:val="20"/>
              </w:rPr>
              <w:t>.</w:t>
            </w:r>
          </w:p>
        </w:tc>
        <w:tc>
          <w:tcPr>
            <w:tcW w:w="5955"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left"/>
              <w:rPr/>
            </w:pPr>
            <w:hyperlink w:anchor="i901a725797c944a19267b6f140f14c09_664">
              <w:r>
                <w:rPr>
                  <w:rStyle w:val="InternetLink"/>
                  <w:rFonts w:ascii="Arial;sans-serif" w:hAnsi="Arial;sans-serif"/>
                  <w:b w:val="false"/>
                  <w:strike w:val="false"/>
                  <w:dstrike w:val="false"/>
                  <w:color w:val="131E29"/>
                  <w:sz w:val="20"/>
                  <w:u w:val="none"/>
                  <w:effect w:val="none"/>
                </w:rPr>
                <w:t>Quantitative and Qualitative Disclosures About Market Risk</w:t>
              </w:r>
            </w:hyperlink>
          </w:p>
        </w:tc>
        <w:tc>
          <w:tcPr>
            <w:tcW w:w="616"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center"/>
              <w:rPr/>
            </w:pPr>
            <w:hyperlink w:anchor="i901a725797c944a19267b6f140f14c09_664">
              <w:r>
                <w:rPr>
                  <w:rStyle w:val="InternetLink"/>
                  <w:rFonts w:ascii="Arial;sans-serif" w:hAnsi="Arial;sans-serif"/>
                  <w:b w:val="false"/>
                  <w:strike w:val="false"/>
                  <w:dstrike w:val="false"/>
                  <w:color w:val="131E29"/>
                  <w:sz w:val="20"/>
                  <w:u w:val="none"/>
                  <w:effect w:val="none"/>
                </w:rPr>
                <w:t>44</w:t>
              </w:r>
            </w:hyperlink>
          </w:p>
        </w:tc>
      </w:tr>
      <w:tr>
        <w:trPr/>
        <w:tc>
          <w:tcPr>
            <w:tcW w:w="1327"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center"/>
              <w:rPr/>
            </w:pPr>
            <w:hyperlink w:anchor="i901a725797c944a19267b6f140f14c09_667">
              <w:r>
                <w:rPr>
                  <w:rStyle w:val="InternetLink"/>
                  <w:rFonts w:ascii="Arial;sans-serif" w:hAnsi="Arial;sans-serif"/>
                  <w:b w:val="false"/>
                  <w:strike w:val="false"/>
                  <w:dstrike w:val="false"/>
                  <w:color w:val="131E29"/>
                  <w:sz w:val="20"/>
                  <w:u w:val="none"/>
                  <w:effect w:val="none"/>
                </w:rPr>
                <w:t>ITEM 4.</w:t>
              </w:r>
            </w:hyperlink>
          </w:p>
        </w:tc>
        <w:tc>
          <w:tcPr>
            <w:tcW w:w="5955"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left"/>
              <w:rPr/>
            </w:pPr>
            <w:hyperlink w:anchor="i901a725797c944a19267b6f140f14c09_667">
              <w:r>
                <w:rPr>
                  <w:rStyle w:val="InternetLink"/>
                  <w:rFonts w:ascii="Arial;sans-serif" w:hAnsi="Arial;sans-serif"/>
                  <w:b w:val="false"/>
                  <w:strike w:val="false"/>
                  <w:dstrike w:val="false"/>
                  <w:color w:val="131E29"/>
                  <w:sz w:val="20"/>
                  <w:u w:val="none"/>
                  <w:effect w:val="none"/>
                </w:rPr>
                <w:t>Controls and Procedures</w:t>
              </w:r>
            </w:hyperlink>
          </w:p>
        </w:tc>
        <w:tc>
          <w:tcPr>
            <w:tcW w:w="616"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center"/>
              <w:rPr/>
            </w:pPr>
            <w:hyperlink w:anchor="i901a725797c944a19267b6f140f14c09_667">
              <w:r>
                <w:rPr>
                  <w:rStyle w:val="InternetLink"/>
                  <w:rFonts w:ascii="Arial;sans-serif" w:hAnsi="Arial;sans-serif"/>
                  <w:b w:val="false"/>
                  <w:strike w:val="false"/>
                  <w:dstrike w:val="false"/>
                  <w:color w:val="131E29"/>
                  <w:sz w:val="20"/>
                  <w:u w:val="none"/>
                  <w:effect w:val="none"/>
                </w:rPr>
                <w:t>45</w:t>
              </w:r>
            </w:hyperlink>
          </w:p>
        </w:tc>
      </w:tr>
      <w:tr>
        <w:trPr/>
        <w:tc>
          <w:tcPr>
            <w:tcW w:w="1327" w:type="dxa"/>
            <w:gridSpan w:val="3"/>
            <w:tcBorders>
              <w:top w:val="single" w:sz="8" w:space="0" w:color="D2DC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5" w:type="dxa"/>
            <w:gridSpan w:val="3"/>
            <w:tcBorders>
              <w:top w:val="single" w:sz="8" w:space="0" w:color="D2DC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D2DC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01a725797c944a19267b6f140f14c09_676">
              <w:r>
                <w:rPr>
                  <w:rStyle w:val="InternetLink"/>
                  <w:rFonts w:ascii="Arial;sans-serif" w:hAnsi="Arial;sans-serif"/>
                  <w:b/>
                  <w:strike w:val="false"/>
                  <w:dstrike w:val="false"/>
                  <w:color w:val="006098"/>
                  <w:sz w:val="20"/>
                  <w:u w:val="none"/>
                  <w:effect w:val="none"/>
                </w:rPr>
                <w:t>PART II</w:t>
              </w:r>
            </w:hyperlink>
          </w:p>
        </w:tc>
        <w:tc>
          <w:tcPr>
            <w:tcW w:w="595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01a725797c944a19267b6f140f14c09_676">
              <w:r>
                <w:rPr>
                  <w:rStyle w:val="InternetLink"/>
                  <w:rFonts w:ascii="Arial;sans-serif" w:hAnsi="Arial;sans-serif"/>
                  <w:b/>
                  <w:strike w:val="false"/>
                  <w:dstrike w:val="false"/>
                  <w:color w:val="006098"/>
                  <w:sz w:val="20"/>
                  <w:u w:val="none"/>
                  <w:effect w:val="none"/>
                </w:rPr>
                <w:t>OTHER INFORMATION</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01a725797c944a19267b6f140f14c09_676">
              <w:r>
                <w:rPr>
                  <w:rStyle w:val="InternetLink"/>
                  <w:rFonts w:ascii="Arial;sans-serif" w:hAnsi="Arial;sans-serif"/>
                  <w:b w:val="false"/>
                  <w:strike w:val="false"/>
                  <w:dstrike w:val="false"/>
                  <w:color w:val="131E29"/>
                  <w:sz w:val="20"/>
                  <w:u w:val="none"/>
                  <w:effect w:val="none"/>
                </w:rPr>
                <w:t>46</w:t>
              </w:r>
            </w:hyperlink>
          </w:p>
        </w:tc>
      </w:tr>
      <w:tr>
        <w:trPr/>
        <w:tc>
          <w:tcPr>
            <w:tcW w:w="1327" w:type="dxa"/>
            <w:gridSpan w:val="3"/>
            <w:tcBorders/>
            <w:shd w:fill="FDE02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5" w:type="dxa"/>
            <w:gridSpan w:val="3"/>
            <w:tcBorders/>
            <w:shd w:fill="FDE02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D2DCE5"/>
            </w:tcBorders>
            <w:shd w:fill="FDE02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7" w:type="dxa"/>
            <w:gridSpan w:val="3"/>
            <w:tcBorders/>
            <w:shd w:fill="D7282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5" w:type="dxa"/>
            <w:gridSpan w:val="3"/>
            <w:tcBorders/>
            <w:shd w:fill="D7282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7282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7" w:type="dxa"/>
            <w:gridSpan w:val="3"/>
            <w:tcBorders/>
            <w:shd w:fill="00416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5" w:type="dxa"/>
            <w:gridSpan w:val="3"/>
            <w:tcBorders/>
            <w:shd w:fill="00416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00416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7"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center"/>
              <w:rPr/>
            </w:pPr>
            <w:hyperlink w:anchor="i901a725797c944a19267b6f140f14c09_679">
              <w:r>
                <w:rPr>
                  <w:rStyle w:val="InternetLink"/>
                  <w:rFonts w:ascii="Arial;sans-serif" w:hAnsi="Arial;sans-serif"/>
                  <w:b w:val="false"/>
                  <w:strike w:val="false"/>
                  <w:dstrike w:val="false"/>
                  <w:color w:val="131E29"/>
                  <w:sz w:val="20"/>
                  <w:u w:val="none"/>
                  <w:effect w:val="none"/>
                </w:rPr>
                <w:t>ITEM 1.</w:t>
              </w:r>
            </w:hyperlink>
          </w:p>
        </w:tc>
        <w:tc>
          <w:tcPr>
            <w:tcW w:w="595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01a725797c944a19267b6f140f14c09_679">
              <w:r>
                <w:rPr>
                  <w:rStyle w:val="InternetLink"/>
                  <w:rFonts w:ascii="Arial;sans-serif" w:hAnsi="Arial;sans-serif"/>
                  <w:b w:val="false"/>
                  <w:strike w:val="false"/>
                  <w:dstrike w:val="false"/>
                  <w:color w:val="131E29"/>
                  <w:sz w:val="20"/>
                  <w:u w:val="none"/>
                  <w:effect w:val="none"/>
                </w:rPr>
                <w:t>Legal Proceedings</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01a725797c944a19267b6f140f14c09_679">
              <w:r>
                <w:rPr>
                  <w:rStyle w:val="InternetLink"/>
                  <w:rFonts w:ascii="Arial;sans-serif" w:hAnsi="Arial;sans-serif"/>
                  <w:b w:val="false"/>
                  <w:strike w:val="false"/>
                  <w:dstrike w:val="false"/>
                  <w:color w:val="131E29"/>
                  <w:sz w:val="20"/>
                  <w:u w:val="none"/>
                  <w:effect w:val="none"/>
                </w:rPr>
                <w:t>46</w:t>
              </w:r>
            </w:hyperlink>
          </w:p>
        </w:tc>
      </w:tr>
      <w:tr>
        <w:trPr/>
        <w:tc>
          <w:tcPr>
            <w:tcW w:w="1327"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center"/>
              <w:rPr/>
            </w:pPr>
            <w:hyperlink w:anchor="i901a725797c944a19267b6f140f14c09_685">
              <w:r>
                <w:rPr>
                  <w:rStyle w:val="InternetLink"/>
                  <w:rFonts w:ascii="Arial;sans-serif" w:hAnsi="Arial;sans-serif"/>
                  <w:b w:val="false"/>
                  <w:strike w:val="false"/>
                  <w:dstrike w:val="false"/>
                  <w:color w:val="131E29"/>
                  <w:sz w:val="20"/>
                  <w:u w:val="none"/>
                  <w:effect w:val="none"/>
                </w:rPr>
                <w:t>ITEM 1A.</w:t>
              </w:r>
            </w:hyperlink>
          </w:p>
        </w:tc>
        <w:tc>
          <w:tcPr>
            <w:tcW w:w="5955"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left"/>
              <w:rPr/>
            </w:pPr>
            <w:hyperlink w:anchor="i901a725797c944a19267b6f140f14c09_685">
              <w:r>
                <w:rPr>
                  <w:rStyle w:val="InternetLink"/>
                  <w:rFonts w:ascii="Arial;sans-serif" w:hAnsi="Arial;sans-serif"/>
                  <w:b w:val="false"/>
                  <w:strike w:val="false"/>
                  <w:dstrike w:val="false"/>
                  <w:color w:val="131E29"/>
                  <w:sz w:val="20"/>
                  <w:u w:val="none"/>
                  <w:effect w:val="none"/>
                </w:rPr>
                <w:t>Risk Factors</w:t>
              </w:r>
            </w:hyperlink>
            <w:r>
              <w:rPr>
                <w:rFonts w:ascii="Arial;sans-serif" w:hAnsi="Arial;sans-serif"/>
                <w:b w:val="false"/>
                <w:color w:val="131E29"/>
                <w:sz w:val="20"/>
              </w:rPr>
              <w:t xml:space="preserve"> </w:t>
            </w:r>
          </w:p>
        </w:tc>
        <w:tc>
          <w:tcPr>
            <w:tcW w:w="616"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center"/>
              <w:rPr/>
            </w:pPr>
            <w:hyperlink w:anchor="i901a725797c944a19267b6f140f14c09_685">
              <w:r>
                <w:rPr>
                  <w:rStyle w:val="InternetLink"/>
                  <w:rFonts w:ascii="Arial;sans-serif" w:hAnsi="Arial;sans-serif"/>
                  <w:b w:val="false"/>
                  <w:strike w:val="false"/>
                  <w:dstrike w:val="false"/>
                  <w:color w:val="131E29"/>
                  <w:sz w:val="20"/>
                  <w:u w:val="none"/>
                  <w:effect w:val="none"/>
                </w:rPr>
                <w:t>46</w:t>
              </w:r>
            </w:hyperlink>
          </w:p>
        </w:tc>
      </w:tr>
      <w:tr>
        <w:trPr/>
        <w:tc>
          <w:tcPr>
            <w:tcW w:w="1327"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center"/>
              <w:rPr/>
            </w:pPr>
            <w:hyperlink w:anchor="i901a725797c944a19267b6f140f14c09_730">
              <w:r>
                <w:rPr>
                  <w:rStyle w:val="InternetLink"/>
                  <w:rFonts w:ascii="Arial;sans-serif" w:hAnsi="Arial;sans-serif"/>
                  <w:b w:val="false"/>
                  <w:strike w:val="false"/>
                  <w:dstrike w:val="false"/>
                  <w:color w:val="131E29"/>
                  <w:sz w:val="20"/>
                  <w:u w:val="none"/>
                  <w:effect w:val="none"/>
                </w:rPr>
                <w:t>ITEM 2.</w:t>
              </w:r>
            </w:hyperlink>
          </w:p>
        </w:tc>
        <w:tc>
          <w:tcPr>
            <w:tcW w:w="5955"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left"/>
              <w:rPr/>
            </w:pPr>
            <w:hyperlink w:anchor="i901a725797c944a19267b6f140f14c09_730">
              <w:r>
                <w:rPr>
                  <w:rStyle w:val="InternetLink"/>
                  <w:rFonts w:ascii="Arial;sans-serif" w:hAnsi="Arial;sans-serif"/>
                  <w:b w:val="false"/>
                  <w:strike w:val="false"/>
                  <w:dstrike w:val="false"/>
                  <w:color w:val="131E29"/>
                  <w:sz w:val="20"/>
                  <w:u w:val="none"/>
                  <w:effect w:val="none"/>
                </w:rPr>
                <w:t>Unregistered Sales of Equity Securities and Use of Proceeds</w:t>
              </w:r>
            </w:hyperlink>
          </w:p>
        </w:tc>
        <w:tc>
          <w:tcPr>
            <w:tcW w:w="616"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center"/>
              <w:rPr/>
            </w:pPr>
            <w:hyperlink w:anchor="i901a725797c944a19267b6f140f14c09_730">
              <w:r>
                <w:rPr>
                  <w:rStyle w:val="InternetLink"/>
                  <w:rFonts w:ascii="Arial;sans-serif" w:hAnsi="Arial;sans-serif"/>
                  <w:b w:val="false"/>
                  <w:strike w:val="false"/>
                  <w:dstrike w:val="false"/>
                  <w:color w:val="131E29"/>
                  <w:sz w:val="20"/>
                  <w:u w:val="none"/>
                  <w:effect w:val="none"/>
                </w:rPr>
                <w:t>49</w:t>
              </w:r>
            </w:hyperlink>
          </w:p>
        </w:tc>
      </w:tr>
      <w:tr>
        <w:trPr/>
        <w:tc>
          <w:tcPr>
            <w:tcW w:w="1327"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center"/>
              <w:rPr/>
            </w:pPr>
            <w:hyperlink w:anchor="i901a725797c944a19267b6f140f14c09_745">
              <w:r>
                <w:rPr>
                  <w:rStyle w:val="InternetLink"/>
                  <w:rFonts w:ascii="Arial;sans-serif" w:hAnsi="Arial;sans-serif"/>
                  <w:b w:val="false"/>
                  <w:strike w:val="false"/>
                  <w:dstrike w:val="false"/>
                  <w:color w:val="131E29"/>
                  <w:sz w:val="20"/>
                  <w:u w:val="none"/>
                  <w:effect w:val="none"/>
                </w:rPr>
                <w:t>ITEM 3.</w:t>
              </w:r>
            </w:hyperlink>
          </w:p>
        </w:tc>
        <w:tc>
          <w:tcPr>
            <w:tcW w:w="5955"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left"/>
              <w:rPr/>
            </w:pPr>
            <w:hyperlink w:anchor="i901a725797c944a19267b6f140f14c09_745">
              <w:r>
                <w:rPr>
                  <w:rStyle w:val="InternetLink"/>
                  <w:rFonts w:ascii="Arial;sans-serif" w:hAnsi="Arial;sans-serif"/>
                  <w:b w:val="false"/>
                  <w:strike w:val="false"/>
                  <w:dstrike w:val="false"/>
                  <w:color w:val="131E29"/>
                  <w:sz w:val="20"/>
                  <w:u w:val="none"/>
                  <w:effect w:val="none"/>
                </w:rPr>
                <w:t>Defaults Upon Senior Securities</w:t>
              </w:r>
            </w:hyperlink>
          </w:p>
        </w:tc>
        <w:tc>
          <w:tcPr>
            <w:tcW w:w="616"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center"/>
              <w:rPr/>
            </w:pPr>
            <w:hyperlink w:anchor="i901a725797c944a19267b6f140f14c09_745">
              <w:r>
                <w:rPr>
                  <w:rStyle w:val="InternetLink"/>
                  <w:rFonts w:ascii="Arial;sans-serif" w:hAnsi="Arial;sans-serif"/>
                  <w:b w:val="false"/>
                  <w:strike w:val="false"/>
                  <w:dstrike w:val="false"/>
                  <w:color w:val="131E29"/>
                  <w:sz w:val="20"/>
                  <w:u w:val="none"/>
                  <w:effect w:val="none"/>
                </w:rPr>
                <w:t>49</w:t>
              </w:r>
            </w:hyperlink>
          </w:p>
        </w:tc>
      </w:tr>
      <w:tr>
        <w:trPr/>
        <w:tc>
          <w:tcPr>
            <w:tcW w:w="1327"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center"/>
              <w:rPr/>
            </w:pPr>
            <w:hyperlink w:anchor="i901a725797c944a19267b6f140f14c09_748">
              <w:r>
                <w:rPr>
                  <w:rStyle w:val="InternetLink"/>
                  <w:rFonts w:ascii="Arial;sans-serif" w:hAnsi="Arial;sans-serif"/>
                  <w:b w:val="false"/>
                  <w:strike w:val="false"/>
                  <w:dstrike w:val="false"/>
                  <w:color w:val="131E29"/>
                  <w:sz w:val="20"/>
                  <w:u w:val="none"/>
                  <w:effect w:val="none"/>
                </w:rPr>
                <w:t>ITEM 4.</w:t>
              </w:r>
            </w:hyperlink>
          </w:p>
        </w:tc>
        <w:tc>
          <w:tcPr>
            <w:tcW w:w="5955"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left"/>
              <w:rPr/>
            </w:pPr>
            <w:hyperlink w:anchor="i901a725797c944a19267b6f140f14c09_748">
              <w:r>
                <w:rPr>
                  <w:rStyle w:val="InternetLink"/>
                  <w:rFonts w:ascii="Arial;sans-serif" w:hAnsi="Arial;sans-serif"/>
                  <w:b w:val="false"/>
                  <w:strike w:val="false"/>
                  <w:dstrike w:val="false"/>
                  <w:color w:val="131E29"/>
                  <w:sz w:val="20"/>
                  <w:u w:val="none"/>
                  <w:effect w:val="none"/>
                </w:rPr>
                <w:t>Mine Safety Disclosure</w:t>
              </w:r>
            </w:hyperlink>
          </w:p>
        </w:tc>
        <w:tc>
          <w:tcPr>
            <w:tcW w:w="616"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center"/>
              <w:rPr/>
            </w:pPr>
            <w:hyperlink w:anchor="i901a725797c944a19267b6f140f14c09_748">
              <w:r>
                <w:rPr>
                  <w:rStyle w:val="InternetLink"/>
                  <w:rFonts w:ascii="Arial;sans-serif" w:hAnsi="Arial;sans-serif"/>
                  <w:b w:val="false"/>
                  <w:strike w:val="false"/>
                  <w:dstrike w:val="false"/>
                  <w:color w:val="131E29"/>
                  <w:sz w:val="20"/>
                  <w:u w:val="none"/>
                  <w:effect w:val="none"/>
                </w:rPr>
                <w:t>49</w:t>
              </w:r>
            </w:hyperlink>
          </w:p>
        </w:tc>
      </w:tr>
      <w:tr>
        <w:trPr/>
        <w:tc>
          <w:tcPr>
            <w:tcW w:w="1327"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center"/>
              <w:rPr/>
            </w:pPr>
            <w:hyperlink w:anchor="i901a725797c944a19267b6f140f14c09_751">
              <w:r>
                <w:rPr>
                  <w:rStyle w:val="InternetLink"/>
                  <w:rFonts w:ascii="Arial;sans-serif" w:hAnsi="Arial;sans-serif"/>
                  <w:b w:val="false"/>
                  <w:strike w:val="false"/>
                  <w:dstrike w:val="false"/>
                  <w:color w:val="131E29"/>
                  <w:sz w:val="20"/>
                  <w:u w:val="none"/>
                  <w:effect w:val="none"/>
                </w:rPr>
                <w:t>ITEM 5.</w:t>
              </w:r>
            </w:hyperlink>
          </w:p>
        </w:tc>
        <w:tc>
          <w:tcPr>
            <w:tcW w:w="5955"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left"/>
              <w:rPr/>
            </w:pPr>
            <w:hyperlink w:anchor="i901a725797c944a19267b6f140f14c09_751">
              <w:r>
                <w:rPr>
                  <w:rStyle w:val="InternetLink"/>
                  <w:rFonts w:ascii="Arial;sans-serif" w:hAnsi="Arial;sans-serif"/>
                  <w:b w:val="false"/>
                  <w:strike w:val="false"/>
                  <w:dstrike w:val="false"/>
                  <w:color w:val="131E29"/>
                  <w:sz w:val="20"/>
                  <w:u w:val="none"/>
                  <w:effect w:val="none"/>
                </w:rPr>
                <w:t>Other Information</w:t>
              </w:r>
            </w:hyperlink>
          </w:p>
        </w:tc>
        <w:tc>
          <w:tcPr>
            <w:tcW w:w="616"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center"/>
              <w:rPr/>
            </w:pPr>
            <w:hyperlink w:anchor="i901a725797c944a19267b6f140f14c09_751">
              <w:r>
                <w:rPr>
                  <w:rStyle w:val="InternetLink"/>
                  <w:rFonts w:ascii="Arial;sans-serif" w:hAnsi="Arial;sans-serif"/>
                  <w:b w:val="false"/>
                  <w:strike w:val="false"/>
                  <w:dstrike w:val="false"/>
                  <w:color w:val="131E29"/>
                  <w:sz w:val="20"/>
                  <w:u w:val="none"/>
                  <w:effect w:val="none"/>
                </w:rPr>
                <w:t>50</w:t>
              </w:r>
            </w:hyperlink>
          </w:p>
        </w:tc>
      </w:tr>
      <w:tr>
        <w:trPr/>
        <w:tc>
          <w:tcPr>
            <w:tcW w:w="1327"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center"/>
              <w:rPr/>
            </w:pPr>
            <w:hyperlink w:anchor="i901a725797c944a19267b6f140f14c09_856">
              <w:r>
                <w:rPr>
                  <w:rStyle w:val="InternetLink"/>
                  <w:rFonts w:ascii="Arial;sans-serif" w:hAnsi="Arial;sans-serif"/>
                  <w:b w:val="false"/>
                  <w:strike w:val="false"/>
                  <w:dstrike w:val="false"/>
                  <w:color w:val="131E29"/>
                  <w:sz w:val="20"/>
                  <w:u w:val="none"/>
                  <w:effect w:val="none"/>
                </w:rPr>
                <w:t>ITEM 6.</w:t>
              </w:r>
            </w:hyperlink>
          </w:p>
        </w:tc>
        <w:tc>
          <w:tcPr>
            <w:tcW w:w="5955"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left"/>
              <w:rPr/>
            </w:pPr>
            <w:hyperlink w:anchor="i901a725797c944a19267b6f140f14c09_856">
              <w:r>
                <w:rPr>
                  <w:rStyle w:val="InternetLink"/>
                  <w:rFonts w:ascii="Arial;sans-serif" w:hAnsi="Arial;sans-serif"/>
                  <w:b w:val="false"/>
                  <w:strike w:val="false"/>
                  <w:dstrike w:val="false"/>
                  <w:color w:val="131E29"/>
                  <w:sz w:val="20"/>
                  <w:u w:val="none"/>
                  <w:effect w:val="none"/>
                </w:rPr>
                <w:t>Exhibits</w:t>
              </w:r>
            </w:hyperlink>
          </w:p>
        </w:tc>
        <w:tc>
          <w:tcPr>
            <w:tcW w:w="616"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center"/>
              <w:rPr/>
            </w:pPr>
            <w:hyperlink w:anchor="i901a725797c944a19267b6f140f14c09_856">
              <w:r>
                <w:rPr>
                  <w:rStyle w:val="InternetLink"/>
                  <w:rFonts w:ascii="Arial;sans-serif" w:hAnsi="Arial;sans-serif"/>
                  <w:b w:val="false"/>
                  <w:strike w:val="false"/>
                  <w:dstrike w:val="false"/>
                  <w:color w:val="131E29"/>
                  <w:sz w:val="20"/>
                  <w:u w:val="none"/>
                  <w:effect w:val="none"/>
                </w:rPr>
                <w:t>50</w:t>
              </w:r>
            </w:hyperlink>
          </w:p>
        </w:tc>
      </w:tr>
      <w:tr>
        <w:trPr/>
        <w:tc>
          <w:tcPr>
            <w:tcW w:w="1327" w:type="dxa"/>
            <w:gridSpan w:val="3"/>
            <w:tcBorders>
              <w:top w:val="single" w:sz="8" w:space="0" w:color="D2DC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5" w:type="dxa"/>
            <w:gridSpan w:val="3"/>
            <w:tcBorders>
              <w:top w:val="single" w:sz="8" w:space="0" w:color="D2DC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D2DC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2"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901a725797c944a19267b6f140f14c09_859">
              <w:r>
                <w:rPr>
                  <w:rStyle w:val="InternetLink"/>
                  <w:rFonts w:ascii="Arial;sans-serif" w:hAnsi="Arial;sans-serif"/>
                  <w:b/>
                  <w:strike w:val="false"/>
                  <w:dstrike w:val="false"/>
                  <w:color w:val="006098"/>
                  <w:sz w:val="20"/>
                  <w:u w:val="none"/>
                  <w:effect w:val="none"/>
                </w:rPr>
                <w:t>SIGNATURES</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01a725797c944a19267b6f140f14c09_859">
              <w:r>
                <w:rPr>
                  <w:rStyle w:val="InternetLink"/>
                  <w:rFonts w:ascii="Arial;sans-serif" w:hAnsi="Arial;sans-serif"/>
                  <w:b w:val="false"/>
                  <w:strike w:val="false"/>
                  <w:dstrike w:val="false"/>
                  <w:color w:val="131E29"/>
                  <w:sz w:val="20"/>
                  <w:u w:val="none"/>
                  <w:effect w:val="none"/>
                </w:rPr>
                <w:t>51</w:t>
              </w:r>
            </w:hyperlink>
          </w:p>
        </w:tc>
      </w:tr>
      <w:tr>
        <w:trPr/>
        <w:tc>
          <w:tcPr>
            <w:tcW w:w="1327" w:type="dxa"/>
            <w:gridSpan w:val="3"/>
            <w:tcBorders/>
            <w:shd w:fill="FDE02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5" w:type="dxa"/>
            <w:gridSpan w:val="3"/>
            <w:tcBorders/>
            <w:shd w:fill="FDE02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DE02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7" w:type="dxa"/>
            <w:gridSpan w:val="3"/>
            <w:tcBorders/>
            <w:shd w:fill="D7282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5" w:type="dxa"/>
            <w:gridSpan w:val="3"/>
            <w:tcBorders/>
            <w:shd w:fill="D7282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7282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7" w:type="dxa"/>
            <w:gridSpan w:val="3"/>
            <w:tcBorders/>
            <w:shd w:fill="00416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5" w:type="dxa"/>
            <w:gridSpan w:val="3"/>
            <w:tcBorders/>
            <w:shd w:fill="00416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00416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both"/>
                        <w:rPr/>
                      </w:pPr>
                      <w:r>
                        <w:rPr/>
                      </w:r>
                    </w:p>
                  </w:txbxContent>
                </v:textbox>
                <w10:wrap type="none"/>
              </v:rect>
            </w:pict>
          </mc:Fallback>
        </mc:AlternateContent>
      </w:r>
    </w:p>
    <w:p>
      <w:pPr>
        <w:pStyle w:val="TextBody"/>
        <w:bidi w:val="0"/>
        <w:spacing w:lineRule="auto" w:line="288" w:before="0" w:after="60"/>
        <w:jc w:val="center"/>
        <w:rPr>
          <w:rFonts w:ascii="Arial;sans-serif" w:hAnsi="Arial;sans-serif"/>
          <w:b/>
          <w:color w:val="00416B"/>
          <w:sz w:val="28"/>
        </w:rPr>
      </w:pPr>
      <w:r>
        <w:rPr>
          <w:rFonts w:ascii="Arial;sans-serif" w:hAnsi="Arial;sans-serif"/>
          <w:b/>
          <w:color w:val="00416B"/>
          <w:sz w:val="28"/>
        </w:rPr>
        <w:t xml:space="preserve">GLOSSARY </w:t>
      </w:r>
    </w:p>
    <w:p>
      <w:pPr>
        <w:pStyle w:val="TextBody"/>
        <w:bidi w:val="0"/>
        <w:spacing w:lineRule="auto" w:line="288" w:before="0" w:after="120"/>
        <w:jc w:val="both"/>
        <w:rPr>
          <w:rFonts w:ascii="Arial;sans-serif" w:hAnsi="Arial;sans-serif"/>
          <w:b w:val="false"/>
          <w:color w:val="131E29"/>
          <w:sz w:val="19"/>
        </w:rPr>
      </w:pPr>
      <w:r>
        <w:rPr>
          <w:rFonts w:ascii="Arial;sans-serif" w:hAnsi="Arial;sans-serif"/>
          <w:b w:val="false"/>
          <w:color w:val="131E29"/>
          <w:sz w:val="19"/>
        </w:rPr>
        <w:t xml:space="preserve">As used in this Quarterly Report on Form 10-Q (this Form 10-Q), the terms identified below have the meanings specified below unless otherwise noted or the context requires otherwise. References in this Form 10-Q to “Dutch Bros,” the “Company,” “we,” “us” and “our” refer to Dutch Bros Inc. and its consolidated subsidiaries unless the context indicates otherwise. </w:t>
      </w:r>
    </w:p>
    <w:tbl>
      <w:tblPr>
        <w:tblW w:w="10205" w:type="dxa"/>
        <w:jc w:val="left"/>
        <w:tblInd w:w="0" w:type="dxa"/>
        <w:tblLayout w:type="fixed"/>
        <w:tblCellMar>
          <w:top w:w="28" w:type="dxa"/>
          <w:left w:w="28" w:type="dxa"/>
          <w:bottom w:w="28" w:type="dxa"/>
          <w:right w:w="28" w:type="dxa"/>
        </w:tblCellMar>
      </w:tblPr>
      <w:tblGrid>
        <w:gridCol w:w="813"/>
        <w:gridCol w:w="446"/>
        <w:gridCol w:w="442"/>
        <w:gridCol w:w="109"/>
        <w:gridCol w:w="109"/>
        <w:gridCol w:w="109"/>
        <w:gridCol w:w="2555"/>
        <w:gridCol w:w="2310"/>
        <w:gridCol w:w="3312"/>
      </w:tblGrid>
      <w:tr>
        <w:trPr/>
        <w:tc>
          <w:tcPr>
            <w:tcW w:w="813"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5" w:type="dxa"/>
            <w:tcBorders/>
            <w:vAlign w:val="center"/>
          </w:tcPr>
          <w:p>
            <w:pPr>
              <w:pStyle w:val="TableContents"/>
              <w:bidi w:val="0"/>
              <w:spacing w:before="0" w:after="283"/>
              <w:jc w:val="left"/>
              <w:rPr>
                <w:sz w:val="4"/>
                <w:szCs w:val="4"/>
              </w:rPr>
            </w:pPr>
            <w:r>
              <w:rPr>
                <w:sz w:val="4"/>
                <w:szCs w:val="4"/>
              </w:rPr>
            </w:r>
          </w:p>
        </w:tc>
        <w:tc>
          <w:tcPr>
            <w:tcW w:w="2310" w:type="dxa"/>
            <w:tcBorders/>
            <w:vAlign w:val="center"/>
          </w:tcPr>
          <w:p>
            <w:pPr>
              <w:pStyle w:val="TableContents"/>
              <w:bidi w:val="0"/>
              <w:spacing w:before="0" w:after="283"/>
              <w:jc w:val="left"/>
              <w:rPr>
                <w:sz w:val="4"/>
                <w:szCs w:val="4"/>
              </w:rPr>
            </w:pPr>
            <w:r>
              <w:rPr>
                <w:sz w:val="4"/>
                <w:szCs w:val="4"/>
              </w:rPr>
            </w:r>
          </w:p>
        </w:tc>
        <w:tc>
          <w:tcPr>
            <w:tcW w:w="3312" w:type="dxa"/>
            <w:tcBorders/>
            <w:vAlign w:val="center"/>
          </w:tcPr>
          <w:p>
            <w:pPr>
              <w:pStyle w:val="TableContents"/>
              <w:bidi w:val="0"/>
              <w:spacing w:before="0" w:after="283"/>
              <w:jc w:val="left"/>
              <w:rPr>
                <w:sz w:val="4"/>
                <w:szCs w:val="4"/>
              </w:rPr>
            </w:pPr>
            <w:r>
              <w:rPr>
                <w:sz w:val="4"/>
                <w:szCs w:val="4"/>
              </w:rPr>
            </w:r>
          </w:p>
        </w:tc>
      </w:tr>
      <w:tr>
        <w:trPr/>
        <w:tc>
          <w:tcPr>
            <w:tcW w:w="1701" w:type="dxa"/>
            <w:gridSpan w:val="3"/>
            <w:tcBorders>
              <w:bottom w:val="single" w:sz="8" w:space="0" w:color="D7282F"/>
            </w:tcBorders>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006098"/>
                <w:sz w:val="20"/>
              </w:rPr>
            </w:pPr>
            <w:r>
              <w:rPr>
                <w:rFonts w:ascii="Arial;sans-serif" w:hAnsi="Arial;sans-serif"/>
                <w:b/>
                <w:color w:val="006098"/>
                <w:sz w:val="20"/>
              </w:rPr>
              <w:t>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bottom w:val="single" w:sz="8" w:space="0" w:color="D7282F"/>
            </w:tcBorders>
            <w:tcMar>
              <w:top w:w="0" w:type="dxa"/>
              <w:left w:w="0" w:type="dxa"/>
              <w:bottom w:w="30" w:type="dxa"/>
              <w:right w:w="0" w:type="dxa"/>
            </w:tcMar>
            <w:vAlign w:val="center"/>
          </w:tcPr>
          <w:p>
            <w:pPr>
              <w:pStyle w:val="TableContents"/>
              <w:bidi w:val="0"/>
              <w:spacing w:lineRule="auto" w:line="288" w:before="0" w:after="0"/>
              <w:jc w:val="both"/>
              <w:rPr>
                <w:rFonts w:ascii="Arial;sans-serif" w:hAnsi="Arial;sans-serif"/>
                <w:b/>
                <w:color w:val="006098"/>
                <w:sz w:val="20"/>
              </w:rPr>
            </w:pPr>
            <w:r>
              <w:rPr>
                <w:rFonts w:ascii="Arial;sans-serif" w:hAnsi="Arial;sans-serif"/>
                <w:b/>
                <w:color w:val="006098"/>
                <w:sz w:val="20"/>
              </w:rPr>
              <w:t>Definition</w:t>
            </w:r>
          </w:p>
        </w:tc>
      </w:tr>
      <w:tr>
        <w:trPr/>
        <w:tc>
          <w:tcPr>
            <w:tcW w:w="170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2022 Credit Facility</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18"/>
              </w:rPr>
            </w:pPr>
            <w:r>
              <w:rPr>
                <w:rFonts w:ascii="Arial;sans-serif" w:hAnsi="Arial;sans-serif"/>
                <w:b w:val="false"/>
                <w:color w:val="131E29"/>
                <w:sz w:val="18"/>
              </w:rPr>
              <w:t>Has the meaning set forth in NOTE 9 — Debt to the condensed consolidated financial statements, included elsewhere in this Form 10-Q</w:t>
            </w:r>
          </w:p>
        </w:tc>
      </w:tr>
      <w:tr>
        <w:trPr/>
        <w:tc>
          <w:tcPr>
            <w:tcW w:w="17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18"/>
              </w:rPr>
            </w:pPr>
            <w:r>
              <w:rPr>
                <w:rFonts w:ascii="Arial;sans-serif" w:hAnsi="Arial;sans-serif"/>
                <w:b/>
                <w:color w:val="131E29"/>
                <w:sz w:val="18"/>
              </w:rPr>
              <w:t>2025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18"/>
              </w:rPr>
            </w:pPr>
            <w:r>
              <w:rPr>
                <w:rFonts w:ascii="Arial;sans-serif" w:hAnsi="Arial;sans-serif"/>
                <w:b w:val="false"/>
                <w:color w:val="131E29"/>
                <w:sz w:val="18"/>
              </w:rPr>
              <w:t>Has the meaning set forth in NOTE 9 — Debt to the condensed consolidated financial statements, included elsewhere in this Form 10-Q</w:t>
            </w:r>
          </w:p>
        </w:tc>
      </w:tr>
      <w:tr>
        <w:trPr/>
        <w:tc>
          <w:tcPr>
            <w:tcW w:w="170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AOCI</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18"/>
              </w:rPr>
            </w:pPr>
            <w:r>
              <w:rPr>
                <w:rFonts w:ascii="Arial;sans-serif" w:hAnsi="Arial;sans-serif"/>
                <w:b w:val="false"/>
                <w:color w:val="131E29"/>
                <w:sz w:val="18"/>
              </w:rPr>
              <w:t>Accumulated Other Comprehensive Income</w:t>
            </w:r>
          </w:p>
        </w:tc>
      </w:tr>
      <w:tr>
        <w:trPr/>
        <w:tc>
          <w:tcPr>
            <w:tcW w:w="17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18"/>
              </w:rPr>
            </w:pPr>
            <w:r>
              <w:rPr>
                <w:rFonts w:ascii="Arial;sans-serif" w:hAnsi="Arial;sans-serif"/>
                <w:b/>
                <w:color w:val="131E29"/>
                <w:sz w:val="18"/>
              </w:rPr>
              <w:t>ASC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18"/>
              </w:rPr>
            </w:pPr>
            <w:r>
              <w:rPr>
                <w:rFonts w:ascii="Arial;sans-serif" w:hAnsi="Arial;sans-serif"/>
                <w:b w:val="false"/>
                <w:color w:val="131E29"/>
                <w:sz w:val="18"/>
              </w:rPr>
              <w:t>Accounting Standards Codification</w:t>
            </w:r>
          </w:p>
        </w:tc>
      </w:tr>
      <w:tr>
        <w:trPr/>
        <w:tc>
          <w:tcPr>
            <w:tcW w:w="170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ASU</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18"/>
              </w:rPr>
            </w:pPr>
            <w:r>
              <w:rPr>
                <w:rFonts w:ascii="Arial;sans-serif" w:hAnsi="Arial;sans-serif"/>
                <w:b w:val="false"/>
                <w:color w:val="131E29"/>
                <w:sz w:val="18"/>
              </w:rPr>
              <w:t>Accounting Standards Update</w:t>
            </w:r>
          </w:p>
        </w:tc>
      </w:tr>
      <w:tr>
        <w:trPr/>
        <w:tc>
          <w:tcPr>
            <w:tcW w:w="1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AUV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18"/>
              </w:rPr>
            </w:pPr>
            <w:r>
              <w:rPr>
                <w:rFonts w:ascii="Arial;sans-serif" w:hAnsi="Arial;sans-serif"/>
                <w:b w:val="false"/>
                <w:color w:val="131E29"/>
                <w:sz w:val="18"/>
              </w:rPr>
              <w:t>Average Unit Volume</w:t>
            </w:r>
          </w:p>
        </w:tc>
      </w:tr>
      <w:tr>
        <w:trPr/>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7" w:type="dxa"/>
            <w:gridSpan w:val="3"/>
            <w:tcBorders/>
            <w:vAlign w:val="center"/>
          </w:tcPr>
          <w:p>
            <w:pPr>
              <w:pStyle w:val="TableContents"/>
              <w:bidi w:val="0"/>
              <w:spacing w:before="0" w:after="283"/>
              <w:jc w:val="left"/>
              <w:rPr>
                <w:sz w:val="4"/>
                <w:szCs w:val="4"/>
              </w:rPr>
            </w:pPr>
            <w:r>
              <w:rPr>
                <w:sz w:val="4"/>
                <w:szCs w:val="4"/>
              </w:rPr>
            </w:r>
          </w:p>
        </w:tc>
      </w:tr>
      <w:tr>
        <w:trPr/>
        <w:tc>
          <w:tcPr>
            <w:tcW w:w="170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BPS or bps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18"/>
              </w:rPr>
            </w:pPr>
            <w:r>
              <w:rPr>
                <w:rFonts w:ascii="Arial;sans-serif" w:hAnsi="Arial;sans-serif"/>
                <w:b w:val="false"/>
                <w:color w:val="131E29"/>
                <w:sz w:val="18"/>
              </w:rPr>
              <w:t>Basis points, which is used to express differences in rates. One basis point is the equivalent of 1/100 of one percent</w:t>
            </w:r>
          </w:p>
        </w:tc>
      </w:tr>
      <w:tr>
        <w:trPr/>
        <w:tc>
          <w:tcPr>
            <w:tcW w:w="1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CEO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18"/>
              </w:rPr>
            </w:pPr>
            <w:r>
              <w:rPr>
                <w:rFonts w:ascii="Arial;sans-serif" w:hAnsi="Arial;sans-serif"/>
                <w:b w:val="false"/>
                <w:color w:val="131E29"/>
                <w:sz w:val="18"/>
              </w:rPr>
              <w:t>Chief Executive Officer</w:t>
            </w:r>
          </w:p>
        </w:tc>
      </w:tr>
      <w:tr>
        <w:trPr/>
        <w:tc>
          <w:tcPr>
            <w:tcW w:w="170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CODM</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18"/>
              </w:rPr>
            </w:pPr>
            <w:r>
              <w:rPr>
                <w:rFonts w:ascii="Arial;sans-serif" w:hAnsi="Arial;sans-serif"/>
                <w:b w:val="false"/>
                <w:color w:val="131E29"/>
                <w:sz w:val="18"/>
              </w:rPr>
              <w:t>Chief Operating Decision Maker</w:t>
            </w:r>
          </w:p>
        </w:tc>
      </w:tr>
      <w:tr>
        <w:trPr/>
        <w:tc>
          <w:tcPr>
            <w:tcW w:w="1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Co-Founder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18"/>
              </w:rPr>
            </w:pPr>
            <w:r>
              <w:rPr>
                <w:rFonts w:ascii="Arial;sans-serif" w:hAnsi="Arial;sans-serif"/>
                <w:b w:val="false"/>
                <w:color w:val="131E29"/>
                <w:sz w:val="18"/>
              </w:rPr>
              <w:t>Travis Boersma, our Executive Chairman and Co-Founder, and affiliated entities over which he maintains voting control</w:t>
            </w:r>
          </w:p>
        </w:tc>
      </w:tr>
      <w:tr>
        <w:trPr/>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7" w:type="dxa"/>
            <w:gridSpan w:val="3"/>
            <w:tcBorders/>
            <w:vAlign w:val="center"/>
          </w:tcPr>
          <w:p>
            <w:pPr>
              <w:pStyle w:val="TableContents"/>
              <w:bidi w:val="0"/>
              <w:spacing w:before="0" w:after="283"/>
              <w:jc w:val="left"/>
              <w:rPr>
                <w:sz w:val="4"/>
                <w:szCs w:val="4"/>
              </w:rPr>
            </w:pPr>
            <w:r>
              <w:rPr>
                <w:sz w:val="4"/>
                <w:szCs w:val="4"/>
              </w:rPr>
            </w:r>
          </w:p>
        </w:tc>
      </w:tr>
      <w:tr>
        <w:trPr/>
        <w:tc>
          <w:tcPr>
            <w:tcW w:w="170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Continuing Members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18"/>
              </w:rPr>
            </w:pPr>
            <w:r>
              <w:rPr>
                <w:rFonts w:ascii="Arial;sans-serif" w:hAnsi="Arial;sans-serif"/>
                <w:b w:val="false"/>
                <w:color w:val="131E29"/>
                <w:sz w:val="18"/>
              </w:rPr>
              <w:t>The Co-Founder and the Sponsor</w:t>
            </w:r>
          </w:p>
        </w:tc>
      </w:tr>
      <w:tr>
        <w:trPr/>
        <w:tc>
          <w:tcPr>
            <w:tcW w:w="1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Dutch Bros OpCo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18"/>
              </w:rPr>
            </w:pPr>
            <w:r>
              <w:rPr>
                <w:rFonts w:ascii="Arial;sans-serif" w:hAnsi="Arial;sans-serif"/>
                <w:b w:val="false"/>
                <w:color w:val="131E29"/>
                <w:sz w:val="18"/>
              </w:rPr>
              <w:t>Dutch Mafia, LLC, a Delaware limited liability company and direct subsidiary of Dutch Bros Inc.</w:t>
            </w:r>
          </w:p>
        </w:tc>
      </w:tr>
      <w:tr>
        <w:trPr/>
        <w:tc>
          <w:tcPr>
            <w:tcW w:w="170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Dutch Bros Inc.</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18"/>
              </w:rPr>
            </w:pPr>
            <w:r>
              <w:rPr>
                <w:rFonts w:ascii="Arial;sans-serif" w:hAnsi="Arial;sans-serif"/>
                <w:b w:val="false"/>
                <w:color w:val="131E29"/>
                <w:sz w:val="18"/>
              </w:rPr>
              <w:t>A Delaware corporation, the Class A common stock of which is publicly traded on the New York Stock Exchange under the symbol “BROS”</w:t>
            </w:r>
          </w:p>
        </w:tc>
      </w:tr>
      <w:tr>
        <w:trPr/>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7" w:type="dxa"/>
            <w:gridSpan w:val="3"/>
            <w:tcBorders/>
            <w:vAlign w:val="center"/>
          </w:tcPr>
          <w:p>
            <w:pPr>
              <w:pStyle w:val="TableContents"/>
              <w:bidi w:val="0"/>
              <w:spacing w:before="0" w:after="283"/>
              <w:jc w:val="left"/>
              <w:rPr>
                <w:sz w:val="4"/>
                <w:szCs w:val="4"/>
              </w:rPr>
            </w:pPr>
            <w:r>
              <w:rPr>
                <w:sz w:val="4"/>
                <w:szCs w:val="4"/>
              </w:rPr>
            </w:r>
          </w:p>
        </w:tc>
      </w:tr>
      <w:tr>
        <w:trPr/>
        <w:tc>
          <w:tcPr>
            <w:tcW w:w="17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18"/>
              </w:rPr>
            </w:pPr>
            <w:r>
              <w:rPr>
                <w:rFonts w:ascii="Arial;sans-serif" w:hAnsi="Arial;sans-serif"/>
                <w:b/>
                <w:color w:val="131E29"/>
                <w:sz w:val="18"/>
              </w:rPr>
              <w:t>EBITDAR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8"/>
              </w:rPr>
            </w:pPr>
            <w:r>
              <w:rPr>
                <w:rFonts w:ascii="Arial;sans-serif" w:hAnsi="Arial;sans-serif"/>
                <w:b w:val="false"/>
                <w:color w:val="131E29"/>
                <w:sz w:val="18"/>
              </w:rPr>
              <w:t>Earnings before interest, taxes, depreciation, amortization, and rent costs</w:t>
            </w:r>
          </w:p>
        </w:tc>
      </w:tr>
      <w:tr>
        <w:trPr/>
        <w:tc>
          <w:tcPr>
            <w:tcW w:w="170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FASB</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Financial Accounting Standards Board</w:t>
            </w:r>
          </w:p>
        </w:tc>
      </w:tr>
      <w:tr>
        <w:trPr/>
        <w:tc>
          <w:tcPr>
            <w:tcW w:w="1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U.S. Generally Accepted Accounting Principles</w:t>
            </w:r>
          </w:p>
        </w:tc>
      </w:tr>
      <w:tr>
        <w:trPr/>
        <w:tc>
          <w:tcPr>
            <w:tcW w:w="170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IPO</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18"/>
              </w:rPr>
            </w:pPr>
            <w:r>
              <w:rPr>
                <w:rFonts w:ascii="Arial;sans-serif" w:hAnsi="Arial;sans-serif"/>
                <w:b w:val="false"/>
                <w:color w:val="131E29"/>
                <w:sz w:val="18"/>
              </w:rPr>
              <w:t>Initial Public Offering</w:t>
            </w:r>
          </w:p>
        </w:tc>
      </w:tr>
      <w:tr>
        <w:trPr/>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7" w:type="dxa"/>
            <w:gridSpan w:val="3"/>
            <w:tcBorders/>
            <w:vAlign w:val="center"/>
          </w:tcPr>
          <w:p>
            <w:pPr>
              <w:pStyle w:val="TableContents"/>
              <w:bidi w:val="0"/>
              <w:spacing w:before="0" w:after="283"/>
              <w:jc w:val="left"/>
              <w:rPr>
                <w:sz w:val="4"/>
                <w:szCs w:val="4"/>
              </w:rPr>
            </w:pPr>
            <w:r>
              <w:rPr>
                <w:sz w:val="4"/>
                <w:szCs w:val="4"/>
              </w:rPr>
            </w:r>
          </w:p>
        </w:tc>
      </w:tr>
      <w:tr>
        <w:trPr/>
        <w:tc>
          <w:tcPr>
            <w:tcW w:w="1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18"/>
              </w:rPr>
            </w:pPr>
            <w:r>
              <w:rPr>
                <w:rFonts w:ascii="Arial;sans-serif" w:hAnsi="Arial;sans-serif"/>
                <w:b w:val="false"/>
                <w:color w:val="131E29"/>
                <w:sz w:val="18"/>
              </w:rPr>
              <w:t>Not applicable</w:t>
            </w:r>
          </w:p>
        </w:tc>
      </w:tr>
      <w:tr>
        <w:trPr/>
        <w:tc>
          <w:tcPr>
            <w:tcW w:w="170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N/M</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18"/>
              </w:rPr>
            </w:pPr>
            <w:r>
              <w:rPr>
                <w:rFonts w:ascii="Arial;sans-serif" w:hAnsi="Arial;sans-serif"/>
                <w:b w:val="false"/>
                <w:color w:val="131E29"/>
                <w:sz w:val="18"/>
              </w:rPr>
              <w:t>Not meaningful</w:t>
            </w:r>
          </w:p>
        </w:tc>
      </w:tr>
      <w:tr>
        <w:trPr/>
        <w:tc>
          <w:tcPr>
            <w:tcW w:w="1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OpCo LLC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18"/>
              </w:rPr>
            </w:pPr>
            <w:r>
              <w:rPr>
                <w:rFonts w:ascii="Arial;sans-serif" w:hAnsi="Arial;sans-serif"/>
                <w:b w:val="false"/>
                <w:color w:val="131E29"/>
                <w:sz w:val="18"/>
              </w:rPr>
              <w:t>The Fifth Amended and Restated Limited Liability Company Agreement of Dutch Bros OpCo</w:t>
            </w:r>
          </w:p>
        </w:tc>
      </w:tr>
      <w:tr>
        <w:trPr/>
        <w:tc>
          <w:tcPr>
            <w:tcW w:w="170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OpCo Units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18"/>
              </w:rPr>
            </w:pPr>
            <w:r>
              <w:rPr>
                <w:rFonts w:ascii="Arial;sans-serif" w:hAnsi="Arial;sans-serif"/>
                <w:b w:val="false"/>
                <w:color w:val="131E29"/>
                <w:sz w:val="18"/>
              </w:rPr>
              <w:t>Class A common units, Class B voting units and Class C voting units of Dutch Bros OpCo, each as further defined in the OpCo LLC Agreement, collectively</w:t>
            </w:r>
          </w:p>
        </w:tc>
      </w:tr>
      <w:tr>
        <w:trPr/>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7" w:type="dxa"/>
            <w:gridSpan w:val="3"/>
            <w:tcBorders/>
            <w:vAlign w:val="center"/>
          </w:tcPr>
          <w:p>
            <w:pPr>
              <w:pStyle w:val="TableContents"/>
              <w:bidi w:val="0"/>
              <w:spacing w:before="0" w:after="283"/>
              <w:jc w:val="left"/>
              <w:rPr>
                <w:sz w:val="4"/>
                <w:szCs w:val="4"/>
              </w:rPr>
            </w:pPr>
            <w:r>
              <w:rPr>
                <w:sz w:val="4"/>
                <w:szCs w:val="4"/>
              </w:rPr>
            </w:r>
          </w:p>
        </w:tc>
      </w:tr>
      <w:tr>
        <w:trPr/>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7" w:type="dxa"/>
            <w:gridSpan w:val="3"/>
            <w:tcBorders/>
            <w:vAlign w:val="center"/>
          </w:tcPr>
          <w:p>
            <w:pPr>
              <w:pStyle w:val="TableContents"/>
              <w:bidi w:val="0"/>
              <w:spacing w:before="0" w:after="283"/>
              <w:jc w:val="left"/>
              <w:rPr>
                <w:sz w:val="4"/>
                <w:szCs w:val="4"/>
              </w:rPr>
            </w:pPr>
            <w:r>
              <w:rPr>
                <w:sz w:val="4"/>
                <w:szCs w:val="4"/>
              </w:rPr>
            </w:r>
          </w:p>
        </w:tc>
      </w:tr>
      <w:tr>
        <w:trPr/>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7" w:type="dxa"/>
            <w:gridSpan w:val="3"/>
            <w:tcBorders/>
            <w:vAlign w:val="center"/>
          </w:tcPr>
          <w:p>
            <w:pPr>
              <w:pStyle w:val="TableContents"/>
              <w:bidi w:val="0"/>
              <w:spacing w:before="0" w:after="283"/>
              <w:jc w:val="left"/>
              <w:rPr>
                <w:sz w:val="4"/>
                <w:szCs w:val="4"/>
              </w:rPr>
            </w:pPr>
            <w:r>
              <w:rPr>
                <w:sz w:val="4"/>
                <w:szCs w:val="4"/>
              </w:rPr>
            </w:r>
          </w:p>
        </w:tc>
      </w:tr>
      <w:tr>
        <w:trPr/>
        <w:tc>
          <w:tcPr>
            <w:tcW w:w="1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PSU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18"/>
              </w:rPr>
            </w:pPr>
            <w:r>
              <w:rPr>
                <w:rFonts w:ascii="Arial;sans-serif" w:hAnsi="Arial;sans-serif"/>
                <w:b w:val="false"/>
                <w:color w:val="131E29"/>
                <w:sz w:val="18"/>
              </w:rPr>
              <w:t>Performance Restricted Stock Units</w:t>
            </w:r>
          </w:p>
        </w:tc>
      </w:tr>
      <w:tr>
        <w:trPr/>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7" w:type="dxa"/>
            <w:gridSpan w:val="3"/>
            <w:tcBorders/>
            <w:vAlign w:val="center"/>
          </w:tcPr>
          <w:p>
            <w:pPr>
              <w:pStyle w:val="TableContents"/>
              <w:bidi w:val="0"/>
              <w:spacing w:before="0" w:after="283"/>
              <w:jc w:val="left"/>
              <w:rPr>
                <w:sz w:val="4"/>
                <w:szCs w:val="4"/>
              </w:rPr>
            </w:pPr>
            <w:r>
              <w:rPr>
                <w:sz w:val="4"/>
                <w:szCs w:val="4"/>
              </w:rPr>
            </w:r>
          </w:p>
        </w:tc>
      </w:tr>
      <w:tr>
        <w:trPr/>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7" w:type="dxa"/>
            <w:gridSpan w:val="3"/>
            <w:tcBorders/>
            <w:vAlign w:val="center"/>
          </w:tcPr>
          <w:p>
            <w:pPr>
              <w:pStyle w:val="TableContents"/>
              <w:bidi w:val="0"/>
              <w:spacing w:before="0" w:after="283"/>
              <w:jc w:val="left"/>
              <w:rPr>
                <w:sz w:val="4"/>
                <w:szCs w:val="4"/>
              </w:rPr>
            </w:pPr>
            <w:r>
              <w:rPr>
                <w:sz w:val="4"/>
                <w:szCs w:val="4"/>
              </w:rPr>
            </w:r>
          </w:p>
        </w:tc>
      </w:tr>
      <w:tr>
        <w:trPr/>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7" w:type="dxa"/>
            <w:gridSpan w:val="3"/>
            <w:tcBorders/>
            <w:vAlign w:val="center"/>
          </w:tcPr>
          <w:p>
            <w:pPr>
              <w:pStyle w:val="TableContents"/>
              <w:bidi w:val="0"/>
              <w:spacing w:before="0" w:after="283"/>
              <w:jc w:val="left"/>
              <w:rPr>
                <w:sz w:val="4"/>
                <w:szCs w:val="4"/>
              </w:rPr>
            </w:pPr>
            <w:r>
              <w:rPr>
                <w:sz w:val="4"/>
                <w:szCs w:val="4"/>
              </w:rPr>
            </w:r>
          </w:p>
        </w:tc>
      </w:tr>
      <w:tr>
        <w:trPr/>
        <w:tc>
          <w:tcPr>
            <w:tcW w:w="170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RSU</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18"/>
              </w:rPr>
            </w:pPr>
            <w:r>
              <w:rPr>
                <w:rFonts w:ascii="Arial;sans-serif" w:hAnsi="Arial;sans-serif"/>
                <w:b w:val="false"/>
                <w:color w:val="131E29"/>
                <w:sz w:val="18"/>
              </w:rPr>
              <w:t>Restricted Stock Units</w:t>
            </w:r>
          </w:p>
        </w:tc>
      </w:tr>
      <w:tr>
        <w:trPr/>
        <w:tc>
          <w:tcPr>
            <w:tcW w:w="1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color w:val="131E29"/>
                <w:sz w:val="18"/>
              </w:rPr>
            </w:pPr>
            <w:r>
              <w:rPr>
                <w:rFonts w:ascii="Arial;sans-serif" w:hAnsi="Arial;sans-serif"/>
                <w:b/>
                <w:color w:val="131E29"/>
                <w:sz w:val="18"/>
              </w:rPr>
              <w:t>Same Shop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both"/>
              <w:rPr>
                <w:rFonts w:ascii="Arial;sans-serif" w:hAnsi="Arial;sans-serif"/>
                <w:b w:val="false"/>
                <w:color w:val="131E29"/>
                <w:sz w:val="18"/>
              </w:rPr>
            </w:pPr>
            <w:r>
              <w:rPr>
                <w:rFonts w:ascii="Arial;sans-serif" w:hAnsi="Arial;sans-serif"/>
                <w:b w:val="false"/>
                <w:color w:val="131E29"/>
                <w:sz w:val="18"/>
              </w:rPr>
              <w:t>The estimated percentage change in year-over-year sales, for the comparable shop base, which we define as shops open for 15 complete months or longer as of the first day of the reporting period</w:t>
            </w:r>
          </w:p>
        </w:tc>
      </w:tr>
      <w:tr>
        <w:trPr/>
        <w:tc>
          <w:tcPr>
            <w:tcW w:w="170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SEC</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18"/>
              </w:rPr>
            </w:pPr>
            <w:r>
              <w:rPr>
                <w:rFonts w:ascii="Arial;sans-serif" w:hAnsi="Arial;sans-serif"/>
                <w:b w:val="false"/>
                <w:color w:val="131E29"/>
                <w:sz w:val="18"/>
              </w:rPr>
              <w:t>Securities and Exchange Commission</w:t>
            </w:r>
          </w:p>
        </w:tc>
      </w:tr>
      <w:tr>
        <w:trPr/>
        <w:tc>
          <w:tcPr>
            <w:tcW w:w="1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SOFR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18"/>
              </w:rPr>
            </w:pPr>
            <w:r>
              <w:rPr>
                <w:rFonts w:ascii="Arial;sans-serif" w:hAnsi="Arial;sans-serif"/>
                <w:b w:val="false"/>
                <w:color w:val="131E29"/>
                <w:sz w:val="18"/>
              </w:rPr>
              <w:t>Secured Overnight Financing Rate</w:t>
            </w:r>
          </w:p>
        </w:tc>
      </w:tr>
      <w:tr>
        <w:trPr/>
        <w:tc>
          <w:tcPr>
            <w:tcW w:w="170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Sponsor</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18"/>
              </w:rPr>
            </w:pPr>
            <w:r>
              <w:rPr>
                <w:rFonts w:ascii="Arial;sans-serif" w:hAnsi="Arial;sans-serif"/>
                <w:b w:val="false"/>
                <w:color w:val="131E29"/>
                <w:sz w:val="18"/>
              </w:rPr>
              <w:t>TSG Consumer Partners, L.P. and certain of its affiliates</w:t>
            </w:r>
          </w:p>
        </w:tc>
      </w:tr>
      <w:tr>
        <w:trPr/>
        <w:tc>
          <w:tcPr>
            <w:tcW w:w="17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18"/>
              </w:rPr>
            </w:pPr>
            <w:r>
              <w:rPr>
                <w:rFonts w:ascii="Arial;sans-serif" w:hAnsi="Arial;sans-serif"/>
                <w:b/>
                <w:color w:val="131E29"/>
                <w:sz w:val="18"/>
              </w:rPr>
              <w:t>Tax Receivable Agreements (TRAs)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8"/>
              </w:rPr>
            </w:pPr>
            <w:r>
              <w:rPr>
                <w:rFonts w:ascii="Arial;sans-serif" w:hAnsi="Arial;sans-serif"/>
                <w:b w:val="false"/>
                <w:color w:val="131E29"/>
                <w:sz w:val="18"/>
              </w:rPr>
              <w:t>The Tax Receivable Agreement (Exchanges) that Dutch Bros Inc. entered into with the Continuing Members and the Tax Receivable Agreement (Reorganization) that Dutch Bros Inc. entered into with TSG7 A AIV VI Holdings-A, L.P. and DG Coinvestor Blocker Aggregator, L.P. or their assignees or successors, in connection with the IPO</w:t>
            </w:r>
          </w:p>
        </w:tc>
      </w:tr>
      <w:tr>
        <w:trPr/>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7" w:type="dxa"/>
            <w:gridSpan w:val="3"/>
            <w:tcBorders/>
            <w:vAlign w:val="center"/>
          </w:tcPr>
          <w:p>
            <w:pPr>
              <w:pStyle w:val="TableContents"/>
              <w:bidi w:val="0"/>
              <w:spacing w:before="0" w:after="283"/>
              <w:jc w:val="left"/>
              <w:rPr>
                <w:sz w:val="4"/>
                <w:szCs w:val="4"/>
              </w:rPr>
            </w:pPr>
            <w:r>
              <w:rPr>
                <w:sz w:val="4"/>
                <w:szCs w:val="4"/>
              </w:rPr>
            </w:r>
          </w:p>
        </w:tc>
      </w:tr>
      <w:tr>
        <w:trPr/>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7" w:type="dxa"/>
            <w:gridSpan w:val="3"/>
            <w:tcBorders/>
            <w:vAlign w:val="center"/>
          </w:tcPr>
          <w:p>
            <w:pPr>
              <w:pStyle w:val="TableContents"/>
              <w:bidi w:val="0"/>
              <w:spacing w:before="0" w:after="283"/>
              <w:jc w:val="left"/>
              <w:rPr>
                <w:sz w:val="4"/>
                <w:szCs w:val="4"/>
              </w:rPr>
            </w:pPr>
            <w:r>
              <w:rPr>
                <w:sz w:val="4"/>
                <w:szCs w:val="4"/>
              </w:rPr>
            </w:r>
          </w:p>
        </w:tc>
      </w:tr>
      <w:tr>
        <w:trPr/>
        <w:tc>
          <w:tcPr>
            <w:tcW w:w="17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Arial;sans-serif" w:hAnsi="Arial;sans-serif"/>
          <w:b w:val="false"/>
          <w:i/>
          <w:color w:val="131E29"/>
          <w:sz w:val="16"/>
        </w:rPr>
        <w:t>Dutch Bros</w:t>
      </w:r>
      <w:r>
        <w:rPr>
          <w:rFonts w:ascii="Arial;sans-serif" w:hAnsi="Arial;sans-serif"/>
          <w:b w:val="false"/>
          <w:color w:val="131E29"/>
          <w:sz w:val="16"/>
        </w:rPr>
        <w:t>, our Windmill logo (</w:t>
      </w:r>
      <w:r>
        <w:rPr/>
        <w:drawing>
          <wp:inline distT="0" distB="0" distL="0" distR="0">
            <wp:extent cx="123825" cy="18097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123825" cy="180975"/>
                    </a:xfrm>
                    <a:prstGeom prst="rect">
                      <a:avLst/>
                    </a:prstGeom>
                  </pic:spPr>
                </pic:pic>
              </a:graphicData>
            </a:graphic>
          </wp:inline>
        </w:drawing>
      </w:r>
      <w:bookmarkStart w:id="1" w:name="i-2"/>
      <w:bookmarkEnd w:id="1"/>
      <w:r>
        <w:rPr>
          <w:rFonts w:ascii="Arial;sans-serif" w:hAnsi="Arial;sans-serif"/>
          <w:b w:val="false"/>
          <w:color w:val="131E29"/>
          <w:sz w:val="16"/>
        </w:rPr>
        <w:t xml:space="preserve">), </w:t>
      </w:r>
      <w:r>
        <w:rPr>
          <w:rFonts w:ascii="Arial;sans-serif" w:hAnsi="Arial;sans-serif"/>
          <w:b w:val="false"/>
          <w:i/>
          <w:color w:val="131E29"/>
          <w:sz w:val="16"/>
        </w:rPr>
        <w:t>Dutch Bros Rebel</w:t>
      </w:r>
      <w:r>
        <w:rPr>
          <w:rFonts w:ascii="Arial;sans-serif" w:hAnsi="Arial;sans-serif"/>
          <w:b w:val="false"/>
          <w:color w:val="131E29"/>
          <w:sz w:val="16"/>
        </w:rPr>
        <w:t>, and our other registered and common law trade names, trademarks and service marks are the property of Dutch Bros Inc. All other trademarks, trade names, and service marks appearing in this Form 10-Q are the property of their respective owners. Solely for convenience, the trademarks and trade names in this Form 10-Q may be referred to without the ® and ™ symbols, but such references should not be construed as any indicator that their respective owners will not assert their rights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363220"/>
                <wp:effectExtent l="0" t="0" r="0" b="0"/>
                <wp:wrapNone/>
                <wp:docPr id="5" name="Frame3"/>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90500" cy="266700"/>
                                          </a:xfrm>
                                          <a:prstGeom prst="rect">
                                            <a:avLst/>
                                          </a:prstGeom>
                                        </pic:spPr>
                                      </pic:pic>
                                    </a:graphicData>
                                  </a:graphic>
                                </wp:inline>
                              </w:drawing>
                            </w:r>
                            <w:bookmarkStart w:id="2" w:name="i-3"/>
                            <w:bookmarkEnd w:id="2"/>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5"/>
                                    <a:stretch>
                                      <a:fillRect/>
                                    </a:stretch>
                                  </pic:blipFill>
                                  <pic:spPr bwMode="auto">
                                    <a:xfrm>
                                      <a:off x="0" y="0"/>
                                      <a:ext cx="190500" cy="266700"/>
                                    </a:xfrm>
                                    <a:prstGeom prst="rect">
                                      <a:avLst/>
                                    </a:prstGeom>
                                  </pic:spPr>
                                </pic:pic>
                              </a:graphicData>
                            </a:graphic>
                          </wp:inline>
                        </w:drawing>
                      </w:r>
                      <w:bookmarkStart w:id="3" w:name="i-3"/>
                      <w:bookmarkEnd w:id="3"/>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w:t>
                      </w:r>
                    </w:p>
                  </w:txbxContent>
                </v:textbox>
                <w10:wrap type="none"/>
              </v:rect>
            </w:pict>
          </mc:Fallback>
        </mc:AlternateContent>
      </w:r>
    </w:p>
    <w:p>
      <w:pPr>
        <w:pStyle w:val="TextBody"/>
        <w:bidi w:val="0"/>
        <w:spacing w:lineRule="auto" w:line="288" w:before="0" w:after="180"/>
        <w:jc w:val="left"/>
        <w:rPr/>
      </w:pPr>
      <w:hyperlink w:anchor="i901a725797c944a19267b6f140f14c09_16">
        <w:r>
          <w:rPr>
            <w:rStyle w:val="InternetLink"/>
            <w:rFonts w:ascii="Arial;sans-serif" w:hAnsi="Arial;sans-serif"/>
            <w:b w:val="false"/>
            <w:color w:val="006098"/>
            <w:sz w:val="16"/>
            <w:u w:val="single"/>
          </w:rPr>
          <w:t>Table of Contents</w:t>
        </w:r>
      </w:hyperlink>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Forward-Looking Statements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Certain statements in this Form 10-Q, including those in the section titled “Management’s Discussion and Analysis,” that are not historical facts, including those regarding the impact of inflation, increased minimum wages, interest rate risk, and general macroeconomic conditions, including the conflicts in the Middle East, on our results of operations, supply chain, or liquidity, the potential impact of actions we have taken to mitigate the impact of unforeseen circumstances, taxes and tax rates, our expectations regarding the number of new shops we may open, anticipated future revenues and earnings, consumer demand, and our expectations to generate positive cash flow in the foreseeable future are forward-looking statements as defined in the Private Securities Litigation Reform Act of 1995. We use words such as “anticipate,” “believe,” “could,” “estimate,” “expect,” “intend,” “may,” “predict,” “project,” “should,” “target,” and similar terms and phrases, including references to assumptions, to identify forward-looking statements. In addition, statements that “we believe” and similar statements reflect our beliefs and opinions on the relevant subject. While we believe that this information provides a reasonable basis for these statements, that information may be limited or incomplete, and our statements should not be read to indicate that we have conducted an exhaustive inquiry into, or review of, all relevant information. These forward-looking statements are based on information available to us as of the date of this Form 10-Q, and we assume no obligation to update these forward-looking statements. These statements are subject to risks and uncertainties that could cause actual results to differ materially from those described in the statements. You should not place undue reliance on forward-looking statements, which speak only as of the date of this Form 10-Q.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You should read the following unaudited condensed consolidated financial statements and the related notes in this Form 10-Q together with our analysis and discussion of our financial condition and results of operations and other financial information included elsewhere in this Form 10-Q. You should also read our Annual Report on Form 10-K for the year ended December 31, 2025, filed with the SEC on February 13, 2026 (2025 Form 10-K).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While we believe that our assumptions are reasonable, we caution that it is very difficult to predict the impact of known factors, and it is impossible for us to anticipate all factors that could affect actual results. You should evaluate all forward-looking statements made in this report in the context of the factors that could cause outcomes to differ materially from expectations. These factors include, but are not limited to, those listed under the “Risk Factors” section of this Form 10-Q, and in our 2025 Form 10-K, as such risk factors may be amended, supplemented or superseded from time to time by other reports we file with the SEC. </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Website Disclosure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use our website as a distribution channel of material company information. Financial and other important information regarding our company is routinely posted on and accessible through our website at https://investors.dutchbros.com. In addition, you may automatically receive email alerts and other information about our company when you subscribe your email address by visiting the “Investor Email Alerts” section of our investor relations page at https://investors.dutchbros.com/resources. The information on our website is not incorporated herein or otherwise a part of this Form 10-Q.</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363220"/>
                <wp:effectExtent l="0" t="0" r="0" b="0"/>
                <wp:wrapNone/>
                <wp:docPr id="8" name="Frame4"/>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6"/>
                                          <a:stretch>
                                            <a:fillRect/>
                                          </a:stretch>
                                        </pic:blipFill>
                                        <pic:spPr bwMode="auto">
                                          <a:xfrm>
                                            <a:off x="0" y="0"/>
                                            <a:ext cx="190500" cy="266700"/>
                                          </a:xfrm>
                                          <a:prstGeom prst="rect">
                                            <a:avLst/>
                                          </a:prstGeom>
                                        </pic:spPr>
                                      </pic:pic>
                                    </a:graphicData>
                                  </a:graphic>
                                </wp:inline>
                              </w:drawing>
                            </w:r>
                            <w:bookmarkStart w:id="4" w:name="i-4"/>
                            <w:bookmarkEnd w:id="4"/>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7"/>
                                    <a:stretch>
                                      <a:fillRect/>
                                    </a:stretch>
                                  </pic:blipFill>
                                  <pic:spPr bwMode="auto">
                                    <a:xfrm>
                                      <a:off x="0" y="0"/>
                                      <a:ext cx="190500" cy="266700"/>
                                    </a:xfrm>
                                    <a:prstGeom prst="rect">
                                      <a:avLst/>
                                    </a:prstGeom>
                                  </pic:spPr>
                                </pic:pic>
                              </a:graphicData>
                            </a:graphic>
                          </wp:inline>
                        </w:drawing>
                      </w:r>
                      <w:bookmarkStart w:id="5" w:name="i-4"/>
                      <w:bookmarkEnd w:id="5"/>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w:t>
                      </w:r>
                    </w:p>
                  </w:txbxContent>
                </v:textbox>
                <w10:wrap type="none"/>
              </v:rect>
            </w:pict>
          </mc:Fallback>
        </mc:AlternateContent>
      </w:r>
    </w:p>
    <w:p>
      <w:pPr>
        <w:pStyle w:val="TextBody"/>
        <w:bidi w:val="0"/>
        <w:spacing w:before="0" w:after="0"/>
        <w:ind w:left="0" w:right="0" w:firstLine="360"/>
        <w:jc w:val="left"/>
        <w:rPr/>
      </w:pPr>
      <w:r>
        <w:rPr/>
      </w:r>
    </w:p>
    <w:p>
      <w:pPr>
        <w:pStyle w:val="TextBody"/>
        <w:bidi w:val="0"/>
        <w:spacing w:lineRule="auto" w:line="288" w:before="0" w:after="180"/>
        <w:jc w:val="left"/>
        <w:rPr/>
      </w:pPr>
      <w:hyperlink w:anchor="i901a725797c944a19267b6f140f14c09_16">
        <w:r>
          <w:rPr>
            <w:rStyle w:val="InternetLink"/>
            <w:rFonts w:ascii="Arial;sans-serif" w:hAnsi="Arial;sans-serif"/>
            <w:b w:val="false"/>
            <w:color w:val="006098"/>
            <w:sz w:val="16"/>
            <w:u w:val="single"/>
          </w:rPr>
          <w:t>Table of Contents</w:t>
        </w:r>
      </w:hyperlink>
    </w:p>
    <w:p>
      <w:pPr>
        <w:pStyle w:val="TextBody"/>
        <w:bidi w:val="0"/>
        <w:spacing w:lineRule="auto" w:line="288" w:before="0" w:after="60"/>
        <w:jc w:val="center"/>
        <w:rPr>
          <w:rFonts w:ascii="Arial;sans-serif" w:hAnsi="Arial;sans-serif"/>
          <w:b/>
          <w:color w:val="006098"/>
          <w:sz w:val="32"/>
        </w:rPr>
      </w:pPr>
      <w:r>
        <w:rPr>
          <w:rFonts w:ascii="Arial;sans-serif" w:hAnsi="Arial;sans-serif"/>
          <w:b/>
          <w:color w:val="006098"/>
          <w:sz w:val="32"/>
        </w:rPr>
        <w:t>PART I. FINANCIAL INFORMATION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DE02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shd w:fill="D7282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shd w:fill="00416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D7282F"/>
          <w:sz w:val="28"/>
        </w:rPr>
      </w:pPr>
      <w:r>
        <w:rPr>
          <w:rFonts w:ascii="Arial;sans-serif" w:hAnsi="Arial;sans-serif"/>
          <w:b/>
          <w:color w:val="D7282F"/>
          <w:sz w:val="28"/>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center"/>
        <w:rPr>
          <w:rFonts w:ascii="Arial;sans-serif" w:hAnsi="Arial;sans-serif"/>
          <w:b/>
          <w:color w:val="00416B"/>
          <w:sz w:val="28"/>
        </w:rPr>
      </w:pPr>
      <w:r>
        <w:rPr>
          <w:rFonts w:ascii="Arial;sans-serif" w:hAnsi="Arial;sans-serif"/>
          <w:b/>
          <w:color w:val="00416B"/>
          <w:sz w:val="28"/>
        </w:rPr>
        <w:t>DUTCH BROS INC.</w:t>
      </w:r>
    </w:p>
    <w:p>
      <w:pPr>
        <w:pStyle w:val="TextBody"/>
        <w:bidi w:val="0"/>
        <w:spacing w:lineRule="auto" w:line="288" w:before="0" w:after="60"/>
        <w:jc w:val="center"/>
        <w:rPr>
          <w:rFonts w:ascii="Arial;sans-serif" w:hAnsi="Arial;sans-serif"/>
          <w:b w:val="false"/>
          <w:color w:val="131E29"/>
          <w:sz w:val="20"/>
        </w:rPr>
      </w:pPr>
      <w:r>
        <w:rPr>
          <w:rFonts w:ascii="Arial;sans-serif" w:hAnsi="Arial;sans-serif"/>
          <w:b w:val="false"/>
          <w:color w:val="131E29"/>
          <w:sz w:val="20"/>
        </w:rPr>
        <w:t>Condensed Consolidated Statements of Operations</w:t>
      </w:r>
    </w:p>
    <w:tbl>
      <w:tblPr>
        <w:tblW w:w="10205" w:type="dxa"/>
        <w:jc w:val="center"/>
        <w:tblInd w:w="0" w:type="dxa"/>
        <w:tblLayout w:type="fixed"/>
        <w:tblCellMar>
          <w:top w:w="28" w:type="dxa"/>
          <w:left w:w="28" w:type="dxa"/>
          <w:bottom w:w="28" w:type="dxa"/>
          <w:right w:w="28" w:type="dxa"/>
        </w:tblCellMar>
      </w:tblPr>
      <w:tblGrid>
        <w:gridCol w:w="1616"/>
        <w:gridCol w:w="1050"/>
        <w:gridCol w:w="1057"/>
        <w:gridCol w:w="109"/>
        <w:gridCol w:w="109"/>
        <w:gridCol w:w="109"/>
        <w:gridCol w:w="218"/>
        <w:gridCol w:w="887"/>
        <w:gridCol w:w="112"/>
        <w:gridCol w:w="112"/>
        <w:gridCol w:w="112"/>
        <w:gridCol w:w="112"/>
        <w:gridCol w:w="218"/>
        <w:gridCol w:w="887"/>
        <w:gridCol w:w="112"/>
        <w:gridCol w:w="109"/>
        <w:gridCol w:w="109"/>
        <w:gridCol w:w="109"/>
        <w:gridCol w:w="211"/>
        <w:gridCol w:w="856"/>
        <w:gridCol w:w="109"/>
        <w:gridCol w:w="109"/>
        <w:gridCol w:w="109"/>
        <w:gridCol w:w="109"/>
        <w:gridCol w:w="211"/>
        <w:gridCol w:w="856"/>
        <w:gridCol w:w="109"/>
        <w:gridCol w:w="109"/>
        <w:gridCol w:w="109"/>
        <w:gridCol w:w="161"/>
      </w:tblGrid>
      <w:tr>
        <w:trPr/>
        <w:tc>
          <w:tcPr>
            <w:tcW w:w="1616"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37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except per share amounts;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336"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23"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Revenues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 shops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510,031 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31E29"/>
                <w:sz w:val="20"/>
              </w:rPr>
            </w:pPr>
            <w:r>
              <w:rPr>
                <w:rFonts w:ascii="Arial;sans-serif" w:hAnsi="Arial;sans-serif"/>
                <w:b w:val="false"/>
                <w:color w:val="131E29"/>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380,500 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939,088 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706,921 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23"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Franchising and other</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40,820 </w:t>
            </w:r>
          </w:p>
        </w:tc>
        <w:tc>
          <w:tcPr>
            <w:tcW w:w="11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35,313 </w:t>
            </w:r>
          </w:p>
        </w:tc>
        <w:tc>
          <w:tcPr>
            <w:tcW w:w="11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76,175 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64,044 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550,851 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415,813 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1,015,263 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770,965 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2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23"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Cost of sales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399,795 </w:t>
            </w:r>
          </w:p>
        </w:tc>
        <w:tc>
          <w:tcPr>
            <w:tcW w:w="11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295,769 </w:t>
            </w:r>
          </w:p>
        </w:tc>
        <w:tc>
          <w:tcPr>
            <w:tcW w:w="11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756,731 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560,928 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80,651 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65,385 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153,827 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124,306 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23"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costs and expenses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480,446 </w:t>
            </w:r>
          </w:p>
        </w:tc>
        <w:tc>
          <w:tcPr>
            <w:tcW w:w="112"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361,154 </w:t>
            </w:r>
          </w:p>
        </w:tc>
        <w:tc>
          <w:tcPr>
            <w:tcW w:w="112"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910,558 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685,234 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23"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Income from operations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70,405 </w:t>
            </w:r>
          </w:p>
        </w:tc>
        <w:tc>
          <w:tcPr>
            <w:tcW w:w="11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54,659 </w:t>
            </w:r>
          </w:p>
        </w:tc>
        <w:tc>
          <w:tcPr>
            <w:tcW w:w="11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104,705 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85,731 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23"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Other expense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(7,038)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(7,076)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(14,258)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(14,191)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23"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Other income (expense), net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861 </w:t>
            </w:r>
          </w:p>
        </w:tc>
        <w:tc>
          <w:tcPr>
            <w:tcW w:w="11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(1,983)</w:t>
            </w:r>
          </w:p>
        </w:tc>
        <w:tc>
          <w:tcPr>
            <w:tcW w:w="11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786 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(2,001)</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other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(6,177)</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(9,059)</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(13,472)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(16,192)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2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64,228 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45,600 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91,233 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69,539 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23"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Income tax expense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12,623 </w:t>
            </w:r>
          </w:p>
        </w:tc>
        <w:tc>
          <w:tcPr>
            <w:tcW w:w="11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7,243 </w:t>
            </w:r>
          </w:p>
        </w:tc>
        <w:tc>
          <w:tcPr>
            <w:tcW w:w="11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15,964 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8,702 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 xml:space="preserve">Net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8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51,605 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31E29"/>
                <w:sz w:val="20"/>
              </w:rPr>
            </w:pPr>
            <w:r>
              <w:rPr>
                <w:rFonts w:ascii="Arial;sans-serif" w:hAnsi="Arial;sans-serif"/>
                <w:b w:val="false"/>
                <w:color w:val="131E29"/>
                <w:sz w:val="20"/>
              </w:rPr>
              <w:t>$</w:t>
            </w:r>
          </w:p>
        </w:tc>
        <w:tc>
          <w:tcPr>
            <w:tcW w:w="8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38,357 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75,269 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60,837 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23"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 xml:space="preserve">Less: Net income attributable to non-controlling interests </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14,195 </w:t>
            </w:r>
          </w:p>
        </w:tc>
        <w:tc>
          <w:tcPr>
            <w:tcW w:w="11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12,733 </w:t>
            </w:r>
          </w:p>
        </w:tc>
        <w:tc>
          <w:tcPr>
            <w:tcW w:w="11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21,762 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19,860 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2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 xml:space="preserve">Net income attributable to Dutch Bros Inc.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8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37,410</w:t>
            </w:r>
            <w:r>
              <w:rPr>
                <w:color w:val="006098"/>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1E29"/>
                <w:sz w:val="20"/>
              </w:rPr>
            </w:pPr>
            <w:r>
              <w:rPr>
                <w:rFonts w:ascii="Arial;sans-serif" w:hAnsi="Arial;sans-serif"/>
                <w:b/>
                <w:color w:val="131E29"/>
                <w:sz w:val="20"/>
              </w:rPr>
              <w:t>$</w:t>
            </w:r>
          </w:p>
        </w:tc>
        <w:tc>
          <w:tcPr>
            <w:tcW w:w="8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1E29"/>
                <w:sz w:val="20"/>
              </w:rPr>
              <w:t>25,624</w:t>
            </w:r>
            <w:r>
              <w:rPr>
                <w:color w:val="131E29"/>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53,507</w:t>
            </w:r>
            <w:r>
              <w:rPr>
                <w:color w:val="006098"/>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1E29"/>
                <w:sz w:val="20"/>
              </w:rPr>
            </w:pPr>
            <w:r>
              <w:rPr>
                <w:rFonts w:ascii="Arial;sans-serif" w:hAnsi="Arial;sans-serif"/>
                <w:b/>
                <w:color w:val="131E29"/>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1E29"/>
                <w:sz w:val="20"/>
              </w:rPr>
              <w:t>40,977</w:t>
            </w:r>
            <w:r>
              <w:rPr>
                <w:color w:val="131E29"/>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23"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Net income per share of Class A common stock:</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0.28</w:t>
            </w:r>
            <w:r>
              <w:rPr>
                <w:color w:val="006098"/>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1E29"/>
                <w:sz w:val="20"/>
              </w:rPr>
            </w:pPr>
            <w:r>
              <w:rPr>
                <w:rFonts w:ascii="Arial;sans-serif" w:hAnsi="Arial;sans-serif"/>
                <w:b/>
                <w:color w:val="131E29"/>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1E29"/>
                <w:sz w:val="20"/>
              </w:rPr>
              <w:t>0.20</w:t>
            </w:r>
            <w:r>
              <w:rPr>
                <w:color w:val="131E29"/>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0.41</w:t>
            </w: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1E29"/>
                <w:sz w:val="20"/>
              </w:rPr>
            </w:pPr>
            <w:r>
              <w:rPr>
                <w:rFonts w:ascii="Arial;sans-serif" w:hAnsi="Arial;sans-serif"/>
                <w:b/>
                <w:color w:val="131E29"/>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1E29"/>
                <w:sz w:val="20"/>
              </w:rPr>
              <w:t>0.33</w:t>
            </w: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23"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Diluted</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D2DC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887" w:type="dxa"/>
            <w:tcBorders/>
            <w:shd w:fill="D2DCE5"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0.28</w:t>
            </w:r>
            <w:r>
              <w:rPr>
                <w:color w:val="006098"/>
              </w:rPr>
              <w:t> </w:t>
            </w:r>
          </w:p>
        </w:tc>
        <w:tc>
          <w:tcPr>
            <w:tcW w:w="11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D2DC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1E29"/>
                <w:sz w:val="20"/>
              </w:rPr>
            </w:pPr>
            <w:r>
              <w:rPr>
                <w:rFonts w:ascii="Arial;sans-serif" w:hAnsi="Arial;sans-serif"/>
                <w:b/>
                <w:color w:val="131E29"/>
                <w:sz w:val="20"/>
              </w:rPr>
              <w:t>$</w:t>
            </w:r>
          </w:p>
        </w:tc>
        <w:tc>
          <w:tcPr>
            <w:tcW w:w="887" w:type="dxa"/>
            <w:tcBorders/>
            <w:shd w:fill="D2DCE5"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1E29"/>
                <w:sz w:val="20"/>
              </w:rPr>
              <w:t>0.20</w:t>
            </w:r>
            <w:r>
              <w:rPr>
                <w:color w:val="131E29"/>
              </w:rPr>
              <w:t> </w:t>
            </w:r>
          </w:p>
        </w:tc>
        <w:tc>
          <w:tcPr>
            <w:tcW w:w="11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2DC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856" w:type="dxa"/>
            <w:tcBorders/>
            <w:shd w:fill="D2DCE5"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0.41</w:t>
            </w: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2DC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1E29"/>
                <w:sz w:val="20"/>
              </w:rPr>
            </w:pPr>
            <w:r>
              <w:rPr>
                <w:rFonts w:ascii="Arial;sans-serif" w:hAnsi="Arial;sans-serif"/>
                <w:b/>
                <w:color w:val="131E29"/>
                <w:sz w:val="20"/>
              </w:rPr>
              <w:t>$</w:t>
            </w:r>
          </w:p>
        </w:tc>
        <w:tc>
          <w:tcPr>
            <w:tcW w:w="856" w:type="dxa"/>
            <w:tcBorders/>
            <w:shd w:fill="D2DCE5"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1E29"/>
                <w:sz w:val="20"/>
              </w:rPr>
              <w:t>0.33</w:t>
            </w: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Weighted-average shares of Class A common stock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23"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Basic</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134,494 </w:t>
            </w:r>
          </w:p>
        </w:tc>
        <w:tc>
          <w:tcPr>
            <w:tcW w:w="11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126,390 </w:t>
            </w:r>
          </w:p>
        </w:tc>
        <w:tc>
          <w:tcPr>
            <w:tcW w:w="11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130,837 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123,615 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7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134,765 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126,830 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131,263 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124,178 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center"/>
        <w:rPr>
          <w:rFonts w:ascii="Arial;sans-serif" w:hAnsi="Arial;sans-serif"/>
          <w:b w:val="false"/>
          <w:color w:val="131E29"/>
          <w:sz w:val="20"/>
        </w:rPr>
      </w:pPr>
      <w:r>
        <w:rPr>
          <w:rFonts w:ascii="Arial;sans-serif" w:hAnsi="Arial;sans-serif"/>
          <w:b w:val="false"/>
          <w:color w:val="131E29"/>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63220"/>
                <wp:effectExtent l="0" t="0" r="0" b="0"/>
                <wp:wrapNone/>
                <wp:docPr id="11" name="Frame5"/>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5" descr=""/>
                                          <pic:cNvPicPr>
                                            <a:picLocks noChangeAspect="1" noChangeArrowheads="1"/>
                                          </pic:cNvPicPr>
                                        </pic:nvPicPr>
                                        <pic:blipFill>
                                          <a:blip r:embed="rId8"/>
                                          <a:stretch>
                                            <a:fillRect/>
                                          </a:stretch>
                                        </pic:blipFill>
                                        <pic:spPr bwMode="auto">
                                          <a:xfrm>
                                            <a:off x="0" y="0"/>
                                            <a:ext cx="190500" cy="266700"/>
                                          </a:xfrm>
                                          <a:prstGeom prst="rect">
                                            <a:avLst/>
                                          </a:prstGeom>
                                        </pic:spPr>
                                      </pic:pic>
                                    </a:graphicData>
                                  </a:graphic>
                                </wp:inline>
                              </w:drawing>
                            </w:r>
                            <w:bookmarkStart w:id="6" w:name="i-5"/>
                            <w:bookmarkEnd w:id="6"/>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5" descr=""/>
                                    <pic:cNvPicPr>
                                      <a:picLocks noChangeAspect="1" noChangeArrowheads="1"/>
                                    </pic:cNvPicPr>
                                  </pic:nvPicPr>
                                  <pic:blipFill>
                                    <a:blip r:embed="rId9"/>
                                    <a:stretch>
                                      <a:fillRect/>
                                    </a:stretch>
                                  </pic:blipFill>
                                  <pic:spPr bwMode="auto">
                                    <a:xfrm>
                                      <a:off x="0" y="0"/>
                                      <a:ext cx="190500" cy="266700"/>
                                    </a:xfrm>
                                    <a:prstGeom prst="rect">
                                      <a:avLst/>
                                    </a:prstGeom>
                                  </pic:spPr>
                                </pic:pic>
                              </a:graphicData>
                            </a:graphic>
                          </wp:inline>
                        </w:drawing>
                      </w:r>
                      <w:bookmarkStart w:id="7" w:name="i-5"/>
                      <w:bookmarkEnd w:id="7"/>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w:t>
                      </w:r>
                    </w:p>
                  </w:txbxContent>
                </v:textbox>
                <w10:wrap type="none"/>
              </v:rect>
            </w:pict>
          </mc:Fallback>
        </mc:AlternateContent>
      </w:r>
    </w:p>
    <w:p>
      <w:pPr>
        <w:pStyle w:val="TextBody"/>
        <w:bidi w:val="0"/>
        <w:spacing w:lineRule="auto" w:line="288" w:before="0" w:after="180"/>
        <w:jc w:val="left"/>
        <w:rPr/>
      </w:pPr>
      <w:hyperlink w:anchor="i901a725797c944a19267b6f140f14c09_16">
        <w:r>
          <w:rPr>
            <w:rStyle w:val="InternetLink"/>
            <w:rFonts w:ascii="Arial;sans-serif" w:hAnsi="Arial;sans-serif"/>
            <w:b w:val="false"/>
            <w:color w:val="006098"/>
            <w:sz w:val="16"/>
            <w:u w:val="single"/>
          </w:rPr>
          <w:t>Table of Contents</w:t>
        </w:r>
      </w:hyperlink>
    </w:p>
    <w:p>
      <w:pPr>
        <w:pStyle w:val="TextBody"/>
        <w:bidi w:val="0"/>
        <w:spacing w:before="0" w:after="60"/>
        <w:jc w:val="center"/>
        <w:rPr/>
      </w:pPr>
      <w:r>
        <w:rPr/>
      </w:r>
    </w:p>
    <w:p>
      <w:pPr>
        <w:pStyle w:val="TextBody"/>
        <w:bidi w:val="0"/>
        <w:spacing w:before="0" w:after="180"/>
        <w:jc w:val="left"/>
        <w:rPr/>
      </w:pPr>
      <w:r>
        <w:rPr/>
      </w:r>
    </w:p>
    <w:p>
      <w:pPr>
        <w:pStyle w:val="TextBody"/>
        <w:bidi w:val="0"/>
        <w:spacing w:lineRule="auto" w:line="288" w:before="0" w:after="60"/>
        <w:jc w:val="center"/>
        <w:rPr>
          <w:rFonts w:ascii="Arial;sans-serif" w:hAnsi="Arial;sans-serif"/>
          <w:b/>
          <w:color w:val="00416B"/>
          <w:sz w:val="28"/>
        </w:rPr>
      </w:pPr>
      <w:r>
        <w:rPr>
          <w:rFonts w:ascii="Arial;sans-serif" w:hAnsi="Arial;sans-serif"/>
          <w:b/>
          <w:color w:val="00416B"/>
          <w:sz w:val="28"/>
        </w:rPr>
        <w:t>DUTCH BROS INC.</w:t>
      </w:r>
    </w:p>
    <w:p>
      <w:pPr>
        <w:pStyle w:val="TextBody"/>
        <w:bidi w:val="0"/>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Condensed Consolidated Statements of Comprehensive Income</w:t>
      </w:r>
    </w:p>
    <w:tbl>
      <w:tblPr>
        <w:tblW w:w="10205" w:type="dxa"/>
        <w:jc w:val="left"/>
        <w:tblInd w:w="0" w:type="dxa"/>
        <w:tblLayout w:type="fixed"/>
        <w:tblCellMar>
          <w:top w:w="28" w:type="dxa"/>
          <w:left w:w="28" w:type="dxa"/>
          <w:bottom w:w="28" w:type="dxa"/>
          <w:right w:w="28" w:type="dxa"/>
        </w:tblCellMar>
      </w:tblPr>
      <w:tblGrid>
        <w:gridCol w:w="1711"/>
        <w:gridCol w:w="1280"/>
        <w:gridCol w:w="1191"/>
        <w:gridCol w:w="109"/>
        <w:gridCol w:w="109"/>
        <w:gridCol w:w="109"/>
        <w:gridCol w:w="220"/>
        <w:gridCol w:w="786"/>
        <w:gridCol w:w="114"/>
        <w:gridCol w:w="114"/>
        <w:gridCol w:w="114"/>
        <w:gridCol w:w="114"/>
        <w:gridCol w:w="220"/>
        <w:gridCol w:w="786"/>
        <w:gridCol w:w="114"/>
        <w:gridCol w:w="109"/>
        <w:gridCol w:w="109"/>
        <w:gridCol w:w="109"/>
        <w:gridCol w:w="215"/>
        <w:gridCol w:w="766"/>
        <w:gridCol w:w="111"/>
        <w:gridCol w:w="111"/>
        <w:gridCol w:w="111"/>
        <w:gridCol w:w="111"/>
        <w:gridCol w:w="215"/>
        <w:gridCol w:w="766"/>
        <w:gridCol w:w="111"/>
        <w:gridCol w:w="109"/>
        <w:gridCol w:w="161"/>
      </w:tblGrid>
      <w:tr>
        <w:trPr/>
        <w:tc>
          <w:tcPr>
            <w:tcW w:w="1711"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Six Months Ended June 30,</w:t>
            </w:r>
          </w:p>
        </w:tc>
        <w:tc>
          <w:tcPr>
            <w:tcW w:w="270" w:type="dxa"/>
            <w:gridSpan w:val="2"/>
            <w:tcBorders/>
          </w:tcPr>
          <w:p>
            <w:pPr>
              <w:pStyle w:val="TableContents"/>
              <w:bidi w:val="0"/>
              <w:spacing w:before="0" w:after="283"/>
              <w:jc w:val="left"/>
              <w:rPr>
                <w:sz w:val="4"/>
                <w:szCs w:val="4"/>
              </w:rPr>
            </w:pPr>
            <w:r>
              <w:rPr>
                <w:sz w:val="4"/>
                <w:szCs w:val="4"/>
              </w:rPr>
            </w:r>
          </w:p>
        </w:tc>
      </w:tr>
      <w:tr>
        <w:trPr/>
        <w:tc>
          <w:tcPr>
            <w:tcW w:w="41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342"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333"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82"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 xml:space="preserve">Net income </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78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51,605 </w:t>
            </w:r>
          </w:p>
        </w:tc>
        <w:tc>
          <w:tcPr>
            <w:tcW w:w="114"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31E29"/>
                <w:sz w:val="20"/>
              </w:rPr>
            </w:pPr>
            <w:r>
              <w:rPr>
                <w:rFonts w:ascii="Arial;sans-serif" w:hAnsi="Arial;sans-serif"/>
                <w:b w:val="false"/>
                <w:color w:val="131E29"/>
                <w:sz w:val="20"/>
              </w:rPr>
              <w:t>$</w:t>
            </w:r>
          </w:p>
        </w:tc>
        <w:tc>
          <w:tcPr>
            <w:tcW w:w="78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38,357 </w:t>
            </w:r>
          </w:p>
        </w:tc>
        <w:tc>
          <w:tcPr>
            <w:tcW w:w="114"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76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75,269 </w:t>
            </w:r>
          </w:p>
        </w:tc>
        <w:tc>
          <w:tcPr>
            <w:tcW w:w="111"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31E29"/>
                <w:sz w:val="20"/>
              </w:rPr>
            </w:pPr>
            <w:r>
              <w:rPr>
                <w:rFonts w:ascii="Arial;sans-serif" w:hAnsi="Arial;sans-serif"/>
                <w:b w:val="false"/>
                <w:color w:val="131E29"/>
                <w:sz w:val="20"/>
              </w:rPr>
              <w:t>$</w:t>
            </w:r>
          </w:p>
        </w:tc>
        <w:tc>
          <w:tcPr>
            <w:tcW w:w="76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60,837 </w:t>
            </w:r>
          </w:p>
        </w:tc>
        <w:tc>
          <w:tcPr>
            <w:tcW w:w="111"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82"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Unrealized loss on derivative securities, effective portion, net of income tax benefit of $17, $54, $11 and $147, respectively</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(39)</w:t>
            </w:r>
          </w:p>
        </w:tc>
        <w:tc>
          <w:tcPr>
            <w:tcW w:w="11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(241)</w:t>
            </w:r>
          </w:p>
        </w:tc>
        <w:tc>
          <w:tcPr>
            <w:tcW w:w="11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(12)</w:t>
            </w:r>
          </w:p>
        </w:tc>
        <w:tc>
          <w:tcPr>
            <w:tcW w:w="1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(590)</w:t>
            </w:r>
          </w:p>
        </w:tc>
        <w:tc>
          <w:tcPr>
            <w:tcW w:w="1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51,566 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38,116 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75,257 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60,247 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82"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Less: comprehensive income attributable to non-controlling interests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14,175 </w:t>
            </w:r>
          </w:p>
        </w:tc>
        <w:tc>
          <w:tcPr>
            <w:tcW w:w="11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12,646 </w:t>
            </w:r>
          </w:p>
        </w:tc>
        <w:tc>
          <w:tcPr>
            <w:tcW w:w="11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21,751 </w:t>
            </w:r>
          </w:p>
        </w:tc>
        <w:tc>
          <w:tcPr>
            <w:tcW w:w="1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19,614 </w:t>
            </w:r>
          </w:p>
        </w:tc>
        <w:tc>
          <w:tcPr>
            <w:tcW w:w="1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Comprehensive income attributable to Dutch Bros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7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37,391</w:t>
            </w:r>
            <w:r>
              <w:rPr>
                <w:color w:val="006098"/>
              </w:rPr>
              <w:t>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131E29"/>
                <w:sz w:val="20"/>
              </w:rPr>
            </w:pPr>
            <w:r>
              <w:rPr>
                <w:rFonts w:ascii="Arial;sans-serif" w:hAnsi="Arial;sans-serif"/>
                <w:b/>
                <w:color w:val="131E29"/>
                <w:sz w:val="20"/>
              </w:rPr>
              <w:t>$</w:t>
            </w:r>
          </w:p>
        </w:tc>
        <w:tc>
          <w:tcPr>
            <w:tcW w:w="7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131E29"/>
                <w:sz w:val="20"/>
              </w:rPr>
              <w:t>25,470</w:t>
            </w:r>
            <w:r>
              <w:rPr>
                <w:color w:val="131E29"/>
              </w:rPr>
              <w:t>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53,506</w:t>
            </w:r>
            <w:r>
              <w:rPr>
                <w:color w:val="006098"/>
              </w:rPr>
              <w:t>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131E29"/>
                <w:sz w:val="20"/>
              </w:rPr>
            </w:pPr>
            <w:r>
              <w:rPr>
                <w:rFonts w:ascii="Arial;sans-serif" w:hAnsi="Arial;sans-serif"/>
                <w:b/>
                <w:color w:val="131E29"/>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131E29"/>
                <w:sz w:val="20"/>
              </w:rPr>
              <w:t>40,633</w:t>
            </w:r>
            <w:r>
              <w:rPr>
                <w:color w:val="131E29"/>
              </w:rPr>
              <w:t>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63220"/>
                <wp:effectExtent l="0" t="0" r="0" b="0"/>
                <wp:wrapNone/>
                <wp:docPr id="14" name="Frame6"/>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6" descr=""/>
                                          <pic:cNvPicPr>
                                            <a:picLocks noChangeAspect="1" noChangeArrowheads="1"/>
                                          </pic:cNvPicPr>
                                        </pic:nvPicPr>
                                        <pic:blipFill>
                                          <a:blip r:embed="rId10"/>
                                          <a:stretch>
                                            <a:fillRect/>
                                          </a:stretch>
                                        </pic:blipFill>
                                        <pic:spPr bwMode="auto">
                                          <a:xfrm>
                                            <a:off x="0" y="0"/>
                                            <a:ext cx="190500" cy="266700"/>
                                          </a:xfrm>
                                          <a:prstGeom prst="rect">
                                            <a:avLst/>
                                          </a:prstGeom>
                                        </pic:spPr>
                                      </pic:pic>
                                    </a:graphicData>
                                  </a:graphic>
                                </wp:inline>
                              </w:drawing>
                            </w:r>
                            <w:bookmarkStart w:id="8" w:name="i-6"/>
                            <w:bookmarkEnd w:id="8"/>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6" descr=""/>
                                    <pic:cNvPicPr>
                                      <a:picLocks noChangeAspect="1" noChangeArrowheads="1"/>
                                    </pic:cNvPicPr>
                                  </pic:nvPicPr>
                                  <pic:blipFill>
                                    <a:blip r:embed="rId11"/>
                                    <a:stretch>
                                      <a:fillRect/>
                                    </a:stretch>
                                  </pic:blipFill>
                                  <pic:spPr bwMode="auto">
                                    <a:xfrm>
                                      <a:off x="0" y="0"/>
                                      <a:ext cx="190500" cy="266700"/>
                                    </a:xfrm>
                                    <a:prstGeom prst="rect">
                                      <a:avLst/>
                                    </a:prstGeom>
                                  </pic:spPr>
                                </pic:pic>
                              </a:graphicData>
                            </a:graphic>
                          </wp:inline>
                        </w:drawing>
                      </w:r>
                      <w:bookmarkStart w:id="9" w:name="i-6"/>
                      <w:bookmarkEnd w:id="9"/>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ind w:left="0" w:right="0" w:firstLine="360"/>
        <w:jc w:val="left"/>
        <w:rPr/>
      </w:pPr>
      <w:hyperlink w:anchor="i901a725797c944a19267b6f140f14c09_16">
        <w:r>
          <w:rPr>
            <w:rStyle w:val="InternetLink"/>
            <w:rFonts w:ascii="Arial;sans-serif" w:hAnsi="Arial;sans-serif"/>
            <w:b w:val="false"/>
            <w:color w:val="006098"/>
            <w:sz w:val="16"/>
            <w:u w:val="single"/>
          </w:rPr>
          <w:t>Table of Contents</w:t>
        </w:r>
      </w:hyperlink>
    </w:p>
    <w:p>
      <w:pPr>
        <w:pStyle w:val="TextBody"/>
        <w:bidi w:val="0"/>
        <w:spacing w:lineRule="auto" w:line="288" w:before="0" w:after="60"/>
        <w:jc w:val="center"/>
        <w:rPr>
          <w:rFonts w:ascii="Arial;sans-serif" w:hAnsi="Arial;sans-serif"/>
          <w:b/>
          <w:color w:val="00416B"/>
          <w:sz w:val="28"/>
        </w:rPr>
      </w:pPr>
      <w:r>
        <w:rPr>
          <w:rFonts w:ascii="Arial;sans-serif" w:hAnsi="Arial;sans-serif"/>
          <w:b/>
          <w:color w:val="00416B"/>
          <w:sz w:val="28"/>
        </w:rPr>
        <w:t>DUTCH BROS INC.</w:t>
      </w:r>
    </w:p>
    <w:p>
      <w:pPr>
        <w:pStyle w:val="TextBody"/>
        <w:bidi w:val="0"/>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Condensed Consolidated Balance Sheets</w:t>
      </w:r>
    </w:p>
    <w:tbl>
      <w:tblPr>
        <w:tblW w:w="10205" w:type="dxa"/>
        <w:jc w:val="center"/>
        <w:tblInd w:w="0" w:type="dxa"/>
        <w:tblLayout w:type="fixed"/>
        <w:tblCellMar>
          <w:top w:w="28" w:type="dxa"/>
          <w:left w:w="28" w:type="dxa"/>
          <w:bottom w:w="28" w:type="dxa"/>
          <w:right w:w="28" w:type="dxa"/>
        </w:tblCellMar>
      </w:tblPr>
      <w:tblGrid>
        <w:gridCol w:w="2663"/>
        <w:gridCol w:w="2093"/>
        <w:gridCol w:w="2106"/>
        <w:gridCol w:w="109"/>
        <w:gridCol w:w="109"/>
        <w:gridCol w:w="109"/>
        <w:gridCol w:w="211"/>
        <w:gridCol w:w="991"/>
        <w:gridCol w:w="109"/>
        <w:gridCol w:w="109"/>
        <w:gridCol w:w="109"/>
        <w:gridCol w:w="109"/>
        <w:gridCol w:w="214"/>
        <w:gridCol w:w="1006"/>
        <w:gridCol w:w="158"/>
      </w:tblGrid>
      <w:tr>
        <w:trPr/>
        <w:tc>
          <w:tcPr>
            <w:tcW w:w="2663" w:type="dxa"/>
            <w:tcBorders/>
            <w:vAlign w:val="center"/>
          </w:tcPr>
          <w:p>
            <w:pPr>
              <w:pStyle w:val="TableContents"/>
              <w:bidi w:val="0"/>
              <w:spacing w:before="0" w:after="283"/>
              <w:jc w:val="left"/>
              <w:rPr>
                <w:sz w:val="4"/>
                <w:szCs w:val="4"/>
              </w:rPr>
            </w:pPr>
            <w:r>
              <w:rPr>
                <w:sz w:val="4"/>
                <w:szCs w:val="4"/>
              </w:rPr>
            </w:r>
          </w:p>
        </w:tc>
        <w:tc>
          <w:tcPr>
            <w:tcW w:w="2093" w:type="dxa"/>
            <w:tcBorders/>
            <w:vAlign w:val="center"/>
          </w:tcPr>
          <w:p>
            <w:pPr>
              <w:pStyle w:val="TableContents"/>
              <w:bidi w:val="0"/>
              <w:spacing w:before="0" w:after="283"/>
              <w:jc w:val="left"/>
              <w:rPr>
                <w:sz w:val="4"/>
                <w:szCs w:val="4"/>
              </w:rPr>
            </w:pPr>
            <w:r>
              <w:rPr>
                <w:sz w:val="4"/>
                <w:szCs w:val="4"/>
              </w:rPr>
            </w:r>
          </w:p>
        </w:tc>
        <w:tc>
          <w:tcPr>
            <w:tcW w:w="2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705" w:type="dxa"/>
            <w:gridSpan w:val="6"/>
            <w:tcBorders/>
          </w:tcPr>
          <w:p>
            <w:pPr>
              <w:pStyle w:val="TableContents"/>
              <w:bidi w:val="0"/>
              <w:spacing w:before="0" w:after="283"/>
              <w:jc w:val="left"/>
              <w:rPr>
                <w:sz w:val="4"/>
                <w:szCs w:val="4"/>
              </w:rPr>
            </w:pPr>
            <w:r>
              <w:rPr>
                <w:sz w:val="4"/>
                <w:szCs w:val="4"/>
              </w:rPr>
            </w:r>
          </w:p>
        </w:tc>
      </w:tr>
      <w:tr>
        <w:trPr/>
        <w:tc>
          <w:tcPr>
            <w:tcW w:w="68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except per share amounts;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December 31,</w:t>
              <w:br/>
              <w:t>2025</w:t>
            </w:r>
          </w:p>
        </w:tc>
      </w:tr>
      <w:tr>
        <w:trPr/>
        <w:tc>
          <w:tcPr>
            <w:tcW w:w="6862"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Assets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Cash and cash equivalents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2DC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18"/>
              </w:rPr>
            </w:pPr>
            <w:r>
              <w:rPr>
                <w:rFonts w:ascii="Arial;sans-serif" w:hAnsi="Arial;sans-serif"/>
                <w:b w:val="false"/>
                <w:color w:val="006098"/>
                <w:sz w:val="18"/>
              </w:rPr>
              <w:t>$</w:t>
            </w:r>
          </w:p>
        </w:tc>
        <w:tc>
          <w:tcPr>
            <w:tcW w:w="991" w:type="dxa"/>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268,624 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D2DC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31E29"/>
                <w:sz w:val="18"/>
              </w:rPr>
            </w:pPr>
            <w:r>
              <w:rPr>
                <w:rFonts w:ascii="Arial;sans-serif" w:hAnsi="Arial;sans-serif"/>
                <w:b w:val="false"/>
                <w:color w:val="131E29"/>
                <w:sz w:val="18"/>
              </w:rPr>
              <w:t>$</w:t>
            </w:r>
          </w:p>
        </w:tc>
        <w:tc>
          <w:tcPr>
            <w:tcW w:w="1006" w:type="dxa"/>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269,404 </w:t>
            </w:r>
          </w:p>
        </w:tc>
        <w:tc>
          <w:tcPr>
            <w:tcW w:w="15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18,871 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18,387 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Inventories, net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41,253 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48,917 </w:t>
            </w:r>
          </w:p>
        </w:tc>
        <w:tc>
          <w:tcPr>
            <w:tcW w:w="15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23,745 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20,670 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Total current assets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352,493 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357,378 </w:t>
            </w:r>
          </w:p>
        </w:tc>
        <w:tc>
          <w:tcPr>
            <w:tcW w:w="158"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905,241 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824,502 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Lease right-of-use assets, net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984,000 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855,339 </w:t>
            </w:r>
          </w:p>
        </w:tc>
        <w:tc>
          <w:tcPr>
            <w:tcW w:w="15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r>
      <w:tr>
        <w:trPr/>
        <w:tc>
          <w:tcPr>
            <w:tcW w:w="6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r>
      <w:tr>
        <w:trPr/>
        <w:tc>
          <w:tcPr>
            <w:tcW w:w="6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r>
      <w:tr>
        <w:trPr/>
        <w:tc>
          <w:tcPr>
            <w:tcW w:w="6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r>
      <w:tr>
        <w:trPr/>
        <w:tc>
          <w:tcPr>
            <w:tcW w:w="68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Deferred income tax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1,111,070 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946,571 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Other long-term assets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23,885 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25,524 </w:t>
            </w:r>
          </w:p>
        </w:tc>
        <w:tc>
          <w:tcPr>
            <w:tcW w:w="15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098"/>
                <w:sz w:val="18"/>
              </w:rPr>
            </w:pPr>
            <w:r>
              <w:rPr>
                <w:rFonts w:ascii="Arial;sans-serif" w:hAnsi="Arial;sans-serif"/>
                <w:b/>
                <w:color w:val="006098"/>
                <w:sz w:val="18"/>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6098"/>
                <w:sz w:val="18"/>
              </w:rPr>
              <w:t>3,376,689</w:t>
            </w:r>
            <w:r>
              <w:rPr>
                <w:color w:val="006098"/>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1E29"/>
                <w:sz w:val="18"/>
              </w:rPr>
            </w:pPr>
            <w:r>
              <w:rPr>
                <w:rFonts w:ascii="Arial;sans-serif" w:hAnsi="Arial;sans-serif"/>
                <w:b/>
                <w:color w:val="131E29"/>
                <w:sz w:val="18"/>
              </w:rPr>
              <w:t>$</w:t>
            </w:r>
          </w:p>
        </w:tc>
        <w:tc>
          <w:tcPr>
            <w:tcW w:w="10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1E29"/>
                <w:sz w:val="18"/>
              </w:rPr>
              <w:t>3,009,314</w:t>
            </w:r>
            <w:r>
              <w:rPr>
                <w:color w:val="131E29"/>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Liabilities and Equity</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Accounts payable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2DC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18"/>
              </w:rPr>
            </w:pPr>
            <w:r>
              <w:rPr>
                <w:rFonts w:ascii="Arial;sans-serif" w:hAnsi="Arial;sans-serif"/>
                <w:b w:val="false"/>
                <w:color w:val="006098"/>
                <w:sz w:val="18"/>
              </w:rPr>
              <w:t>$</w:t>
            </w:r>
          </w:p>
        </w:tc>
        <w:tc>
          <w:tcPr>
            <w:tcW w:w="991" w:type="dxa"/>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44,319 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D2DC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31E29"/>
                <w:sz w:val="18"/>
              </w:rPr>
            </w:pPr>
            <w:r>
              <w:rPr>
                <w:rFonts w:ascii="Arial;sans-serif" w:hAnsi="Arial;sans-serif"/>
                <w:b w:val="false"/>
                <w:color w:val="131E29"/>
                <w:sz w:val="18"/>
              </w:rPr>
              <w:t>$</w:t>
            </w:r>
          </w:p>
        </w:tc>
        <w:tc>
          <w:tcPr>
            <w:tcW w:w="1006" w:type="dxa"/>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37,625 </w:t>
            </w:r>
          </w:p>
        </w:tc>
        <w:tc>
          <w:tcPr>
            <w:tcW w:w="15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r>
      <w:tr>
        <w:trPr/>
        <w:tc>
          <w:tcPr>
            <w:tcW w:w="68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123,394 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99,173 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r>
      <w:tr>
        <w:trPr/>
        <w:tc>
          <w:tcPr>
            <w:tcW w:w="6862"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Deferred revenue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47,160 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55,658 </w:t>
            </w:r>
          </w:p>
        </w:tc>
        <w:tc>
          <w:tcPr>
            <w:tcW w:w="15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r>
      <w:tr>
        <w:trPr/>
        <w:tc>
          <w:tcPr>
            <w:tcW w:w="68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Current portion of tax receivable agreements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7,696 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Current portion of lease liabilities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41,639 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36,466 </w:t>
            </w:r>
          </w:p>
        </w:tc>
        <w:tc>
          <w:tcPr>
            <w:tcW w:w="15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r>
      <w:tr>
        <w:trPr/>
        <w:tc>
          <w:tcPr>
            <w:tcW w:w="6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r>
      <w:tr>
        <w:trPr/>
        <w:tc>
          <w:tcPr>
            <w:tcW w:w="68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3,883 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3,881 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Total current liabilities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261,081 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240,499 </w:t>
            </w:r>
          </w:p>
        </w:tc>
        <w:tc>
          <w:tcPr>
            <w:tcW w:w="158"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Deferred revenue,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6,524 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8,918 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Lease liabilities, net of current portion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967,206 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852,380 </w:t>
            </w:r>
          </w:p>
        </w:tc>
        <w:tc>
          <w:tcPr>
            <w:tcW w:w="15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r>
      <w:tr>
        <w:trPr/>
        <w:tc>
          <w:tcPr>
            <w:tcW w:w="6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r>
      <w:tr>
        <w:trPr/>
        <w:tc>
          <w:tcPr>
            <w:tcW w:w="6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r>
      <w:tr>
        <w:trPr/>
        <w:tc>
          <w:tcPr>
            <w:tcW w:w="68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Long-term debt,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194,600 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196,295 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Tax receivable agreements liability, net of current portion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972,264 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813,353 </w:t>
            </w:r>
          </w:p>
        </w:tc>
        <w:tc>
          <w:tcPr>
            <w:tcW w:w="15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r>
      <w:tr>
        <w:trPr/>
        <w:tc>
          <w:tcPr>
            <w:tcW w:w="68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2,401,675 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2,111,445 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8"/>
              </w:rPr>
            </w:pPr>
            <w:r>
              <w:rPr>
                <w:rFonts w:ascii="Arial;sans-serif" w:hAnsi="Arial;sans-serif"/>
                <w:b w:val="false"/>
                <w:color w:val="131E29"/>
                <w:sz w:val="18"/>
              </w:rPr>
              <w:t>Commitments and contingencies (Note 15)</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8"/>
              </w:rPr>
            </w:pPr>
            <w:r>
              <w:rPr>
                <w:rFonts w:ascii="Arial;sans-serif" w:hAnsi="Arial;sans-serif"/>
                <w:b w:val="false"/>
                <w:color w:val="131E29"/>
                <w:sz w:val="18"/>
              </w:rPr>
              <w:t>Preferred stock, $0.00001 par value per share - 20,000 shares authorized; zero shares issued and outstanding as of June 30, 2026 and December 31,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131E29"/>
              </w:rPr>
            </w:pPr>
            <w:r>
              <w:rPr>
                <w:color w:val="131E29"/>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8"/>
              </w:rPr>
            </w:pPr>
            <w:r>
              <w:rPr>
                <w:rFonts w:ascii="Arial;sans-serif" w:hAnsi="Arial;sans-serif"/>
                <w:b w:val="false"/>
                <w:color w:val="131E29"/>
                <w:sz w:val="18"/>
              </w:rPr>
              <w:t>Class A common stock, $0.00001 par value per share - 400,000 shares authorized; 137,893 and 127,054 shares issued and outstanding as of June 30, 2026 and December 31, 2025, respectively</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1 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1 </w:t>
            </w:r>
          </w:p>
        </w:tc>
        <w:tc>
          <w:tcPr>
            <w:tcW w:w="15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8"/>
              </w:rPr>
            </w:pPr>
            <w:r>
              <w:rPr>
                <w:rFonts w:ascii="Arial;sans-serif" w:hAnsi="Arial;sans-serif"/>
                <w:b w:val="false"/>
                <w:color w:val="131E29"/>
                <w:sz w:val="18"/>
              </w:rPr>
              <w:t>Class B common stock, $0.00001 par value per share - 144,000 shares authorized; 35,178 and 35,211 shares issued and outstanding as of June 30, 2026 and December 31,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131E29"/>
              </w:rPr>
            </w:pPr>
            <w:r>
              <w:rPr>
                <w:color w:val="131E29"/>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8"/>
              </w:rPr>
            </w:pPr>
            <w:r>
              <w:rPr>
                <w:rFonts w:ascii="Arial;sans-serif" w:hAnsi="Arial;sans-serif"/>
                <w:b w:val="false"/>
                <w:color w:val="131E29"/>
                <w:sz w:val="18"/>
              </w:rPr>
              <w:t>Class C common stock, $0.00001 par value per share - 105,000 shares authorized; 1,587 and 2,280 shares issued and outstanding as of June 30, 2026 and December 31, 2025, respectively</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131E29"/>
              </w:rPr>
            </w:pPr>
            <w:r>
              <w:rPr>
                <w:color w:val="131E29"/>
              </w:rPr>
              <w:t>— </w:t>
            </w:r>
          </w:p>
        </w:tc>
        <w:tc>
          <w:tcPr>
            <w:tcW w:w="15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r>
      <w:tr>
        <w:trPr/>
        <w:tc>
          <w:tcPr>
            <w:tcW w:w="68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644,589 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581,261 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Accumulated other comprehensive income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47 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48 </w:t>
            </w:r>
          </w:p>
        </w:tc>
        <w:tc>
          <w:tcPr>
            <w:tcW w:w="15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 xml:space="preserve">Retained earnings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153,015 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99,508 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Total stockholders' equity attributable to Dutch Bros Inc.</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797,652 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680,818 </w:t>
            </w:r>
          </w:p>
        </w:tc>
        <w:tc>
          <w:tcPr>
            <w:tcW w:w="158"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177,362 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217,051 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Total equity</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975,014 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897,869 </w:t>
            </w:r>
          </w:p>
        </w:tc>
        <w:tc>
          <w:tcPr>
            <w:tcW w:w="158"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Total 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18"/>
              </w:rPr>
            </w:pPr>
            <w:r>
              <w:rPr>
                <w:rFonts w:ascii="Arial;sans-serif" w:hAnsi="Arial;sans-serif"/>
                <w:b/>
                <w:color w:val="006098"/>
                <w:sz w:val="18"/>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18"/>
              </w:rPr>
              <w:t>3,376,689</w:t>
            </w:r>
            <w:r>
              <w:rPr>
                <w:color w:val="006098"/>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131E29"/>
                <w:sz w:val="18"/>
              </w:rPr>
            </w:pPr>
            <w:r>
              <w:rPr>
                <w:rFonts w:ascii="Arial;sans-serif" w:hAnsi="Arial;sans-serif"/>
                <w:b/>
                <w:color w:val="131E29"/>
                <w:sz w:val="18"/>
              </w:rPr>
              <w:t>$</w:t>
            </w:r>
          </w:p>
        </w:tc>
        <w:tc>
          <w:tcPr>
            <w:tcW w:w="10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131E29"/>
                <w:sz w:val="18"/>
              </w:rPr>
              <w:t>3,009,314</w:t>
            </w:r>
            <w:r>
              <w:rPr>
                <w:color w:val="131E29"/>
              </w:rPr>
              <w:t>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363220"/>
                <wp:effectExtent l="0" t="0" r="0" b="0"/>
                <wp:wrapNone/>
                <wp:docPr id="17" name="Frame7"/>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7" descr=""/>
                                          <pic:cNvPicPr>
                                            <a:picLocks noChangeAspect="1" noChangeArrowheads="1"/>
                                          </pic:cNvPicPr>
                                        </pic:nvPicPr>
                                        <pic:blipFill>
                                          <a:blip r:embed="rId12"/>
                                          <a:stretch>
                                            <a:fillRect/>
                                          </a:stretch>
                                        </pic:blipFill>
                                        <pic:spPr bwMode="auto">
                                          <a:xfrm>
                                            <a:off x="0" y="0"/>
                                            <a:ext cx="190500" cy="266700"/>
                                          </a:xfrm>
                                          <a:prstGeom prst="rect">
                                            <a:avLst/>
                                          </a:prstGeom>
                                        </pic:spPr>
                                      </pic:pic>
                                    </a:graphicData>
                                  </a:graphic>
                                </wp:inline>
                              </w:drawing>
                            </w:r>
                            <w:bookmarkStart w:id="10" w:name="i-7"/>
                            <w:bookmarkEnd w:id="10"/>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7" descr=""/>
                                    <pic:cNvPicPr>
                                      <a:picLocks noChangeAspect="1" noChangeArrowheads="1"/>
                                    </pic:cNvPicPr>
                                  </pic:nvPicPr>
                                  <pic:blipFill>
                                    <a:blip r:embed="rId13"/>
                                    <a:stretch>
                                      <a:fillRect/>
                                    </a:stretch>
                                  </pic:blipFill>
                                  <pic:spPr bwMode="auto">
                                    <a:xfrm>
                                      <a:off x="0" y="0"/>
                                      <a:ext cx="190500" cy="266700"/>
                                    </a:xfrm>
                                    <a:prstGeom prst="rect">
                                      <a:avLst/>
                                    </a:prstGeom>
                                  </pic:spPr>
                                </pic:pic>
                              </a:graphicData>
                            </a:graphic>
                          </wp:inline>
                        </w:drawing>
                      </w:r>
                      <w:bookmarkStart w:id="11" w:name="i-7"/>
                      <w:bookmarkEnd w:id="11"/>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w:t>
                      </w:r>
                    </w:p>
                  </w:txbxContent>
                </v:textbox>
                <w10:wrap type="none"/>
              </v:rect>
            </w:pict>
          </mc:Fallback>
        </mc:AlternateContent>
      </w:r>
    </w:p>
    <w:p>
      <w:pPr>
        <w:pStyle w:val="TextBody"/>
        <w:bidi w:val="0"/>
        <w:spacing w:lineRule="auto" w:line="288" w:before="0" w:after="180"/>
        <w:jc w:val="left"/>
        <w:rPr/>
      </w:pPr>
      <w:hyperlink w:anchor="i901a725797c944a19267b6f140f14c09_16">
        <w:r>
          <w:rPr>
            <w:rStyle w:val="InternetLink"/>
            <w:rFonts w:ascii="Arial;sans-serif" w:hAnsi="Arial;sans-serif"/>
            <w:b w:val="false"/>
            <w:color w:val="006098"/>
            <w:sz w:val="16"/>
            <w:u w:val="single"/>
          </w:rPr>
          <w:t>Table of Contents</w:t>
        </w:r>
      </w:hyperlink>
    </w:p>
    <w:p>
      <w:pPr>
        <w:pStyle w:val="TextBody"/>
        <w:bidi w:val="0"/>
        <w:spacing w:lineRule="auto" w:line="288" w:before="0" w:after="60"/>
        <w:jc w:val="center"/>
        <w:rPr>
          <w:rFonts w:ascii="Arial;sans-serif" w:hAnsi="Arial;sans-serif"/>
          <w:b/>
          <w:color w:val="00416B"/>
          <w:sz w:val="28"/>
        </w:rPr>
      </w:pPr>
      <w:r>
        <w:rPr>
          <w:rFonts w:ascii="Arial;sans-serif" w:hAnsi="Arial;sans-serif"/>
          <w:b/>
          <w:color w:val="00416B"/>
          <w:sz w:val="28"/>
        </w:rPr>
        <w:t>DUTCH BROS INC.</w:t>
      </w:r>
    </w:p>
    <w:p>
      <w:pPr>
        <w:pStyle w:val="TextBody"/>
        <w:bidi w:val="0"/>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Condensed Consolidated Statements of Stockholders’ Equity</w:t>
      </w:r>
    </w:p>
    <w:tbl>
      <w:tblPr>
        <w:tblW w:w="16016" w:type="dxa"/>
        <w:jc w:val="center"/>
        <w:tblInd w:w="0" w:type="dxa"/>
        <w:tblLayout w:type="fixed"/>
        <w:tblCellMar>
          <w:top w:w="28" w:type="dxa"/>
          <w:left w:w="28" w:type="dxa"/>
          <w:bottom w:w="28" w:type="dxa"/>
          <w:right w:w="28" w:type="dxa"/>
        </w:tblCellMar>
      </w:tblPr>
      <w:tblGrid>
        <w:gridCol w:w="667"/>
        <w:gridCol w:w="296"/>
        <w:gridCol w:w="298"/>
        <w:gridCol w:w="109"/>
        <w:gridCol w:w="109"/>
        <w:gridCol w:w="109"/>
        <w:gridCol w:w="109"/>
        <w:gridCol w:w="109"/>
        <w:gridCol w:w="375"/>
        <w:gridCol w:w="376"/>
        <w:gridCol w:w="211"/>
        <w:gridCol w:w="109"/>
        <w:gridCol w:w="109"/>
        <w:gridCol w:w="109"/>
        <w:gridCol w:w="230"/>
        <w:gridCol w:w="301"/>
        <w:gridCol w:w="130"/>
        <w:gridCol w:w="109"/>
        <w:gridCol w:w="109"/>
        <w:gridCol w:w="109"/>
        <w:gridCol w:w="330"/>
        <w:gridCol w:w="331"/>
        <w:gridCol w:w="211"/>
        <w:gridCol w:w="109"/>
        <w:gridCol w:w="109"/>
        <w:gridCol w:w="109"/>
        <w:gridCol w:w="196"/>
        <w:gridCol w:w="406"/>
        <w:gridCol w:w="109"/>
        <w:gridCol w:w="109"/>
        <w:gridCol w:w="109"/>
        <w:gridCol w:w="109"/>
        <w:gridCol w:w="285"/>
        <w:gridCol w:w="286"/>
        <w:gridCol w:w="211"/>
        <w:gridCol w:w="109"/>
        <w:gridCol w:w="109"/>
        <w:gridCol w:w="109"/>
        <w:gridCol w:w="196"/>
        <w:gridCol w:w="406"/>
        <w:gridCol w:w="109"/>
        <w:gridCol w:w="109"/>
        <w:gridCol w:w="109"/>
        <w:gridCol w:w="109"/>
        <w:gridCol w:w="109"/>
        <w:gridCol w:w="109"/>
        <w:gridCol w:w="109"/>
        <w:gridCol w:w="109"/>
        <w:gridCol w:w="214"/>
        <w:gridCol w:w="822"/>
        <w:gridCol w:w="120"/>
        <w:gridCol w:w="109"/>
        <w:gridCol w:w="109"/>
        <w:gridCol w:w="109"/>
        <w:gridCol w:w="379"/>
        <w:gridCol w:w="670"/>
        <w:gridCol w:w="212"/>
        <w:gridCol w:w="109"/>
        <w:gridCol w:w="109"/>
        <w:gridCol w:w="109"/>
        <w:gridCol w:w="196"/>
        <w:gridCol w:w="751"/>
        <w:gridCol w:w="109"/>
        <w:gridCol w:w="327"/>
        <w:gridCol w:w="228"/>
        <w:gridCol w:w="875"/>
        <w:gridCol w:w="128"/>
        <w:gridCol w:w="327"/>
        <w:gridCol w:w="196"/>
        <w:gridCol w:w="751"/>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647" w:type="dxa"/>
            <w:gridSpan w:val="57"/>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June 30, 2026</w:t>
            </w:r>
          </w:p>
        </w:tc>
        <w:tc>
          <w:tcPr>
            <w:tcW w:w="4369" w:type="dxa"/>
            <w:gridSpan w:val="18"/>
            <w:tcBorders/>
          </w:tcPr>
          <w:p>
            <w:pPr>
              <w:pStyle w:val="TableContents"/>
              <w:bidi w:val="0"/>
              <w:spacing w:before="0" w:after="283"/>
              <w:jc w:val="left"/>
              <w:rPr>
                <w:sz w:val="4"/>
                <w:szCs w:val="4"/>
              </w:rPr>
            </w:pPr>
            <w:r>
              <w:rPr>
                <w:sz w:val="4"/>
                <w:szCs w:val="4"/>
              </w:rPr>
            </w:r>
          </w:p>
        </w:tc>
      </w:tr>
      <w:tr>
        <w:trPr/>
        <w:tc>
          <w:tcPr>
            <w:tcW w:w="126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3" w:type="dxa"/>
            <w:gridSpan w:val="4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6"/>
              </w:rPr>
            </w:pPr>
            <w:r>
              <w:rPr>
                <w:rFonts w:ascii="Arial;sans-serif" w:hAnsi="Arial;sans-serif"/>
                <w:b/>
                <w:color w:val="131E29"/>
                <w:sz w:val="16"/>
              </w:rPr>
              <w:t>Dutch Bros Inc.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6" w:type="dxa"/>
            <w:gridSpan w:val="12"/>
            <w:tcBorders/>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0"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6"/>
              </w:rPr>
            </w:pPr>
            <w:r>
              <w:rPr>
                <w:rFonts w:ascii="Arial;sans-serif" w:hAnsi="Arial;sans-serif"/>
                <w:b/>
                <w:color w:val="131E29"/>
                <w:sz w:val="16"/>
              </w:rPr>
              <w:t>Class A</w:t>
            </w:r>
          </w:p>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Common Stock</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6"/>
              </w:rPr>
            </w:pPr>
            <w:r>
              <w:rPr>
                <w:rFonts w:ascii="Arial;sans-serif" w:hAnsi="Arial;sans-serif"/>
                <w:b/>
                <w:color w:val="131E29"/>
                <w:sz w:val="16"/>
              </w:rPr>
              <w:t>Class B</w:t>
            </w:r>
          </w:p>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Common Stock</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6"/>
              </w:rPr>
            </w:pPr>
            <w:r>
              <w:rPr>
                <w:rFonts w:ascii="Arial;sans-serif" w:hAnsi="Arial;sans-serif"/>
                <w:b/>
                <w:color w:val="131E29"/>
                <w:sz w:val="16"/>
              </w:rPr>
              <w:t>Class C</w:t>
            </w:r>
          </w:p>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6"/>
            <w:tcBorders/>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Shares</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Shares</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Shares</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Additional Paid-in-Capital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 xml:space="preserve">Retained Earnings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Total Equity</w:t>
            </w:r>
          </w:p>
        </w:tc>
      </w:tr>
      <w:tr>
        <w:trPr/>
        <w:tc>
          <w:tcPr>
            <w:tcW w:w="126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Balance, March 31, 2026</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1E29"/>
                <w:sz w:val="16"/>
              </w:rPr>
              <w:t>127,293</w:t>
            </w:r>
            <w:r>
              <w:rPr>
                <w:color w:val="131E29"/>
              </w:rPr>
              <w:t> </w:t>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1E29"/>
                <w:sz w:val="16"/>
              </w:rPr>
            </w:pPr>
            <w:r>
              <w:rPr>
                <w:rFonts w:ascii="Arial;sans-serif" w:hAnsi="Arial;sans-serif"/>
                <w:b/>
                <w:color w:val="131E29"/>
                <w:sz w:val="16"/>
              </w:rPr>
              <w:t>$</w:t>
            </w:r>
          </w:p>
        </w:tc>
        <w:tc>
          <w:tcPr>
            <w:tcW w:w="30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1E29"/>
                <w:sz w:val="16"/>
              </w:rPr>
              <w:t>1</w:t>
            </w:r>
            <w:r>
              <w:rPr>
                <w:color w:val="131E29"/>
              </w:rPr>
              <w:t> </w:t>
            </w:r>
          </w:p>
        </w:tc>
        <w:tc>
          <w:tcPr>
            <w:tcW w:w="130"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1E29"/>
                <w:sz w:val="16"/>
              </w:rPr>
              <w:t>35,211</w:t>
            </w:r>
            <w:r>
              <w:rPr>
                <w:color w:val="131E29"/>
              </w:rPr>
              <w:t> </w:t>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1E29"/>
                <w:sz w:val="16"/>
              </w:rPr>
            </w:pPr>
            <w:r>
              <w:rPr>
                <w:rFonts w:ascii="Arial;sans-serif" w:hAnsi="Arial;sans-serif"/>
                <w:b/>
                <w:color w:val="131E29"/>
                <w:sz w:val="16"/>
              </w:rPr>
              <w:t>$</w:t>
            </w:r>
          </w:p>
        </w:tc>
        <w:tc>
          <w:tcPr>
            <w:tcW w:w="40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color w:val="131E29"/>
              </w:rPr>
            </w:pP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1E29"/>
                <w:sz w:val="16"/>
              </w:rPr>
              <w:t>2,280</w:t>
            </w:r>
            <w:r>
              <w:rPr>
                <w:color w:val="131E29"/>
              </w:rPr>
              <w:t> </w:t>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1E29"/>
                <w:sz w:val="16"/>
              </w:rPr>
            </w:pPr>
            <w:r>
              <w:rPr>
                <w:rFonts w:ascii="Arial;sans-serif" w:hAnsi="Arial;sans-serif"/>
                <w:b/>
                <w:color w:val="131E29"/>
                <w:sz w:val="16"/>
              </w:rPr>
              <w:t>$</w:t>
            </w:r>
          </w:p>
        </w:tc>
        <w:tc>
          <w:tcPr>
            <w:tcW w:w="40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color w:val="131E29"/>
              </w:rPr>
            </w:pP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1E29"/>
                <w:sz w:val="16"/>
              </w:rPr>
            </w:pPr>
            <w:r>
              <w:rPr>
                <w:rFonts w:ascii="Arial;sans-serif" w:hAnsi="Arial;sans-serif"/>
                <w:b/>
                <w:color w:val="131E29"/>
                <w:sz w:val="16"/>
              </w:rPr>
              <w:t>$</w:t>
            </w:r>
          </w:p>
        </w:tc>
        <w:tc>
          <w:tcPr>
            <w:tcW w:w="822"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1E29"/>
                <w:sz w:val="16"/>
              </w:rPr>
              <w:t>580,773</w:t>
            </w:r>
            <w:r>
              <w:rPr>
                <w:color w:val="131E29"/>
              </w:rPr>
              <w:t> </w:t>
            </w:r>
          </w:p>
        </w:tc>
        <w:tc>
          <w:tcPr>
            <w:tcW w:w="120"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1E29"/>
                <w:sz w:val="16"/>
              </w:rPr>
            </w:pPr>
            <w:r>
              <w:rPr>
                <w:rFonts w:ascii="Arial;sans-serif" w:hAnsi="Arial;sans-serif"/>
                <w:b/>
                <w:color w:val="131E29"/>
                <w:sz w:val="16"/>
              </w:rPr>
              <w:t>$</w:t>
            </w:r>
          </w:p>
        </w:tc>
        <w:tc>
          <w:tcPr>
            <w:tcW w:w="670"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1E29"/>
                <w:sz w:val="16"/>
              </w:rPr>
              <w:t>66</w:t>
            </w:r>
            <w:r>
              <w:rPr>
                <w:color w:val="131E29"/>
              </w:rPr>
              <w:t> </w:t>
            </w:r>
          </w:p>
        </w:tc>
        <w:tc>
          <w:tcPr>
            <w:tcW w:w="212"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1E29"/>
                <w:sz w:val="16"/>
              </w:rPr>
            </w:pPr>
            <w:r>
              <w:rPr>
                <w:rFonts w:ascii="Arial;sans-serif" w:hAnsi="Arial;sans-serif"/>
                <w:b/>
                <w:color w:val="131E29"/>
                <w:sz w:val="16"/>
              </w:rPr>
              <w:t>$</w:t>
            </w:r>
          </w:p>
        </w:tc>
        <w:tc>
          <w:tcPr>
            <w:tcW w:w="75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1E29"/>
                <w:sz w:val="16"/>
              </w:rPr>
              <w:t>115,605</w:t>
            </w: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1E29"/>
                <w:sz w:val="16"/>
              </w:rPr>
            </w:pPr>
            <w:r>
              <w:rPr>
                <w:rFonts w:ascii="Arial;sans-serif" w:hAnsi="Arial;sans-serif"/>
                <w:b/>
                <w:color w:val="131E29"/>
                <w:sz w:val="16"/>
              </w:rPr>
              <w:t>$</w:t>
            </w:r>
          </w:p>
        </w:tc>
        <w:tc>
          <w:tcPr>
            <w:tcW w:w="875"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1E29"/>
                <w:sz w:val="16"/>
              </w:rPr>
              <w:t>224,080</w:t>
            </w:r>
            <w:r>
              <w:rPr>
                <w:color w:val="131E29"/>
              </w:rPr>
              <w:t> </w:t>
            </w:r>
          </w:p>
        </w:tc>
        <w:tc>
          <w:tcPr>
            <w:tcW w:w="128"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1E29"/>
                <w:sz w:val="16"/>
              </w:rPr>
            </w:pPr>
            <w:r>
              <w:rPr>
                <w:rFonts w:ascii="Arial;sans-serif" w:hAnsi="Arial;sans-serif"/>
                <w:b/>
                <w:color w:val="131E29"/>
                <w:sz w:val="16"/>
              </w:rPr>
              <w:t>$</w:t>
            </w:r>
          </w:p>
        </w:tc>
        <w:tc>
          <w:tcPr>
            <w:tcW w:w="75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1E29"/>
                <w:sz w:val="16"/>
              </w:rPr>
              <w:t>920,525</w:t>
            </w:r>
            <w:r>
              <w:rPr>
                <w:color w:val="131E29"/>
              </w:rPr>
              <w:t> </w:t>
            </w:r>
          </w:p>
        </w:tc>
        <w:tc>
          <w:tcPr>
            <w:tcW w:w="154"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37,410 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14,195 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51,605 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Unrealized loss on derivative securities, effective portion, net of income tax benefit of $17</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3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(32)</w:t>
            </w:r>
          </w:p>
        </w:tc>
        <w:tc>
          <w:tcPr>
            <w:tcW w:w="12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(19)</w:t>
            </w:r>
          </w:p>
        </w:tc>
        <w:tc>
          <w:tcPr>
            <w:tcW w:w="21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(20)</w:t>
            </w:r>
          </w:p>
        </w:tc>
        <w:tc>
          <w:tcPr>
            <w:tcW w:w="12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(71)</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Equity-based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5,324 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1,555 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6,879 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Issuance of Class A common stock pursuant to vesting of equity awards, net of stock withheld for tax withholding obligations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10 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3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(128)</w:t>
            </w:r>
          </w:p>
        </w:tc>
        <w:tc>
          <w:tcPr>
            <w:tcW w:w="12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(38)</w:t>
            </w:r>
          </w:p>
        </w:tc>
        <w:tc>
          <w:tcPr>
            <w:tcW w:w="12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(166)</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Issuance of Class A common stock for conversion of Dutch Bros OpCo Class A common units, and for surrender and cancellation of Class C common stock, pursuant to exchange transactions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10,590 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(691)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Effect of equity transactions of Dutch Bros OpCo Class A common units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3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45,556 </w:t>
            </w:r>
          </w:p>
        </w:tc>
        <w:tc>
          <w:tcPr>
            <w:tcW w:w="12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(45,556)</w:t>
            </w:r>
          </w:p>
        </w:tc>
        <w:tc>
          <w:tcPr>
            <w:tcW w:w="12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Impacts of Tax Receivable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13,096 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13,096 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Reverse Split transaction pursuant to OpCo Recapitalization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3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(33)</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(2)</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2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2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Distributions paid to non-controlling interest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(16,854)</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(16,854)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Balance, June 30, 2026</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16"/>
              </w:rPr>
              <w:t>137,893</w:t>
            </w:r>
            <w:r>
              <w:rPr>
                <w:color w:val="006098"/>
              </w:rPr>
              <w:t> </w:t>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16"/>
              </w:rPr>
            </w:pPr>
            <w:r>
              <w:rPr>
                <w:rFonts w:ascii="Arial;sans-serif" w:hAnsi="Arial;sans-serif"/>
                <w:b/>
                <w:color w:val="006098"/>
                <w:sz w:val="16"/>
              </w:rPr>
              <w:t>$</w:t>
            </w:r>
          </w:p>
        </w:tc>
        <w:tc>
          <w:tcPr>
            <w:tcW w:w="30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16"/>
              </w:rPr>
              <w:t>1</w:t>
            </w:r>
            <w:r>
              <w:rPr>
                <w:color w:val="006098"/>
              </w:rPr>
              <w:t> </w:t>
            </w:r>
          </w:p>
        </w:tc>
        <w:tc>
          <w:tcPr>
            <w:tcW w:w="13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16"/>
              </w:rPr>
              <w:t>35,178</w:t>
            </w:r>
            <w:r>
              <w:rPr>
                <w:color w:val="006098"/>
              </w:rPr>
              <w:t> </w:t>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16"/>
              </w:rPr>
            </w:pPr>
            <w:r>
              <w:rPr>
                <w:rFonts w:ascii="Arial;sans-serif" w:hAnsi="Arial;sans-serif"/>
                <w:b/>
                <w:color w:val="006098"/>
                <w:sz w:val="16"/>
              </w:rPr>
              <w:t>$</w:t>
            </w:r>
          </w:p>
        </w:tc>
        <w:tc>
          <w:tcPr>
            <w:tcW w:w="40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16"/>
              </w:rPr>
              <w:t>1,587</w:t>
            </w:r>
            <w:r>
              <w:rPr>
                <w:color w:val="006098"/>
              </w:rPr>
              <w:t> </w:t>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16"/>
              </w:rPr>
            </w:pPr>
            <w:r>
              <w:rPr>
                <w:rFonts w:ascii="Arial;sans-serif" w:hAnsi="Arial;sans-serif"/>
                <w:b/>
                <w:color w:val="006098"/>
                <w:sz w:val="16"/>
              </w:rPr>
              <w:t>$</w:t>
            </w:r>
          </w:p>
        </w:tc>
        <w:tc>
          <w:tcPr>
            <w:tcW w:w="40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16"/>
              </w:rPr>
            </w:pPr>
            <w:r>
              <w:rPr>
                <w:rFonts w:ascii="Arial;sans-serif" w:hAnsi="Arial;sans-serif"/>
                <w:b/>
                <w:color w:val="006098"/>
                <w:sz w:val="16"/>
              </w:rPr>
              <w:t>$</w:t>
            </w:r>
          </w:p>
        </w:tc>
        <w:tc>
          <w:tcPr>
            <w:tcW w:w="822"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16"/>
              </w:rPr>
              <w:t>644,589</w:t>
            </w:r>
            <w:r>
              <w:rPr>
                <w:color w:val="006098"/>
              </w:rPr>
              <w:t> </w:t>
            </w:r>
          </w:p>
        </w:tc>
        <w:tc>
          <w:tcPr>
            <w:tcW w:w="12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16"/>
              </w:rPr>
            </w:pPr>
            <w:r>
              <w:rPr>
                <w:rFonts w:ascii="Arial;sans-serif" w:hAnsi="Arial;sans-serif"/>
                <w:b/>
                <w:color w:val="006098"/>
                <w:sz w:val="16"/>
              </w:rPr>
              <w:t>$</w:t>
            </w:r>
          </w:p>
        </w:tc>
        <w:tc>
          <w:tcPr>
            <w:tcW w:w="67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16"/>
              </w:rPr>
              <w:t>47</w:t>
            </w:r>
            <w:r>
              <w:rPr>
                <w:color w:val="006098"/>
              </w:rPr>
              <w:t> </w:t>
            </w:r>
          </w:p>
        </w:tc>
        <w:tc>
          <w:tcPr>
            <w:tcW w:w="212"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16"/>
              </w:rPr>
            </w:pPr>
            <w:r>
              <w:rPr>
                <w:rFonts w:ascii="Arial;sans-serif" w:hAnsi="Arial;sans-serif"/>
                <w:b/>
                <w:color w:val="006098"/>
                <w:sz w:val="16"/>
              </w:rPr>
              <w:t>$</w:t>
            </w:r>
          </w:p>
        </w:tc>
        <w:tc>
          <w:tcPr>
            <w:tcW w:w="75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16"/>
              </w:rPr>
              <w:t>153,015</w:t>
            </w:r>
            <w:r>
              <w:rPr>
                <w:color w:val="006098"/>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16"/>
              </w:rPr>
            </w:pPr>
            <w:r>
              <w:rPr>
                <w:rFonts w:ascii="Arial;sans-serif" w:hAnsi="Arial;sans-serif"/>
                <w:b/>
                <w:color w:val="006098"/>
                <w:sz w:val="16"/>
              </w:rPr>
              <w:t>$</w:t>
            </w:r>
          </w:p>
        </w:tc>
        <w:tc>
          <w:tcPr>
            <w:tcW w:w="875"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16"/>
              </w:rPr>
              <w:t>177,362</w:t>
            </w:r>
            <w:r>
              <w:rPr>
                <w:color w:val="006098"/>
              </w:rPr>
              <w:t> </w:t>
            </w:r>
          </w:p>
        </w:tc>
        <w:tc>
          <w:tcPr>
            <w:tcW w:w="12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16"/>
              </w:rPr>
            </w:pPr>
            <w:r>
              <w:rPr>
                <w:rFonts w:ascii="Arial;sans-serif" w:hAnsi="Arial;sans-serif"/>
                <w:b/>
                <w:color w:val="006098"/>
                <w:sz w:val="16"/>
              </w:rPr>
              <w:t>$</w:t>
            </w:r>
          </w:p>
        </w:tc>
        <w:tc>
          <w:tcPr>
            <w:tcW w:w="75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16"/>
              </w:rPr>
              <w:t>975,014</w:t>
            </w:r>
            <w:r>
              <w:rPr>
                <w:color w:val="006098"/>
              </w:rPr>
              <w:t> </w:t>
            </w:r>
          </w:p>
        </w:tc>
        <w:tc>
          <w:tcPr>
            <w:tcW w:w="15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hanging="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363220"/>
                <wp:effectExtent l="0" t="0" r="0" b="0"/>
                <wp:wrapNone/>
                <wp:docPr id="20" name="Frame8"/>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8" descr=""/>
                                          <pic:cNvPicPr>
                                            <a:picLocks noChangeAspect="1" noChangeArrowheads="1"/>
                                          </pic:cNvPicPr>
                                        </pic:nvPicPr>
                                        <pic:blipFill>
                                          <a:blip r:embed="rId14"/>
                                          <a:stretch>
                                            <a:fillRect/>
                                          </a:stretch>
                                        </pic:blipFill>
                                        <pic:spPr bwMode="auto">
                                          <a:xfrm>
                                            <a:off x="0" y="0"/>
                                            <a:ext cx="190500" cy="266700"/>
                                          </a:xfrm>
                                          <a:prstGeom prst="rect">
                                            <a:avLst/>
                                          </a:prstGeom>
                                        </pic:spPr>
                                      </pic:pic>
                                    </a:graphicData>
                                  </a:graphic>
                                </wp:inline>
                              </w:drawing>
                            </w:r>
                            <w:bookmarkStart w:id="12" w:name="i-8"/>
                            <w:bookmarkEnd w:id="12"/>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8" descr=""/>
                                    <pic:cNvPicPr>
                                      <a:picLocks noChangeAspect="1" noChangeArrowheads="1"/>
                                    </pic:cNvPicPr>
                                  </pic:nvPicPr>
                                  <pic:blipFill>
                                    <a:blip r:embed="rId15"/>
                                    <a:stretch>
                                      <a:fillRect/>
                                    </a:stretch>
                                  </pic:blipFill>
                                  <pic:spPr bwMode="auto">
                                    <a:xfrm>
                                      <a:off x="0" y="0"/>
                                      <a:ext cx="190500" cy="266700"/>
                                    </a:xfrm>
                                    <a:prstGeom prst="rect">
                                      <a:avLst/>
                                    </a:prstGeom>
                                  </pic:spPr>
                                </pic:pic>
                              </a:graphicData>
                            </a:graphic>
                          </wp:inline>
                        </w:drawing>
                      </w:r>
                      <w:bookmarkStart w:id="13" w:name="i-8"/>
                      <w:bookmarkEnd w:id="13"/>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6</w:t>
                      </w:r>
                    </w:p>
                  </w:txbxContent>
                </v:textbox>
                <w10:wrap type="none"/>
              </v:rect>
            </w:pict>
          </mc:Fallback>
        </mc:AlternateContent>
      </w:r>
    </w:p>
    <w:p>
      <w:pPr>
        <w:pStyle w:val="TextBody"/>
        <w:bidi w:val="0"/>
        <w:spacing w:lineRule="auto" w:line="288" w:before="0" w:after="180"/>
        <w:jc w:val="left"/>
        <w:rPr/>
      </w:pPr>
      <w:hyperlink w:anchor="i901a725797c944a19267b6f140f14c09_16">
        <w:r>
          <w:rPr>
            <w:rStyle w:val="InternetLink"/>
            <w:rFonts w:ascii="Arial;sans-serif" w:hAnsi="Arial;sans-serif"/>
            <w:b w:val="false"/>
            <w:color w:val="006098"/>
            <w:sz w:val="16"/>
            <w:u w:val="single"/>
          </w:rPr>
          <w:t>Table of Contents</w:t>
        </w:r>
      </w:hyperlink>
    </w:p>
    <w:p>
      <w:pPr>
        <w:pStyle w:val="TextBody"/>
        <w:bidi w:val="0"/>
        <w:spacing w:lineRule="auto" w:line="288" w:before="0" w:after="60"/>
        <w:jc w:val="center"/>
        <w:rPr>
          <w:rFonts w:ascii="Arial;sans-serif" w:hAnsi="Arial;sans-serif"/>
          <w:b/>
          <w:color w:val="00416B"/>
          <w:sz w:val="28"/>
        </w:rPr>
      </w:pPr>
      <w:r>
        <w:rPr>
          <w:rFonts w:ascii="Arial;sans-serif" w:hAnsi="Arial;sans-serif"/>
          <w:b/>
          <w:color w:val="00416B"/>
          <w:sz w:val="28"/>
        </w:rPr>
        <w:t>DUTCH BROS INC.</w:t>
      </w:r>
    </w:p>
    <w:p>
      <w:pPr>
        <w:pStyle w:val="TextBody"/>
        <w:bidi w:val="0"/>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Condensed Consolidated Statements of Stockholders’ Equity</w:t>
      </w:r>
    </w:p>
    <w:p>
      <w:pPr>
        <w:pStyle w:val="TextBody"/>
        <w:bidi w:val="0"/>
        <w:spacing w:before="0" w:after="180"/>
        <w:jc w:val="center"/>
        <w:rPr/>
      </w:pPr>
      <w:r>
        <w:rPr/>
      </w:r>
    </w:p>
    <w:tbl>
      <w:tblPr>
        <w:tblW w:w="16016" w:type="dxa"/>
        <w:jc w:val="center"/>
        <w:tblInd w:w="0" w:type="dxa"/>
        <w:tblLayout w:type="fixed"/>
        <w:tblCellMar>
          <w:top w:w="28" w:type="dxa"/>
          <w:left w:w="28" w:type="dxa"/>
          <w:bottom w:w="28" w:type="dxa"/>
          <w:right w:w="28" w:type="dxa"/>
        </w:tblCellMar>
      </w:tblPr>
      <w:tblGrid>
        <w:gridCol w:w="667"/>
        <w:gridCol w:w="296"/>
        <w:gridCol w:w="298"/>
        <w:gridCol w:w="109"/>
        <w:gridCol w:w="109"/>
        <w:gridCol w:w="109"/>
        <w:gridCol w:w="109"/>
        <w:gridCol w:w="109"/>
        <w:gridCol w:w="375"/>
        <w:gridCol w:w="376"/>
        <w:gridCol w:w="211"/>
        <w:gridCol w:w="109"/>
        <w:gridCol w:w="109"/>
        <w:gridCol w:w="109"/>
        <w:gridCol w:w="230"/>
        <w:gridCol w:w="301"/>
        <w:gridCol w:w="130"/>
        <w:gridCol w:w="109"/>
        <w:gridCol w:w="109"/>
        <w:gridCol w:w="109"/>
        <w:gridCol w:w="330"/>
        <w:gridCol w:w="331"/>
        <w:gridCol w:w="211"/>
        <w:gridCol w:w="109"/>
        <w:gridCol w:w="109"/>
        <w:gridCol w:w="109"/>
        <w:gridCol w:w="196"/>
        <w:gridCol w:w="406"/>
        <w:gridCol w:w="109"/>
        <w:gridCol w:w="109"/>
        <w:gridCol w:w="109"/>
        <w:gridCol w:w="109"/>
        <w:gridCol w:w="285"/>
        <w:gridCol w:w="286"/>
        <w:gridCol w:w="211"/>
        <w:gridCol w:w="109"/>
        <w:gridCol w:w="109"/>
        <w:gridCol w:w="109"/>
        <w:gridCol w:w="196"/>
        <w:gridCol w:w="406"/>
        <w:gridCol w:w="109"/>
        <w:gridCol w:w="109"/>
        <w:gridCol w:w="109"/>
        <w:gridCol w:w="109"/>
        <w:gridCol w:w="109"/>
        <w:gridCol w:w="109"/>
        <w:gridCol w:w="109"/>
        <w:gridCol w:w="109"/>
        <w:gridCol w:w="214"/>
        <w:gridCol w:w="822"/>
        <w:gridCol w:w="120"/>
        <w:gridCol w:w="109"/>
        <w:gridCol w:w="109"/>
        <w:gridCol w:w="109"/>
        <w:gridCol w:w="379"/>
        <w:gridCol w:w="670"/>
        <w:gridCol w:w="212"/>
        <w:gridCol w:w="109"/>
        <w:gridCol w:w="109"/>
        <w:gridCol w:w="109"/>
        <w:gridCol w:w="196"/>
        <w:gridCol w:w="751"/>
        <w:gridCol w:w="109"/>
        <w:gridCol w:w="327"/>
        <w:gridCol w:w="228"/>
        <w:gridCol w:w="875"/>
        <w:gridCol w:w="128"/>
        <w:gridCol w:w="327"/>
        <w:gridCol w:w="196"/>
        <w:gridCol w:w="751"/>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647" w:type="dxa"/>
            <w:gridSpan w:val="57"/>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Six Months Ended June 30, 2026</w:t>
            </w:r>
          </w:p>
        </w:tc>
        <w:tc>
          <w:tcPr>
            <w:tcW w:w="4369" w:type="dxa"/>
            <w:gridSpan w:val="18"/>
            <w:tcBorders/>
          </w:tcPr>
          <w:p>
            <w:pPr>
              <w:pStyle w:val="TableContents"/>
              <w:bidi w:val="0"/>
              <w:spacing w:before="0" w:after="283"/>
              <w:jc w:val="left"/>
              <w:rPr>
                <w:sz w:val="4"/>
                <w:szCs w:val="4"/>
              </w:rPr>
            </w:pPr>
            <w:r>
              <w:rPr>
                <w:sz w:val="4"/>
                <w:szCs w:val="4"/>
              </w:rPr>
            </w:r>
          </w:p>
        </w:tc>
      </w:tr>
      <w:tr>
        <w:trPr/>
        <w:tc>
          <w:tcPr>
            <w:tcW w:w="126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3" w:type="dxa"/>
            <w:gridSpan w:val="4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Dutch Bros Inc.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6" w:type="dxa"/>
            <w:gridSpan w:val="12"/>
            <w:tcBorders/>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0"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6"/>
              </w:rPr>
            </w:pPr>
            <w:r>
              <w:rPr>
                <w:rFonts w:ascii="Arial;sans-serif" w:hAnsi="Arial;sans-serif"/>
                <w:b/>
                <w:color w:val="131E29"/>
                <w:sz w:val="16"/>
              </w:rPr>
              <w:t>Class A</w:t>
            </w:r>
          </w:p>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Common Stock</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6"/>
              </w:rPr>
            </w:pPr>
            <w:r>
              <w:rPr>
                <w:rFonts w:ascii="Arial;sans-serif" w:hAnsi="Arial;sans-serif"/>
                <w:b/>
                <w:color w:val="131E29"/>
                <w:sz w:val="16"/>
              </w:rPr>
              <w:t>Class B</w:t>
            </w:r>
          </w:p>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Common Stock</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6"/>
              </w:rPr>
            </w:pPr>
            <w:r>
              <w:rPr>
                <w:rFonts w:ascii="Arial;sans-serif" w:hAnsi="Arial;sans-serif"/>
                <w:b/>
                <w:color w:val="131E29"/>
                <w:sz w:val="16"/>
              </w:rPr>
              <w:t>Class C</w:t>
            </w:r>
          </w:p>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6"/>
            <w:tcBorders/>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Shares</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Shares</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Shares</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Additional Paid-in-Capital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 xml:space="preserve">Retained Earnings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 xml:space="preserve">Non-Controlling Interests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Total Equity</w:t>
            </w:r>
          </w:p>
        </w:tc>
      </w:tr>
      <w:tr>
        <w:trPr/>
        <w:tc>
          <w:tcPr>
            <w:tcW w:w="126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Balance, December 31, 2025</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127,054</w:t>
            </w:r>
            <w:r>
              <w:rPr>
                <w:color w:val="131E29"/>
              </w:rPr>
              <w:t> </w:t>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30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1</w:t>
            </w:r>
            <w:r>
              <w:rPr>
                <w:color w:val="131E29"/>
              </w:rPr>
              <w:t> </w:t>
            </w:r>
          </w:p>
        </w:tc>
        <w:tc>
          <w:tcPr>
            <w:tcW w:w="130"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35,211</w:t>
            </w:r>
            <w:r>
              <w:rPr>
                <w:color w:val="131E29"/>
              </w:rPr>
              <w:t> </w:t>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40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2,280</w:t>
            </w:r>
            <w:r>
              <w:rPr>
                <w:color w:val="131E29"/>
              </w:rPr>
              <w:t> </w:t>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40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822"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581,261</w:t>
            </w:r>
            <w:r>
              <w:rPr>
                <w:color w:val="131E29"/>
              </w:rPr>
              <w:t> </w:t>
            </w:r>
          </w:p>
        </w:tc>
        <w:tc>
          <w:tcPr>
            <w:tcW w:w="120"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670"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48</w:t>
            </w:r>
            <w:r>
              <w:rPr>
                <w:color w:val="131E29"/>
              </w:rPr>
              <w:t> </w:t>
            </w:r>
          </w:p>
        </w:tc>
        <w:tc>
          <w:tcPr>
            <w:tcW w:w="212"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75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99,508</w:t>
            </w: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875"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217,051</w:t>
            </w:r>
            <w:r>
              <w:rPr>
                <w:color w:val="131E29"/>
              </w:rPr>
              <w:t> </w:t>
            </w:r>
          </w:p>
        </w:tc>
        <w:tc>
          <w:tcPr>
            <w:tcW w:w="128"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75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897,869</w:t>
            </w:r>
            <w:r>
              <w:rPr>
                <w:color w:val="131E29"/>
              </w:rPr>
              <w:t> </w:t>
            </w:r>
          </w:p>
        </w:tc>
        <w:tc>
          <w:tcPr>
            <w:tcW w:w="154"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 xml:space="preserve">Net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53,507 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21,762 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75,269 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Unrealized loss on derivative securities, effective portion, net of income tax benefit of $11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3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(32)</w:t>
            </w:r>
          </w:p>
        </w:tc>
        <w:tc>
          <w:tcPr>
            <w:tcW w:w="12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(1)</w:t>
            </w:r>
          </w:p>
        </w:tc>
        <w:tc>
          <w:tcPr>
            <w:tcW w:w="21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(11)</w:t>
            </w:r>
          </w:p>
        </w:tc>
        <w:tc>
          <w:tcPr>
            <w:tcW w:w="12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(44)</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Equity-based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9,103 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3,054 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12,157 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Issuance of Class A common stock pursuant to vesting of equity awards, net of stock withheld for tax withholding obligations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249 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3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(4,549)</w:t>
            </w:r>
          </w:p>
        </w:tc>
        <w:tc>
          <w:tcPr>
            <w:tcW w:w="12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(1,794)</w:t>
            </w:r>
          </w:p>
        </w:tc>
        <w:tc>
          <w:tcPr>
            <w:tcW w:w="12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(6,343)</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Issuance of Class A common stock for conversion of Dutch Bros OpCo Class A common units, and for surrender and cancellation of Class C common stock, pursuant to exchange transactions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10,590 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(691)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Effect of equity transactions of Dutch Bros OpCo Class A common units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3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45,846 </w:t>
            </w:r>
          </w:p>
        </w:tc>
        <w:tc>
          <w:tcPr>
            <w:tcW w:w="12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(45,846)</w:t>
            </w:r>
          </w:p>
        </w:tc>
        <w:tc>
          <w:tcPr>
            <w:tcW w:w="12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Impacts of Tax Receivable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12,960 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12,960 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Reverse Split transaction pursuant to OpCo Recapitalization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3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(33)</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(2)</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2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2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Distributions paid to non-controlling interest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(16,854)</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(16,854)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Balance, June 30, 2026</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16"/>
              </w:rPr>
              <w:t>137,893</w:t>
            </w:r>
            <w:r>
              <w:rPr>
                <w:color w:val="006098"/>
              </w:rPr>
              <w:t> </w:t>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16"/>
              </w:rPr>
            </w:pPr>
            <w:r>
              <w:rPr>
                <w:rFonts w:ascii="Arial;sans-serif" w:hAnsi="Arial;sans-serif"/>
                <w:b/>
                <w:color w:val="006098"/>
                <w:sz w:val="16"/>
              </w:rPr>
              <w:t>$</w:t>
            </w:r>
          </w:p>
        </w:tc>
        <w:tc>
          <w:tcPr>
            <w:tcW w:w="30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16"/>
              </w:rPr>
              <w:t>1</w:t>
            </w:r>
            <w:r>
              <w:rPr>
                <w:color w:val="006098"/>
              </w:rPr>
              <w:t> </w:t>
            </w:r>
          </w:p>
        </w:tc>
        <w:tc>
          <w:tcPr>
            <w:tcW w:w="13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16"/>
              </w:rPr>
              <w:t>35,178</w:t>
            </w:r>
            <w:r>
              <w:rPr>
                <w:color w:val="006098"/>
              </w:rPr>
              <w:t> </w:t>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16"/>
              </w:rPr>
            </w:pPr>
            <w:r>
              <w:rPr>
                <w:rFonts w:ascii="Arial;sans-serif" w:hAnsi="Arial;sans-serif"/>
                <w:b/>
                <w:color w:val="006098"/>
                <w:sz w:val="16"/>
              </w:rPr>
              <w:t>$</w:t>
            </w:r>
          </w:p>
        </w:tc>
        <w:tc>
          <w:tcPr>
            <w:tcW w:w="40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16"/>
              </w:rPr>
              <w:t>1,587</w:t>
            </w:r>
            <w:r>
              <w:rPr>
                <w:color w:val="006098"/>
              </w:rPr>
              <w:t> </w:t>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16"/>
              </w:rPr>
            </w:pPr>
            <w:r>
              <w:rPr>
                <w:rFonts w:ascii="Arial;sans-serif" w:hAnsi="Arial;sans-serif"/>
                <w:b/>
                <w:color w:val="006098"/>
                <w:sz w:val="16"/>
              </w:rPr>
              <w:t>$</w:t>
            </w:r>
          </w:p>
        </w:tc>
        <w:tc>
          <w:tcPr>
            <w:tcW w:w="40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16"/>
              </w:rPr>
            </w:pPr>
            <w:r>
              <w:rPr>
                <w:rFonts w:ascii="Arial;sans-serif" w:hAnsi="Arial;sans-serif"/>
                <w:b/>
                <w:color w:val="006098"/>
                <w:sz w:val="16"/>
              </w:rPr>
              <w:t>$</w:t>
            </w:r>
          </w:p>
        </w:tc>
        <w:tc>
          <w:tcPr>
            <w:tcW w:w="822"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16"/>
              </w:rPr>
              <w:t>644,589</w:t>
            </w:r>
            <w:r>
              <w:rPr>
                <w:color w:val="006098"/>
              </w:rPr>
              <w:t> </w:t>
            </w:r>
          </w:p>
        </w:tc>
        <w:tc>
          <w:tcPr>
            <w:tcW w:w="12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16"/>
              </w:rPr>
            </w:pPr>
            <w:r>
              <w:rPr>
                <w:rFonts w:ascii="Arial;sans-serif" w:hAnsi="Arial;sans-serif"/>
                <w:b/>
                <w:color w:val="006098"/>
                <w:sz w:val="16"/>
              </w:rPr>
              <w:t>$</w:t>
            </w:r>
          </w:p>
        </w:tc>
        <w:tc>
          <w:tcPr>
            <w:tcW w:w="67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16"/>
              </w:rPr>
              <w:t>47</w:t>
            </w:r>
            <w:r>
              <w:rPr>
                <w:color w:val="006098"/>
              </w:rPr>
              <w:t> </w:t>
            </w:r>
          </w:p>
        </w:tc>
        <w:tc>
          <w:tcPr>
            <w:tcW w:w="212"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16"/>
              </w:rPr>
            </w:pPr>
            <w:r>
              <w:rPr>
                <w:rFonts w:ascii="Arial;sans-serif" w:hAnsi="Arial;sans-serif"/>
                <w:b/>
                <w:color w:val="006098"/>
                <w:sz w:val="16"/>
              </w:rPr>
              <w:t>$</w:t>
            </w:r>
          </w:p>
        </w:tc>
        <w:tc>
          <w:tcPr>
            <w:tcW w:w="75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16"/>
              </w:rPr>
              <w:t>153,015</w:t>
            </w:r>
            <w:r>
              <w:rPr>
                <w:color w:val="006098"/>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16"/>
              </w:rPr>
            </w:pPr>
            <w:r>
              <w:rPr>
                <w:rFonts w:ascii="Arial;sans-serif" w:hAnsi="Arial;sans-serif"/>
                <w:b/>
                <w:color w:val="006098"/>
                <w:sz w:val="16"/>
              </w:rPr>
              <w:t>$</w:t>
            </w:r>
          </w:p>
        </w:tc>
        <w:tc>
          <w:tcPr>
            <w:tcW w:w="875"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16"/>
              </w:rPr>
              <w:t>177,362</w:t>
            </w:r>
            <w:r>
              <w:rPr>
                <w:color w:val="006098"/>
              </w:rPr>
              <w:t> </w:t>
            </w:r>
          </w:p>
        </w:tc>
        <w:tc>
          <w:tcPr>
            <w:tcW w:w="12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16"/>
              </w:rPr>
            </w:pPr>
            <w:r>
              <w:rPr>
                <w:rFonts w:ascii="Arial;sans-serif" w:hAnsi="Arial;sans-serif"/>
                <w:b/>
                <w:color w:val="006098"/>
                <w:sz w:val="16"/>
              </w:rPr>
              <w:t>$</w:t>
            </w:r>
          </w:p>
        </w:tc>
        <w:tc>
          <w:tcPr>
            <w:tcW w:w="75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16"/>
              </w:rPr>
              <w:t>975,014</w:t>
            </w:r>
            <w:r>
              <w:rPr>
                <w:color w:val="006098"/>
              </w:rPr>
              <w:t> </w:t>
            </w:r>
          </w:p>
        </w:tc>
        <w:tc>
          <w:tcPr>
            <w:tcW w:w="15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hanging="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363220"/>
                <wp:effectExtent l="0" t="0" r="0" b="0"/>
                <wp:wrapNone/>
                <wp:docPr id="23" name="Frame9"/>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9" descr=""/>
                                          <pic:cNvPicPr>
                                            <a:picLocks noChangeAspect="1" noChangeArrowheads="1"/>
                                          </pic:cNvPicPr>
                                        </pic:nvPicPr>
                                        <pic:blipFill>
                                          <a:blip r:embed="rId16"/>
                                          <a:stretch>
                                            <a:fillRect/>
                                          </a:stretch>
                                        </pic:blipFill>
                                        <pic:spPr bwMode="auto">
                                          <a:xfrm>
                                            <a:off x="0" y="0"/>
                                            <a:ext cx="190500" cy="266700"/>
                                          </a:xfrm>
                                          <a:prstGeom prst="rect">
                                            <a:avLst/>
                                          </a:prstGeom>
                                        </pic:spPr>
                                      </pic:pic>
                                    </a:graphicData>
                                  </a:graphic>
                                </wp:inline>
                              </w:drawing>
                            </w:r>
                            <w:bookmarkStart w:id="14" w:name="i-9"/>
                            <w:bookmarkEnd w:id="14"/>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9" descr=""/>
                                    <pic:cNvPicPr>
                                      <a:picLocks noChangeAspect="1" noChangeArrowheads="1"/>
                                    </pic:cNvPicPr>
                                  </pic:nvPicPr>
                                  <pic:blipFill>
                                    <a:blip r:embed="rId17"/>
                                    <a:stretch>
                                      <a:fillRect/>
                                    </a:stretch>
                                  </pic:blipFill>
                                  <pic:spPr bwMode="auto">
                                    <a:xfrm>
                                      <a:off x="0" y="0"/>
                                      <a:ext cx="190500" cy="266700"/>
                                    </a:xfrm>
                                    <a:prstGeom prst="rect">
                                      <a:avLst/>
                                    </a:prstGeom>
                                  </pic:spPr>
                                </pic:pic>
                              </a:graphicData>
                            </a:graphic>
                          </wp:inline>
                        </w:drawing>
                      </w:r>
                      <w:bookmarkStart w:id="15" w:name="i-9"/>
                      <w:bookmarkEnd w:id="15"/>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7</w:t>
                      </w:r>
                    </w:p>
                  </w:txbxContent>
                </v:textbox>
                <w10:wrap type="none"/>
              </v:rect>
            </w:pict>
          </mc:Fallback>
        </mc:AlternateContent>
      </w:r>
    </w:p>
    <w:p>
      <w:pPr>
        <w:pStyle w:val="TextBody"/>
        <w:bidi w:val="0"/>
        <w:spacing w:lineRule="auto" w:line="288" w:before="0" w:after="180"/>
        <w:jc w:val="left"/>
        <w:rPr/>
      </w:pPr>
      <w:hyperlink w:anchor="i901a725797c944a19267b6f140f14c09_16">
        <w:r>
          <w:rPr>
            <w:rStyle w:val="InternetLink"/>
            <w:rFonts w:ascii="Arial;sans-serif" w:hAnsi="Arial;sans-serif"/>
            <w:b w:val="false"/>
            <w:color w:val="006098"/>
            <w:sz w:val="16"/>
            <w:u w:val="single"/>
          </w:rPr>
          <w:t>Table of Contents</w:t>
        </w:r>
      </w:hyperlink>
    </w:p>
    <w:p>
      <w:pPr>
        <w:pStyle w:val="TextBody"/>
        <w:bidi w:val="0"/>
        <w:spacing w:lineRule="auto" w:line="288" w:before="0" w:after="60"/>
        <w:jc w:val="center"/>
        <w:rPr>
          <w:rFonts w:ascii="Arial;sans-serif" w:hAnsi="Arial;sans-serif"/>
          <w:b/>
          <w:color w:val="00416B"/>
          <w:sz w:val="28"/>
        </w:rPr>
      </w:pPr>
      <w:r>
        <w:rPr>
          <w:rFonts w:ascii="Arial;sans-serif" w:hAnsi="Arial;sans-serif"/>
          <w:b/>
          <w:color w:val="00416B"/>
          <w:sz w:val="28"/>
        </w:rPr>
        <w:t>DUTCH BROS INC.</w:t>
      </w:r>
    </w:p>
    <w:p>
      <w:pPr>
        <w:pStyle w:val="TextBody"/>
        <w:bidi w:val="0"/>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Condensed Consolidated Statements of Stockholders’ Equity (continued)</w:t>
      </w:r>
    </w:p>
    <w:p>
      <w:pPr>
        <w:pStyle w:val="TextBody"/>
        <w:bidi w:val="0"/>
        <w:spacing w:before="0" w:after="60"/>
        <w:jc w:val="center"/>
        <w:rPr/>
      </w:pPr>
      <w:r>
        <w:rPr/>
      </w:r>
    </w:p>
    <w:tbl>
      <w:tblPr>
        <w:tblW w:w="15778" w:type="dxa"/>
        <w:jc w:val="center"/>
        <w:tblInd w:w="0" w:type="dxa"/>
        <w:tblLayout w:type="fixed"/>
        <w:tblCellMar>
          <w:top w:w="28" w:type="dxa"/>
          <w:left w:w="28" w:type="dxa"/>
          <w:bottom w:w="28" w:type="dxa"/>
          <w:right w:w="28" w:type="dxa"/>
        </w:tblCellMar>
      </w:tblPr>
      <w:tblGrid>
        <w:gridCol w:w="592"/>
        <w:gridCol w:w="296"/>
        <w:gridCol w:w="298"/>
        <w:gridCol w:w="109"/>
        <w:gridCol w:w="109"/>
        <w:gridCol w:w="109"/>
        <w:gridCol w:w="375"/>
        <w:gridCol w:w="376"/>
        <w:gridCol w:w="211"/>
        <w:gridCol w:w="109"/>
        <w:gridCol w:w="109"/>
        <w:gridCol w:w="109"/>
        <w:gridCol w:w="230"/>
        <w:gridCol w:w="301"/>
        <w:gridCol w:w="130"/>
        <w:gridCol w:w="109"/>
        <w:gridCol w:w="109"/>
        <w:gridCol w:w="109"/>
        <w:gridCol w:w="330"/>
        <w:gridCol w:w="331"/>
        <w:gridCol w:w="211"/>
        <w:gridCol w:w="109"/>
        <w:gridCol w:w="109"/>
        <w:gridCol w:w="109"/>
        <w:gridCol w:w="196"/>
        <w:gridCol w:w="406"/>
        <w:gridCol w:w="109"/>
        <w:gridCol w:w="109"/>
        <w:gridCol w:w="109"/>
        <w:gridCol w:w="109"/>
        <w:gridCol w:w="285"/>
        <w:gridCol w:w="286"/>
        <w:gridCol w:w="211"/>
        <w:gridCol w:w="109"/>
        <w:gridCol w:w="109"/>
        <w:gridCol w:w="109"/>
        <w:gridCol w:w="196"/>
        <w:gridCol w:w="406"/>
        <w:gridCol w:w="109"/>
        <w:gridCol w:w="109"/>
        <w:gridCol w:w="109"/>
        <w:gridCol w:w="109"/>
        <w:gridCol w:w="109"/>
        <w:gridCol w:w="109"/>
        <w:gridCol w:w="109"/>
        <w:gridCol w:w="109"/>
        <w:gridCol w:w="214"/>
        <w:gridCol w:w="822"/>
        <w:gridCol w:w="120"/>
        <w:gridCol w:w="109"/>
        <w:gridCol w:w="109"/>
        <w:gridCol w:w="109"/>
        <w:gridCol w:w="333"/>
        <w:gridCol w:w="741"/>
        <w:gridCol w:w="187"/>
        <w:gridCol w:w="109"/>
        <w:gridCol w:w="109"/>
        <w:gridCol w:w="109"/>
        <w:gridCol w:w="225"/>
        <w:gridCol w:w="760"/>
        <w:gridCol w:w="126"/>
        <w:gridCol w:w="109"/>
        <w:gridCol w:w="109"/>
        <w:gridCol w:w="109"/>
        <w:gridCol w:w="228"/>
        <w:gridCol w:w="875"/>
        <w:gridCol w:w="128"/>
        <w:gridCol w:w="327"/>
        <w:gridCol w:w="196"/>
        <w:gridCol w:w="751"/>
        <w:gridCol w:w="154"/>
      </w:tblGrid>
      <w:tr>
        <w:trPr/>
        <w:tc>
          <w:tcPr>
            <w:tcW w:w="59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792" w:type="dxa"/>
            <w:gridSpan w:val="6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June 30, 2025</w:t>
            </w:r>
          </w:p>
        </w:tc>
        <w:tc>
          <w:tcPr>
            <w:tcW w:w="2986" w:type="dxa"/>
            <w:gridSpan w:val="12"/>
            <w:tcBorders/>
          </w:tcPr>
          <w:p>
            <w:pPr>
              <w:pStyle w:val="TableContents"/>
              <w:bidi w:val="0"/>
              <w:spacing w:before="0" w:after="283"/>
              <w:jc w:val="left"/>
              <w:rPr>
                <w:sz w:val="4"/>
                <w:szCs w:val="4"/>
              </w:rPr>
            </w:pPr>
            <w:r>
              <w:rPr>
                <w:sz w:val="4"/>
                <w:szCs w:val="4"/>
              </w:rPr>
            </w:r>
          </w:p>
        </w:tc>
      </w:tr>
      <w:tr>
        <w:trPr/>
        <w:tc>
          <w:tcPr>
            <w:tcW w:w="1186"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3" w:type="dxa"/>
            <w:gridSpan w:val="4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6"/>
              </w:rPr>
            </w:pPr>
            <w:r>
              <w:rPr>
                <w:rFonts w:ascii="Arial;sans-serif" w:hAnsi="Arial;sans-serif"/>
                <w:b/>
                <w:color w:val="131E29"/>
                <w:sz w:val="16"/>
              </w:rPr>
              <w:t>Dutch Bros Inc.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6" w:type="dxa"/>
            <w:gridSpan w:val="12"/>
            <w:tcBorders/>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6"/>
              </w:rPr>
            </w:pPr>
            <w:r>
              <w:rPr>
                <w:rFonts w:ascii="Arial;sans-serif" w:hAnsi="Arial;sans-serif"/>
                <w:b/>
                <w:color w:val="131E29"/>
                <w:sz w:val="16"/>
              </w:rPr>
              <w:t>Class A</w:t>
            </w:r>
          </w:p>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Common Stock</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6"/>
              </w:rPr>
            </w:pPr>
            <w:r>
              <w:rPr>
                <w:rFonts w:ascii="Arial;sans-serif" w:hAnsi="Arial;sans-serif"/>
                <w:b/>
                <w:color w:val="131E29"/>
                <w:sz w:val="16"/>
              </w:rPr>
              <w:t>Class B</w:t>
            </w:r>
          </w:p>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Common Stock</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6"/>
              </w:rPr>
            </w:pPr>
            <w:r>
              <w:rPr>
                <w:rFonts w:ascii="Arial;sans-serif" w:hAnsi="Arial;sans-serif"/>
                <w:b/>
                <w:color w:val="131E29"/>
                <w:sz w:val="16"/>
              </w:rPr>
              <w:t>Class C</w:t>
            </w:r>
          </w:p>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Common Stock</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6"/>
            <w:tcBorders/>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Shares</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Shares</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Shares</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Additional Paid-in-Capital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Retained Earnings (Accumulated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 xml:space="preserve">Non-Controlling Interests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Total Equity</w:t>
            </w:r>
          </w:p>
        </w:tc>
      </w:tr>
      <w:tr>
        <w:trPr/>
        <w:tc>
          <w:tcPr>
            <w:tcW w:w="118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Balance, March 31, 2025</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125,174</w:t>
            </w:r>
            <w:r>
              <w:rPr>
                <w:color w:val="131E29"/>
              </w:rPr>
              <w:t> </w:t>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30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1</w:t>
            </w:r>
            <w:r>
              <w:rPr>
                <w:color w:val="131E29"/>
              </w:rPr>
              <w:t> </w:t>
            </w:r>
          </w:p>
        </w:tc>
        <w:tc>
          <w:tcPr>
            <w:tcW w:w="130"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35,211</w:t>
            </w:r>
            <w:r>
              <w:rPr>
                <w:color w:val="131E29"/>
              </w:rPr>
              <w:t> </w:t>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40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2,347</w:t>
            </w:r>
            <w:r>
              <w:rPr>
                <w:color w:val="131E29"/>
              </w:rPr>
              <w:t> </w:t>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40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822"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563,600</w:t>
            </w:r>
            <w:r>
              <w:rPr>
                <w:color w:val="131E29"/>
              </w:rPr>
              <w:t> </w:t>
            </w:r>
          </w:p>
        </w:tc>
        <w:tc>
          <w:tcPr>
            <w:tcW w:w="120"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74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438</w:t>
            </w:r>
            <w:r>
              <w:rPr>
                <w:color w:val="131E29"/>
              </w:rPr>
              <w:t> </w:t>
            </w:r>
          </w:p>
        </w:tc>
        <w:tc>
          <w:tcPr>
            <w:tcW w:w="187"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760"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35,019</w:t>
            </w:r>
            <w:r>
              <w:rPr>
                <w:color w:val="131E29"/>
              </w:rPr>
              <w:t> </w:t>
            </w:r>
          </w:p>
        </w:tc>
        <w:tc>
          <w:tcPr>
            <w:tcW w:w="126"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875"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197,244</w:t>
            </w:r>
            <w:r>
              <w:rPr>
                <w:color w:val="131E29"/>
              </w:rPr>
              <w:t> </w:t>
            </w:r>
          </w:p>
        </w:tc>
        <w:tc>
          <w:tcPr>
            <w:tcW w:w="128"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75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796,302</w:t>
            </w:r>
            <w:r>
              <w:rPr>
                <w:color w:val="131E29"/>
              </w:rPr>
              <w:t> </w:t>
            </w:r>
          </w:p>
        </w:tc>
        <w:tc>
          <w:tcPr>
            <w:tcW w:w="154"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25,624 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12,733 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38,357 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Unrealized loss on derivative securities, effective portion, net of income tax benefit of $54</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(12)</w:t>
            </w:r>
          </w:p>
        </w:tc>
        <w:tc>
          <w:tcPr>
            <w:tcW w:w="12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(154)</w:t>
            </w:r>
          </w:p>
        </w:tc>
        <w:tc>
          <w:tcPr>
            <w:tcW w:w="18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(87)</w:t>
            </w:r>
          </w:p>
        </w:tc>
        <w:tc>
          <w:tcPr>
            <w:tcW w:w="12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(253)</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Equity-based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3,341 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1,330 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4,671 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Issuance of Class A common stock pursuant to vesting of equity awards, net of stock withheld for tax withholding obligations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8 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8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Issuance of Class A common stock in exchange for surrender and conversion of Dutch Bros OpCo Class A common units for surrender and cancellation of Class C common stock, pursuant to exchange transactions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1,750 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Effect of equity transactions of Dutch Bros OpCo Class A common units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6,592 </w:t>
            </w:r>
          </w:p>
        </w:tc>
        <w:tc>
          <w:tcPr>
            <w:tcW w:w="12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8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(6,592)</w:t>
            </w:r>
          </w:p>
        </w:tc>
        <w:tc>
          <w:tcPr>
            <w:tcW w:w="12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Impacts of Tax Receivable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1,719 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1,719 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Distributions paid to non-controlling interest holders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8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(6,867)</w:t>
            </w:r>
          </w:p>
        </w:tc>
        <w:tc>
          <w:tcPr>
            <w:tcW w:w="12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(6,867)</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Balance,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126,932</w:t>
            </w:r>
            <w:r>
              <w:rPr>
                <w:color w:val="131E29"/>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1</w:t>
            </w:r>
            <w:r>
              <w:rPr>
                <w:color w:val="131E29"/>
              </w:rPr>
              <w:t>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35,211</w:t>
            </w:r>
            <w:r>
              <w:rPr>
                <w:color w:val="131E29"/>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2,347</w:t>
            </w:r>
            <w:r>
              <w:rPr>
                <w:color w:val="131E29"/>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8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575,240</w:t>
            </w:r>
            <w:r>
              <w:rPr>
                <w:color w:val="131E29"/>
              </w:rPr>
              <w:t>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7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284</w:t>
            </w:r>
            <w:r>
              <w:rPr>
                <w:color w:val="131E29"/>
              </w:rPr>
              <w:t>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7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60,643</w:t>
            </w:r>
            <w:r>
              <w:rPr>
                <w:color w:val="131E29"/>
              </w:rPr>
              <w:t>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8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197,761</w:t>
            </w:r>
            <w:r>
              <w:rPr>
                <w:color w:val="131E29"/>
              </w:rPr>
              <w:t>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833,929</w:t>
            </w:r>
            <w:r>
              <w:rPr>
                <w:color w:val="131E29"/>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180"/>
        <w:jc w:val="center"/>
        <w:rPr>
          <w:rFonts w:ascii="Arial;sans-serif" w:hAnsi="Arial;sans-serif"/>
          <w:b w:val="false"/>
          <w:color w:val="131E29"/>
          <w:sz w:val="20"/>
        </w:rPr>
      </w:pPr>
      <w:r>
        <w:rPr>
          <w:rFonts w:ascii="Arial;sans-serif" w:hAnsi="Arial;sans-serif"/>
          <w:b w:val="false"/>
          <w:color w:val="131E29"/>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363220"/>
                <wp:effectExtent l="0" t="0" r="0" b="0"/>
                <wp:wrapNone/>
                <wp:docPr id="26" name="Frame10"/>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0" descr=""/>
                                          <pic:cNvPicPr>
                                            <a:picLocks noChangeAspect="1" noChangeArrowheads="1"/>
                                          </pic:cNvPicPr>
                                        </pic:nvPicPr>
                                        <pic:blipFill>
                                          <a:blip r:embed="rId18"/>
                                          <a:stretch>
                                            <a:fillRect/>
                                          </a:stretch>
                                        </pic:blipFill>
                                        <pic:spPr bwMode="auto">
                                          <a:xfrm>
                                            <a:off x="0" y="0"/>
                                            <a:ext cx="190500" cy="266700"/>
                                          </a:xfrm>
                                          <a:prstGeom prst="rect">
                                            <a:avLst/>
                                          </a:prstGeom>
                                        </pic:spPr>
                                      </pic:pic>
                                    </a:graphicData>
                                  </a:graphic>
                                </wp:inline>
                              </w:drawing>
                            </w:r>
                            <w:bookmarkStart w:id="16" w:name="i-10"/>
                            <w:bookmarkEnd w:id="16"/>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0" descr=""/>
                                    <pic:cNvPicPr>
                                      <a:picLocks noChangeAspect="1" noChangeArrowheads="1"/>
                                    </pic:cNvPicPr>
                                  </pic:nvPicPr>
                                  <pic:blipFill>
                                    <a:blip r:embed="rId19"/>
                                    <a:stretch>
                                      <a:fillRect/>
                                    </a:stretch>
                                  </pic:blipFill>
                                  <pic:spPr bwMode="auto">
                                    <a:xfrm>
                                      <a:off x="0" y="0"/>
                                      <a:ext cx="190500" cy="266700"/>
                                    </a:xfrm>
                                    <a:prstGeom prst="rect">
                                      <a:avLst/>
                                    </a:prstGeom>
                                  </pic:spPr>
                                </pic:pic>
                              </a:graphicData>
                            </a:graphic>
                          </wp:inline>
                        </w:drawing>
                      </w:r>
                      <w:bookmarkStart w:id="17" w:name="i-10"/>
                      <w:bookmarkEnd w:id="17"/>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8</w:t>
                      </w:r>
                    </w:p>
                  </w:txbxContent>
                </v:textbox>
                <w10:wrap type="none"/>
              </v:rect>
            </w:pict>
          </mc:Fallback>
        </mc:AlternateContent>
      </w:r>
    </w:p>
    <w:p>
      <w:pPr>
        <w:pStyle w:val="TextBody"/>
        <w:bidi w:val="0"/>
        <w:spacing w:lineRule="auto" w:line="288" w:before="0" w:after="180"/>
        <w:jc w:val="left"/>
        <w:rPr/>
      </w:pPr>
      <w:hyperlink w:anchor="i901a725797c944a19267b6f140f14c09_16">
        <w:r>
          <w:rPr>
            <w:rStyle w:val="InternetLink"/>
            <w:rFonts w:ascii="Arial;sans-serif" w:hAnsi="Arial;sans-serif"/>
            <w:b w:val="false"/>
            <w:color w:val="006098"/>
            <w:sz w:val="16"/>
            <w:u w:val="single"/>
          </w:rPr>
          <w:t>Table of Contents</w:t>
        </w:r>
      </w:hyperlink>
    </w:p>
    <w:p>
      <w:pPr>
        <w:pStyle w:val="TextBody"/>
        <w:bidi w:val="0"/>
        <w:spacing w:lineRule="auto" w:line="288" w:before="0" w:after="60"/>
        <w:jc w:val="center"/>
        <w:rPr>
          <w:rFonts w:ascii="Arial;sans-serif" w:hAnsi="Arial;sans-serif"/>
          <w:b/>
          <w:color w:val="00416B"/>
          <w:sz w:val="28"/>
        </w:rPr>
      </w:pPr>
      <w:r>
        <w:rPr>
          <w:rFonts w:ascii="Arial;sans-serif" w:hAnsi="Arial;sans-serif"/>
          <w:b/>
          <w:color w:val="00416B"/>
          <w:sz w:val="28"/>
        </w:rPr>
        <w:t>DUTCH BROS INC.</w:t>
      </w:r>
    </w:p>
    <w:p>
      <w:pPr>
        <w:pStyle w:val="TextBody"/>
        <w:bidi w:val="0"/>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Condensed Consolidated Statements of Stockholders’ Equity (continued)</w:t>
      </w:r>
    </w:p>
    <w:tbl>
      <w:tblPr>
        <w:tblW w:w="15853" w:type="dxa"/>
        <w:jc w:val="center"/>
        <w:tblInd w:w="0" w:type="dxa"/>
        <w:tblLayout w:type="fixed"/>
        <w:tblCellMar>
          <w:top w:w="28" w:type="dxa"/>
          <w:left w:w="28" w:type="dxa"/>
          <w:bottom w:w="28" w:type="dxa"/>
          <w:right w:w="28" w:type="dxa"/>
        </w:tblCellMar>
      </w:tblPr>
      <w:tblGrid>
        <w:gridCol w:w="667"/>
        <w:gridCol w:w="296"/>
        <w:gridCol w:w="298"/>
        <w:gridCol w:w="109"/>
        <w:gridCol w:w="109"/>
        <w:gridCol w:w="109"/>
        <w:gridCol w:w="375"/>
        <w:gridCol w:w="376"/>
        <w:gridCol w:w="211"/>
        <w:gridCol w:w="109"/>
        <w:gridCol w:w="109"/>
        <w:gridCol w:w="109"/>
        <w:gridCol w:w="230"/>
        <w:gridCol w:w="301"/>
        <w:gridCol w:w="130"/>
        <w:gridCol w:w="109"/>
        <w:gridCol w:w="109"/>
        <w:gridCol w:w="109"/>
        <w:gridCol w:w="330"/>
        <w:gridCol w:w="331"/>
        <w:gridCol w:w="211"/>
        <w:gridCol w:w="109"/>
        <w:gridCol w:w="109"/>
        <w:gridCol w:w="109"/>
        <w:gridCol w:w="196"/>
        <w:gridCol w:w="406"/>
        <w:gridCol w:w="109"/>
        <w:gridCol w:w="109"/>
        <w:gridCol w:w="109"/>
        <w:gridCol w:w="109"/>
        <w:gridCol w:w="285"/>
        <w:gridCol w:w="286"/>
        <w:gridCol w:w="211"/>
        <w:gridCol w:w="109"/>
        <w:gridCol w:w="109"/>
        <w:gridCol w:w="109"/>
        <w:gridCol w:w="196"/>
        <w:gridCol w:w="406"/>
        <w:gridCol w:w="109"/>
        <w:gridCol w:w="109"/>
        <w:gridCol w:w="109"/>
        <w:gridCol w:w="109"/>
        <w:gridCol w:w="109"/>
        <w:gridCol w:w="109"/>
        <w:gridCol w:w="109"/>
        <w:gridCol w:w="109"/>
        <w:gridCol w:w="214"/>
        <w:gridCol w:w="822"/>
        <w:gridCol w:w="120"/>
        <w:gridCol w:w="109"/>
        <w:gridCol w:w="109"/>
        <w:gridCol w:w="109"/>
        <w:gridCol w:w="333"/>
        <w:gridCol w:w="741"/>
        <w:gridCol w:w="187"/>
        <w:gridCol w:w="109"/>
        <w:gridCol w:w="109"/>
        <w:gridCol w:w="109"/>
        <w:gridCol w:w="225"/>
        <w:gridCol w:w="760"/>
        <w:gridCol w:w="126"/>
        <w:gridCol w:w="109"/>
        <w:gridCol w:w="109"/>
        <w:gridCol w:w="109"/>
        <w:gridCol w:w="228"/>
        <w:gridCol w:w="875"/>
        <w:gridCol w:w="128"/>
        <w:gridCol w:w="327"/>
        <w:gridCol w:w="196"/>
        <w:gridCol w:w="751"/>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867" w:type="dxa"/>
            <w:gridSpan w:val="6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Six Months Ended June 30, 2025</w:t>
            </w:r>
          </w:p>
        </w:tc>
        <w:tc>
          <w:tcPr>
            <w:tcW w:w="2986" w:type="dxa"/>
            <w:gridSpan w:val="12"/>
            <w:tcBorders/>
          </w:tcPr>
          <w:p>
            <w:pPr>
              <w:pStyle w:val="TableContents"/>
              <w:bidi w:val="0"/>
              <w:spacing w:before="0" w:after="283"/>
              <w:jc w:val="left"/>
              <w:rPr>
                <w:sz w:val="4"/>
                <w:szCs w:val="4"/>
              </w:rPr>
            </w:pPr>
            <w:r>
              <w:rPr>
                <w:sz w:val="4"/>
                <w:szCs w:val="4"/>
              </w:rPr>
            </w:r>
          </w:p>
        </w:tc>
      </w:tr>
      <w:tr>
        <w:trPr/>
        <w:tc>
          <w:tcPr>
            <w:tcW w:w="126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3" w:type="dxa"/>
            <w:gridSpan w:val="4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6"/>
              </w:rPr>
            </w:pPr>
            <w:r>
              <w:rPr>
                <w:rFonts w:ascii="Arial;sans-serif" w:hAnsi="Arial;sans-serif"/>
                <w:b/>
                <w:color w:val="131E29"/>
                <w:sz w:val="16"/>
              </w:rPr>
              <w:t>Dutch Bros Inc.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6" w:type="dxa"/>
            <w:gridSpan w:val="12"/>
            <w:tcBorders/>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6"/>
              </w:rPr>
            </w:pPr>
            <w:r>
              <w:rPr>
                <w:rFonts w:ascii="Arial;sans-serif" w:hAnsi="Arial;sans-serif"/>
                <w:b/>
                <w:color w:val="131E29"/>
                <w:sz w:val="16"/>
              </w:rPr>
              <w:t>Class A</w:t>
            </w:r>
          </w:p>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Common Stock</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6"/>
              </w:rPr>
            </w:pPr>
            <w:r>
              <w:rPr>
                <w:rFonts w:ascii="Arial;sans-serif" w:hAnsi="Arial;sans-serif"/>
                <w:b/>
                <w:color w:val="131E29"/>
                <w:sz w:val="16"/>
              </w:rPr>
              <w:t>Class B</w:t>
            </w:r>
          </w:p>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Common Stock</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6"/>
              </w:rPr>
            </w:pPr>
            <w:r>
              <w:rPr>
                <w:rFonts w:ascii="Arial;sans-serif" w:hAnsi="Arial;sans-serif"/>
                <w:b/>
                <w:color w:val="131E29"/>
                <w:sz w:val="16"/>
              </w:rPr>
              <w:t>Class C</w:t>
            </w:r>
          </w:p>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6"/>
            <w:tcBorders/>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Shares</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Shares</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Shares</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Additional Paid-in-Capital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Retained Earnings (Accumulated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 xml:space="preserve">Non-Controlling Interests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Total Equity</w:t>
            </w:r>
          </w:p>
        </w:tc>
      </w:tr>
      <w:tr>
        <w:trPr/>
        <w:tc>
          <w:tcPr>
            <w:tcW w:w="126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Balance, December 31, 2024</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115,432</w:t>
            </w:r>
            <w:r>
              <w:rPr>
                <w:color w:val="131E29"/>
              </w:rPr>
              <w:t> </w:t>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30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1</w:t>
            </w:r>
            <w:r>
              <w:rPr>
                <w:color w:val="131E29"/>
              </w:rPr>
              <w:t> </w:t>
            </w:r>
          </w:p>
        </w:tc>
        <w:tc>
          <w:tcPr>
            <w:tcW w:w="130"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35,227</w:t>
            </w:r>
            <w:r>
              <w:rPr>
                <w:color w:val="131E29"/>
              </w:rPr>
              <w:t> </w:t>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40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3,545</w:t>
            </w:r>
            <w:r>
              <w:rPr>
                <w:color w:val="131E29"/>
              </w:rPr>
              <w:t> </w:t>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40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822"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517,074</w:t>
            </w:r>
            <w:r>
              <w:rPr>
                <w:color w:val="131E29"/>
              </w:rPr>
              <w:t> </w:t>
            </w:r>
          </w:p>
        </w:tc>
        <w:tc>
          <w:tcPr>
            <w:tcW w:w="120"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74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628</w:t>
            </w:r>
            <w:r>
              <w:rPr>
                <w:color w:val="131E29"/>
              </w:rPr>
              <w:t> </w:t>
            </w:r>
          </w:p>
        </w:tc>
        <w:tc>
          <w:tcPr>
            <w:tcW w:w="187"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760"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19,666</w:t>
            </w:r>
            <w:r>
              <w:rPr>
                <w:color w:val="131E29"/>
              </w:rPr>
              <w:t> </w:t>
            </w:r>
          </w:p>
        </w:tc>
        <w:tc>
          <w:tcPr>
            <w:tcW w:w="126"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875"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226,496</w:t>
            </w:r>
            <w:r>
              <w:rPr>
                <w:color w:val="131E29"/>
              </w:rPr>
              <w:t> </w:t>
            </w:r>
          </w:p>
        </w:tc>
        <w:tc>
          <w:tcPr>
            <w:tcW w:w="128"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75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763,865</w:t>
            </w:r>
            <w:r>
              <w:rPr>
                <w:color w:val="131E29"/>
              </w:rPr>
              <w:t> </w:t>
            </w:r>
          </w:p>
        </w:tc>
        <w:tc>
          <w:tcPr>
            <w:tcW w:w="154"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40,977 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19,860 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60,837 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Unrealized gain (loss) on derivative securities, effective portion, net of income tax benefit of $147</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(108)</w:t>
            </w:r>
          </w:p>
        </w:tc>
        <w:tc>
          <w:tcPr>
            <w:tcW w:w="12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(344)</w:t>
            </w:r>
          </w:p>
        </w:tc>
        <w:tc>
          <w:tcPr>
            <w:tcW w:w="18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(246)</w:t>
            </w:r>
          </w:p>
        </w:tc>
        <w:tc>
          <w:tcPr>
            <w:tcW w:w="12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(698)</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Equity-based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6,241 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2,624 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8,865 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Issuance of Class A common stock pursuant to vesting of equity awards, net of stock withheld for tax withholding obligations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303 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(7,771)</w:t>
            </w:r>
          </w:p>
        </w:tc>
        <w:tc>
          <w:tcPr>
            <w:tcW w:w="12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8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(3,247)</w:t>
            </w:r>
          </w:p>
        </w:tc>
        <w:tc>
          <w:tcPr>
            <w:tcW w:w="12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(11,018)</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Issuance of Class A common stock in exchange for surrender and conversion of Dutch Bros OpCo Class A common units for surrender and cancellation of Class C common stock, pursuant to exchange transactions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11,197 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(1,197)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Effect of exchange transactions of Dutch Bros OpCo Class A common units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40,859 </w:t>
            </w:r>
          </w:p>
        </w:tc>
        <w:tc>
          <w:tcPr>
            <w:tcW w:w="12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8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(40,859)</w:t>
            </w:r>
          </w:p>
        </w:tc>
        <w:tc>
          <w:tcPr>
            <w:tcW w:w="12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Impacts of Tax Receivable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18,945 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18,945 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Reverse Split transaction pursuant to OpCo Recapitalization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(16)</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8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Distributions paid to non-controlling interest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(6,867)</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(6,867)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Balance, June 30, 2025</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126,932</w:t>
            </w:r>
            <w:r>
              <w:rPr>
                <w:color w:val="131E29"/>
              </w:rPr>
              <w:t> </w:t>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30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1</w:t>
            </w:r>
            <w:r>
              <w:rPr>
                <w:color w:val="131E29"/>
              </w:rPr>
              <w:t> </w:t>
            </w:r>
          </w:p>
        </w:tc>
        <w:tc>
          <w:tcPr>
            <w:tcW w:w="13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35,211</w:t>
            </w:r>
            <w:r>
              <w:rPr>
                <w:color w:val="131E29"/>
              </w:rPr>
              <w:t> </w:t>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40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2,347</w:t>
            </w:r>
            <w:r>
              <w:rPr>
                <w:color w:val="131E29"/>
              </w:rPr>
              <w:t> </w:t>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40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822"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575,240</w:t>
            </w:r>
            <w:r>
              <w:rPr>
                <w:color w:val="131E29"/>
              </w:rPr>
              <w:t> </w:t>
            </w:r>
          </w:p>
        </w:tc>
        <w:tc>
          <w:tcPr>
            <w:tcW w:w="12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74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284</w:t>
            </w:r>
            <w:r>
              <w:rPr>
                <w:color w:val="131E29"/>
              </w:rPr>
              <w:t> </w:t>
            </w:r>
          </w:p>
        </w:tc>
        <w:tc>
          <w:tcPr>
            <w:tcW w:w="18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76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60,643</w:t>
            </w:r>
            <w:r>
              <w:rPr>
                <w:color w:val="131E29"/>
              </w:rPr>
              <w:t> </w:t>
            </w:r>
          </w:p>
        </w:tc>
        <w:tc>
          <w:tcPr>
            <w:tcW w:w="12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875"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197,761</w:t>
            </w:r>
            <w:r>
              <w:rPr>
                <w:color w:val="131E29"/>
              </w:rPr>
              <w:t> </w:t>
            </w:r>
          </w:p>
        </w:tc>
        <w:tc>
          <w:tcPr>
            <w:tcW w:w="12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75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833,929</w:t>
            </w:r>
            <w:r>
              <w:rPr>
                <w:color w:val="131E29"/>
              </w:rPr>
              <w:t> </w:t>
            </w:r>
          </w:p>
        </w:tc>
        <w:tc>
          <w:tcPr>
            <w:tcW w:w="15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hanging="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363220"/>
                <wp:effectExtent l="0" t="0" r="0" b="0"/>
                <wp:wrapNone/>
                <wp:docPr id="29" name="Frame11"/>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3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1" descr=""/>
                                          <pic:cNvPicPr>
                                            <a:picLocks noChangeAspect="1" noChangeArrowheads="1"/>
                                          </pic:cNvPicPr>
                                        </pic:nvPicPr>
                                        <pic:blipFill>
                                          <a:blip r:embed="rId20"/>
                                          <a:stretch>
                                            <a:fillRect/>
                                          </a:stretch>
                                        </pic:blipFill>
                                        <pic:spPr bwMode="auto">
                                          <a:xfrm>
                                            <a:off x="0" y="0"/>
                                            <a:ext cx="190500" cy="266700"/>
                                          </a:xfrm>
                                          <a:prstGeom prst="rect">
                                            <a:avLst/>
                                          </a:prstGeom>
                                        </pic:spPr>
                                      </pic:pic>
                                    </a:graphicData>
                                  </a:graphic>
                                </wp:inline>
                              </w:drawing>
                            </w:r>
                            <w:bookmarkStart w:id="18" w:name="i-11"/>
                            <w:bookmarkEnd w:id="18"/>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3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1" descr=""/>
                                    <pic:cNvPicPr>
                                      <a:picLocks noChangeAspect="1" noChangeArrowheads="1"/>
                                    </pic:cNvPicPr>
                                  </pic:nvPicPr>
                                  <pic:blipFill>
                                    <a:blip r:embed="rId21"/>
                                    <a:stretch>
                                      <a:fillRect/>
                                    </a:stretch>
                                  </pic:blipFill>
                                  <pic:spPr bwMode="auto">
                                    <a:xfrm>
                                      <a:off x="0" y="0"/>
                                      <a:ext cx="190500" cy="266700"/>
                                    </a:xfrm>
                                    <a:prstGeom prst="rect">
                                      <a:avLst/>
                                    </a:prstGeom>
                                  </pic:spPr>
                                </pic:pic>
                              </a:graphicData>
                            </a:graphic>
                          </wp:inline>
                        </w:drawing>
                      </w:r>
                      <w:bookmarkStart w:id="19" w:name="i-11"/>
                      <w:bookmarkEnd w:id="19"/>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9</w:t>
                      </w:r>
                    </w:p>
                  </w:txbxContent>
                </v:textbox>
                <w10:wrap type="none"/>
              </v:rect>
            </w:pict>
          </mc:Fallback>
        </mc:AlternateContent>
      </w:r>
    </w:p>
    <w:p>
      <w:pPr>
        <w:pStyle w:val="TextBody"/>
        <w:bidi w:val="0"/>
        <w:spacing w:lineRule="auto" w:line="288" w:before="0" w:after="180"/>
        <w:jc w:val="left"/>
        <w:rPr/>
      </w:pPr>
      <w:hyperlink w:anchor="i901a725797c944a19267b6f140f14c09_16">
        <w:r>
          <w:rPr>
            <w:rStyle w:val="InternetLink"/>
            <w:rFonts w:ascii="Arial;sans-serif" w:hAnsi="Arial;sans-serif"/>
            <w:b w:val="false"/>
            <w:color w:val="006098"/>
            <w:sz w:val="16"/>
            <w:u w:val="single"/>
          </w:rPr>
          <w:t>Table of Contents</w:t>
        </w:r>
      </w:hyperlink>
    </w:p>
    <w:p>
      <w:pPr>
        <w:pStyle w:val="TextBody"/>
        <w:bidi w:val="0"/>
        <w:spacing w:before="0" w:after="60"/>
        <w:jc w:val="center"/>
        <w:rPr/>
      </w:pPr>
      <w:r>
        <w:rPr/>
      </w:r>
    </w:p>
    <w:p>
      <w:pPr>
        <w:pStyle w:val="TextBody"/>
        <w:bidi w:val="0"/>
        <w:spacing w:lineRule="auto" w:line="288" w:before="0" w:after="60"/>
        <w:jc w:val="center"/>
        <w:rPr>
          <w:rFonts w:ascii="Arial;sans-serif" w:hAnsi="Arial;sans-serif"/>
          <w:b/>
          <w:color w:val="00416B"/>
          <w:sz w:val="28"/>
        </w:rPr>
      </w:pPr>
      <w:r>
        <w:rPr>
          <w:rFonts w:ascii="Arial;sans-serif" w:hAnsi="Arial;sans-serif"/>
          <w:b/>
          <w:color w:val="00416B"/>
          <w:sz w:val="28"/>
        </w:rPr>
        <w:t>DUTCH BROS INC.</w:t>
      </w:r>
    </w:p>
    <w:p>
      <w:pPr>
        <w:pStyle w:val="TextBody"/>
        <w:bidi w:val="0"/>
        <w:spacing w:lineRule="auto" w:line="288" w:before="0" w:after="120"/>
        <w:jc w:val="center"/>
        <w:rPr>
          <w:rFonts w:ascii="Arial;sans-serif" w:hAnsi="Arial;sans-serif"/>
          <w:b w:val="false"/>
          <w:color w:val="131E29"/>
          <w:sz w:val="18"/>
        </w:rPr>
      </w:pPr>
      <w:r>
        <w:rPr>
          <w:rFonts w:ascii="Arial;sans-serif" w:hAnsi="Arial;sans-serif"/>
          <w:b w:val="false"/>
          <w:color w:val="131E29"/>
          <w:sz w:val="18"/>
        </w:rPr>
        <w:t>Condensed Consolidated Statements of Cash Flows</w:t>
      </w:r>
    </w:p>
    <w:tbl>
      <w:tblPr>
        <w:tblW w:w="9853" w:type="dxa"/>
        <w:jc w:val="center"/>
        <w:tblInd w:w="0" w:type="dxa"/>
        <w:tblLayout w:type="fixed"/>
        <w:tblCellMar>
          <w:top w:w="28" w:type="dxa"/>
          <w:left w:w="28" w:type="dxa"/>
          <w:bottom w:w="28" w:type="dxa"/>
          <w:right w:w="28" w:type="dxa"/>
        </w:tblCellMar>
      </w:tblPr>
      <w:tblGrid>
        <w:gridCol w:w="2394"/>
        <w:gridCol w:w="2103"/>
        <w:gridCol w:w="2117"/>
        <w:gridCol w:w="109"/>
        <w:gridCol w:w="109"/>
        <w:gridCol w:w="109"/>
        <w:gridCol w:w="211"/>
        <w:gridCol w:w="841"/>
        <w:gridCol w:w="109"/>
        <w:gridCol w:w="109"/>
        <w:gridCol w:w="109"/>
        <w:gridCol w:w="109"/>
        <w:gridCol w:w="211"/>
        <w:gridCol w:w="841"/>
        <w:gridCol w:w="109"/>
        <w:gridCol w:w="109"/>
        <w:gridCol w:w="154"/>
      </w:tblGrid>
      <w:tr>
        <w:trPr/>
        <w:tc>
          <w:tcPr>
            <w:tcW w:w="2394" w:type="dxa"/>
            <w:tcBorders/>
            <w:vAlign w:val="center"/>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66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2026</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Cash flows from operating activities: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 xml:space="preserve">Net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18"/>
              </w:rPr>
            </w:pPr>
            <w:r>
              <w:rPr>
                <w:rFonts w:ascii="Arial;sans-serif" w:hAnsi="Arial;sans-serif"/>
                <w:b w:val="false"/>
                <w:color w:val="006098"/>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75,269 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31E29"/>
                <w:sz w:val="18"/>
              </w:rPr>
            </w:pPr>
            <w:r>
              <w:rPr>
                <w:rFonts w:ascii="Arial;sans-serif" w:hAnsi="Arial;sans-serif"/>
                <w:b w:val="false"/>
                <w:color w:val="131E29"/>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60,837 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Adjustments to reconcile net income to net cash provided by operating activities: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73,736 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54,323 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Non-cash interest expense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247 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506 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Loss on disposal of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Loss on extinguishment of debt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809 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Equity-based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12,157 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8,865 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Deferred income taxes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14,764 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7,340 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Remeasurement gain on TRAs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(437)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Non-cash operating lease cost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14,046 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9,566 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Changes in operating assets and liabilities, net of acquisition: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Accounts receivable, net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(484)</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(2,935)</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Inventories,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7,664 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(5,931)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Prepaid expenses and other current assets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(3,093)</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2,085 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Other 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1,203 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(1,634)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Accounts payable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5,265 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(488)</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16,939 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(2,279)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Deferred revenue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(10,731)</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390 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Operating lease liabilities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(9,613)</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(4,718)</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196,933 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126,781 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Cash flows from investing activities: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Purchases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(129,290)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(99,762)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Proceeds from disposal of property and equipment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47 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31 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Acquisition of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(19,805)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Net cash used in investing activities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(149,048)</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(99,731)</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Payments on finance lease liabilities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(9,576)</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(7,111)</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Proceeds from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250,000 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Payments on long-term debt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(1,939)</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(284,748)</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Payments of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(1,547)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Tax withholding payments upon vesting of equity awards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(6,343)</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(11,018)</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Distributions to non-controlling interest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(16,854)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(6,867)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Payments under tax receivable agreements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(13,953)</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(4,698)</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(48,665)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(65,989)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Net decrease in cash and cash equivalents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(780)</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(38,939)</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Cash and cash equivalents,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269,404 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293,354 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Cash and cash equivalents, end of period</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18"/>
              </w:rPr>
            </w:pPr>
            <w:r>
              <w:rPr>
                <w:rFonts w:ascii="Arial;sans-serif" w:hAnsi="Arial;sans-serif"/>
                <w:b/>
                <w:color w:val="006098"/>
                <w:sz w:val="18"/>
              </w:rPr>
              <w:t>$</w:t>
            </w:r>
          </w:p>
        </w:tc>
        <w:tc>
          <w:tcPr>
            <w:tcW w:w="84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18"/>
              </w:rPr>
              <w:t>268,624</w:t>
            </w:r>
            <w:r>
              <w:rPr>
                <w:color w:val="006098"/>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131E29"/>
                <w:sz w:val="18"/>
              </w:rPr>
            </w:pPr>
            <w:r>
              <w:rPr>
                <w:rFonts w:ascii="Arial;sans-serif" w:hAnsi="Arial;sans-serif"/>
                <w:b/>
                <w:color w:val="131E29"/>
                <w:sz w:val="18"/>
              </w:rPr>
              <w:t>$</w:t>
            </w:r>
          </w:p>
        </w:tc>
        <w:tc>
          <w:tcPr>
            <w:tcW w:w="84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131E29"/>
                <w:sz w:val="18"/>
              </w:rPr>
              <w:t>254,415</w:t>
            </w:r>
            <w:r>
              <w:rPr>
                <w:color w:val="131E29"/>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6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63220"/>
                <wp:effectExtent l="0" t="0" r="0" b="0"/>
                <wp:wrapNone/>
                <wp:docPr id="32" name="Frame12"/>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3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2" descr=""/>
                                          <pic:cNvPicPr>
                                            <a:picLocks noChangeAspect="1" noChangeArrowheads="1"/>
                                          </pic:cNvPicPr>
                                        </pic:nvPicPr>
                                        <pic:blipFill>
                                          <a:blip r:embed="rId22"/>
                                          <a:stretch>
                                            <a:fillRect/>
                                          </a:stretch>
                                        </pic:blipFill>
                                        <pic:spPr bwMode="auto">
                                          <a:xfrm>
                                            <a:off x="0" y="0"/>
                                            <a:ext cx="190500" cy="266700"/>
                                          </a:xfrm>
                                          <a:prstGeom prst="rect">
                                            <a:avLst/>
                                          </a:prstGeom>
                                        </pic:spPr>
                                      </pic:pic>
                                    </a:graphicData>
                                  </a:graphic>
                                </wp:inline>
                              </w:drawing>
                            </w:r>
                            <w:bookmarkStart w:id="20" w:name="i-12"/>
                            <w:bookmarkEnd w:id="20"/>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3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2" descr=""/>
                                    <pic:cNvPicPr>
                                      <a:picLocks noChangeAspect="1" noChangeArrowheads="1"/>
                                    </pic:cNvPicPr>
                                  </pic:nvPicPr>
                                  <pic:blipFill>
                                    <a:blip r:embed="rId23"/>
                                    <a:stretch>
                                      <a:fillRect/>
                                    </a:stretch>
                                  </pic:blipFill>
                                  <pic:spPr bwMode="auto">
                                    <a:xfrm>
                                      <a:off x="0" y="0"/>
                                      <a:ext cx="190500" cy="266700"/>
                                    </a:xfrm>
                                    <a:prstGeom prst="rect">
                                      <a:avLst/>
                                    </a:prstGeom>
                                  </pic:spPr>
                                </pic:pic>
                              </a:graphicData>
                            </a:graphic>
                          </wp:inline>
                        </w:drawing>
                      </w:r>
                      <w:bookmarkStart w:id="21" w:name="i-12"/>
                      <w:bookmarkEnd w:id="21"/>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10</w:t>
                      </w:r>
                    </w:p>
                  </w:txbxContent>
                </v:textbox>
                <w10:wrap type="none"/>
              </v:rect>
            </w:pict>
          </mc:Fallback>
        </mc:AlternateContent>
      </w:r>
    </w:p>
    <w:p>
      <w:pPr>
        <w:pStyle w:val="TextBody"/>
        <w:bidi w:val="0"/>
        <w:spacing w:lineRule="auto" w:line="288" w:before="0" w:after="180"/>
        <w:jc w:val="left"/>
        <w:rPr/>
      </w:pPr>
      <w:hyperlink w:anchor="i901a725797c944a19267b6f140f14c09_16">
        <w:r>
          <w:rPr>
            <w:rStyle w:val="InternetLink"/>
            <w:rFonts w:ascii="Arial;sans-serif" w:hAnsi="Arial;sans-serif"/>
            <w:b w:val="false"/>
            <w:color w:val="006098"/>
            <w:sz w:val="16"/>
            <w:u w:val="single"/>
          </w:rPr>
          <w:t>Table of Contents</w:t>
        </w:r>
      </w:hyperlink>
    </w:p>
    <w:p>
      <w:pPr>
        <w:pStyle w:val="TextBody"/>
        <w:bidi w:val="0"/>
        <w:spacing w:lineRule="auto" w:line="288" w:before="0" w:after="60"/>
        <w:jc w:val="center"/>
        <w:rPr>
          <w:rFonts w:ascii="Arial;sans-serif" w:hAnsi="Arial;sans-serif"/>
          <w:b/>
          <w:color w:val="00416B"/>
          <w:sz w:val="28"/>
        </w:rPr>
      </w:pPr>
      <w:r>
        <w:rPr>
          <w:rFonts w:ascii="Arial;sans-serif" w:hAnsi="Arial;sans-serif"/>
          <w:b/>
          <w:color w:val="00416B"/>
          <w:sz w:val="28"/>
        </w:rPr>
        <w:t>DUTCH BROS INC.</w:t>
      </w:r>
    </w:p>
    <w:p>
      <w:pPr>
        <w:pStyle w:val="TextBody"/>
        <w:bidi w:val="0"/>
        <w:spacing w:lineRule="auto" w:line="288" w:before="0" w:after="180"/>
        <w:jc w:val="center"/>
        <w:rPr>
          <w:rFonts w:ascii="Arial;sans-serif" w:hAnsi="Arial;sans-serif"/>
          <w:b w:val="false"/>
          <w:color w:val="131E29"/>
          <w:sz w:val="18"/>
        </w:rPr>
      </w:pPr>
      <w:r>
        <w:rPr>
          <w:rFonts w:ascii="Arial;sans-serif" w:hAnsi="Arial;sans-serif"/>
          <w:b w:val="false"/>
          <w:color w:val="131E29"/>
          <w:sz w:val="18"/>
        </w:rPr>
        <w:t>Condensed Consolidated Statements of Cash Flows (continued)</w:t>
      </w:r>
    </w:p>
    <w:tbl>
      <w:tblPr>
        <w:tblW w:w="9418" w:type="dxa"/>
        <w:jc w:val="center"/>
        <w:tblInd w:w="0" w:type="dxa"/>
        <w:tblLayout w:type="fixed"/>
        <w:tblCellMar>
          <w:top w:w="28" w:type="dxa"/>
          <w:left w:w="28" w:type="dxa"/>
          <w:bottom w:w="28" w:type="dxa"/>
          <w:right w:w="28" w:type="dxa"/>
        </w:tblCellMar>
      </w:tblPr>
      <w:tblGrid>
        <w:gridCol w:w="2322"/>
        <w:gridCol w:w="2042"/>
        <w:gridCol w:w="2055"/>
        <w:gridCol w:w="109"/>
        <w:gridCol w:w="109"/>
        <w:gridCol w:w="109"/>
        <w:gridCol w:w="211"/>
        <w:gridCol w:w="721"/>
        <w:gridCol w:w="109"/>
        <w:gridCol w:w="109"/>
        <w:gridCol w:w="109"/>
        <w:gridCol w:w="109"/>
        <w:gridCol w:w="211"/>
        <w:gridCol w:w="721"/>
        <w:gridCol w:w="109"/>
        <w:gridCol w:w="109"/>
        <w:gridCol w:w="154"/>
      </w:tblGrid>
      <w:tr>
        <w:trPr/>
        <w:tc>
          <w:tcPr>
            <w:tcW w:w="2322" w:type="dxa"/>
            <w:tcBorders/>
            <w:vAlign w:val="center"/>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64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2026</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Supplemental disclosure of cash flow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Interest paid</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2DC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18"/>
              </w:rPr>
            </w:pPr>
            <w:r>
              <w:rPr>
                <w:rFonts w:ascii="Arial;sans-serif" w:hAnsi="Arial;sans-serif"/>
                <w:b w:val="false"/>
                <w:color w:val="006098"/>
                <w:sz w:val="18"/>
              </w:rPr>
              <w:t>$</w:t>
            </w:r>
          </w:p>
        </w:tc>
        <w:tc>
          <w:tcPr>
            <w:tcW w:w="721" w:type="dxa"/>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18,123 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2DC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31E29"/>
                <w:sz w:val="18"/>
              </w:rPr>
            </w:pPr>
            <w:r>
              <w:rPr>
                <w:rFonts w:ascii="Arial;sans-serif" w:hAnsi="Arial;sans-serif"/>
                <w:b w:val="false"/>
                <w:color w:val="131E29"/>
                <w:sz w:val="18"/>
              </w:rPr>
              <w:t>$</w:t>
            </w:r>
          </w:p>
        </w:tc>
        <w:tc>
          <w:tcPr>
            <w:tcW w:w="721" w:type="dxa"/>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20,154 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Income taxes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1,682 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Supplemental disclosure of noncash investing and financing activities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Additions of property and equipment recorded as liabilities as of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8"/>
              </w:rPr>
            </w:pPr>
            <w:r>
              <w:rPr>
                <w:rFonts w:ascii="Arial;sans-serif" w:hAnsi="Arial;sans-serif"/>
                <w:b w:val="false"/>
                <w:color w:val="006098"/>
                <w:sz w:val="18"/>
              </w:rPr>
              <w:t>18,294 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18"/>
              </w:rPr>
            </w:pPr>
            <w:r>
              <w:rPr>
                <w:rFonts w:ascii="Arial;sans-serif" w:hAnsi="Arial;sans-serif"/>
                <w:b w:val="false"/>
                <w:color w:val="131E29"/>
                <w:sz w:val="18"/>
              </w:rPr>
              <w:t>21,475 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63220"/>
                <wp:effectExtent l="0" t="0" r="0" b="0"/>
                <wp:wrapNone/>
                <wp:docPr id="35" name="Frame13"/>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3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3" descr=""/>
                                          <pic:cNvPicPr>
                                            <a:picLocks noChangeAspect="1" noChangeArrowheads="1"/>
                                          </pic:cNvPicPr>
                                        </pic:nvPicPr>
                                        <pic:blipFill>
                                          <a:blip r:embed="rId24"/>
                                          <a:stretch>
                                            <a:fillRect/>
                                          </a:stretch>
                                        </pic:blipFill>
                                        <pic:spPr bwMode="auto">
                                          <a:xfrm>
                                            <a:off x="0" y="0"/>
                                            <a:ext cx="190500" cy="266700"/>
                                          </a:xfrm>
                                          <a:prstGeom prst="rect">
                                            <a:avLst/>
                                          </a:prstGeom>
                                        </pic:spPr>
                                      </pic:pic>
                                    </a:graphicData>
                                  </a:graphic>
                                </wp:inline>
                              </w:drawing>
                            </w:r>
                            <w:bookmarkStart w:id="22" w:name="i-13"/>
                            <w:bookmarkEnd w:id="22"/>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3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3" descr=""/>
                                    <pic:cNvPicPr>
                                      <a:picLocks noChangeAspect="1" noChangeArrowheads="1"/>
                                    </pic:cNvPicPr>
                                  </pic:nvPicPr>
                                  <pic:blipFill>
                                    <a:blip r:embed="rId25"/>
                                    <a:stretch>
                                      <a:fillRect/>
                                    </a:stretch>
                                  </pic:blipFill>
                                  <pic:spPr bwMode="auto">
                                    <a:xfrm>
                                      <a:off x="0" y="0"/>
                                      <a:ext cx="190500" cy="266700"/>
                                    </a:xfrm>
                                    <a:prstGeom prst="rect">
                                      <a:avLst/>
                                    </a:prstGeom>
                                  </pic:spPr>
                                </pic:pic>
                              </a:graphicData>
                            </a:graphic>
                          </wp:inline>
                        </w:drawing>
                      </w:r>
                      <w:bookmarkStart w:id="23" w:name="i-13"/>
                      <w:bookmarkEnd w:id="23"/>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11</w:t>
                      </w:r>
                    </w:p>
                  </w:txbxContent>
                </v:textbox>
                <w10:wrap type="none"/>
              </v:rect>
            </w:pict>
          </mc:Fallback>
        </mc:AlternateContent>
      </w:r>
    </w:p>
    <w:p>
      <w:pPr>
        <w:pStyle w:val="TextBody"/>
        <w:bidi w:val="0"/>
        <w:spacing w:lineRule="auto" w:line="288" w:before="0" w:after="180"/>
        <w:jc w:val="left"/>
        <w:rPr/>
      </w:pPr>
      <w:hyperlink w:anchor="i901a725797c944a19267b6f140f14c09_16">
        <w:r>
          <w:rPr>
            <w:rStyle w:val="InternetLink"/>
            <w:rFonts w:ascii="Arial;sans-serif" w:hAnsi="Arial;sans-serif"/>
            <w:b w:val="false"/>
            <w:color w:val="006098"/>
            <w:sz w:val="16"/>
            <w:u w:val="single"/>
          </w:rPr>
          <w:t>Table of Contents</w:t>
        </w:r>
      </w:hyperlink>
    </w:p>
    <w:p>
      <w:pPr>
        <w:pStyle w:val="TextBody"/>
        <w:bidi w:val="0"/>
        <w:spacing w:lineRule="auto" w:line="288" w:before="0" w:after="60"/>
        <w:jc w:val="center"/>
        <w:rPr>
          <w:rFonts w:ascii="Arial;sans-serif" w:hAnsi="Arial;sans-serif"/>
          <w:b/>
          <w:color w:val="00416B"/>
          <w:sz w:val="28"/>
        </w:rPr>
      </w:pPr>
      <w:r>
        <w:rPr>
          <w:rFonts w:ascii="Arial;sans-serif" w:hAnsi="Arial;sans-serif"/>
          <w:b/>
          <w:color w:val="00416B"/>
          <w:sz w:val="28"/>
        </w:rPr>
        <w:t>DUTCH BROS INC.</w:t>
      </w:r>
    </w:p>
    <w:p>
      <w:pPr>
        <w:pStyle w:val="TextBody"/>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Index for Notes to Condensed Consolidated Financial Statements</w:t>
      </w:r>
    </w:p>
    <w:tbl>
      <w:tblPr>
        <w:tblW w:w="8217" w:type="dxa"/>
        <w:jc w:val="left"/>
        <w:tblInd w:w="0" w:type="dxa"/>
        <w:tblLayout w:type="fixed"/>
        <w:tblCellMar>
          <w:top w:w="28" w:type="dxa"/>
          <w:left w:w="28" w:type="dxa"/>
          <w:bottom w:w="28" w:type="dxa"/>
          <w:right w:w="28" w:type="dxa"/>
        </w:tblCellMar>
      </w:tblPr>
      <w:tblGrid>
        <w:gridCol w:w="2631"/>
        <w:gridCol w:w="2309"/>
        <w:gridCol w:w="2334"/>
        <w:gridCol w:w="109"/>
        <w:gridCol w:w="109"/>
        <w:gridCol w:w="109"/>
        <w:gridCol w:w="180"/>
        <w:gridCol w:w="180"/>
        <w:gridCol w:w="256"/>
      </w:tblGrid>
      <w:tr>
        <w:trPr/>
        <w:tc>
          <w:tcPr>
            <w:tcW w:w="2631" w:type="dxa"/>
            <w:tcBorders/>
            <w:vAlign w:val="center"/>
          </w:tcPr>
          <w:p>
            <w:pPr>
              <w:pStyle w:val="TableContents"/>
              <w:bidi w:val="0"/>
              <w:spacing w:before="0" w:after="283"/>
              <w:jc w:val="left"/>
              <w:rPr>
                <w:sz w:val="4"/>
                <w:szCs w:val="4"/>
              </w:rPr>
            </w:pPr>
            <w:r>
              <w:rPr>
                <w:sz w:val="4"/>
                <w:szCs w:val="4"/>
              </w:rPr>
            </w:r>
          </w:p>
        </w:tc>
        <w:tc>
          <w:tcPr>
            <w:tcW w:w="2309" w:type="dxa"/>
            <w:tcBorders/>
            <w:vAlign w:val="center"/>
          </w:tcPr>
          <w:p>
            <w:pPr>
              <w:pStyle w:val="TableContents"/>
              <w:bidi w:val="0"/>
              <w:spacing w:before="0" w:after="283"/>
              <w:jc w:val="left"/>
              <w:rPr>
                <w:sz w:val="4"/>
                <w:szCs w:val="4"/>
              </w:rPr>
            </w:pPr>
            <w:r>
              <w:rPr>
                <w:sz w:val="4"/>
                <w:szCs w:val="4"/>
              </w:rPr>
            </w:r>
          </w:p>
        </w:tc>
        <w:tc>
          <w:tcPr>
            <w:tcW w:w="2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7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Page</w:t>
            </w:r>
          </w:p>
        </w:tc>
      </w:tr>
      <w:tr>
        <w:trPr/>
        <w:tc>
          <w:tcPr>
            <w:tcW w:w="7274"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1 — Organization and Background</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center"/>
              <w:rPr/>
            </w:pPr>
            <w:hyperlink w:anchor="i901a725797c944a19267b6f140f14c09_85">
              <w:r>
                <w:rPr>
                  <w:rStyle w:val="InternetLink"/>
                  <w:rFonts w:ascii="Arial;sans-serif" w:hAnsi="Arial;sans-serif"/>
                  <w:b w:val="false"/>
                  <w:strike w:val="false"/>
                  <w:dstrike w:val="false"/>
                  <w:color w:val="131E29"/>
                  <w:sz w:val="20"/>
                  <w:u w:val="none"/>
                  <w:effect w:val="none"/>
                </w:rPr>
                <w:t>13</w:t>
              </w:r>
            </w:hyperlink>
          </w:p>
        </w:tc>
      </w:tr>
      <w:tr>
        <w:trPr/>
        <w:tc>
          <w:tcPr>
            <w:tcW w:w="7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2 — Basis of Presentation and Summary of Significant Accounting Policies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901a725797c944a19267b6f140f14c09_100">
              <w:r>
                <w:rPr>
                  <w:rStyle w:val="InternetLink"/>
                  <w:rFonts w:ascii="Arial;sans-serif" w:hAnsi="Arial;sans-serif"/>
                  <w:b w:val="false"/>
                  <w:strike w:val="false"/>
                  <w:dstrike w:val="false"/>
                  <w:color w:val="131E29"/>
                  <w:sz w:val="20"/>
                  <w:u w:val="none"/>
                  <w:effect w:val="none"/>
                </w:rPr>
                <w:t>13</w:t>
              </w:r>
            </w:hyperlink>
          </w:p>
        </w:tc>
      </w:tr>
      <w:tr>
        <w:trPr/>
        <w:tc>
          <w:tcPr>
            <w:tcW w:w="727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3 — Revenue Recognition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rPr/>
            </w:pPr>
            <w:hyperlink w:anchor="i901a725797c944a19267b6f140f14c09_220">
              <w:r>
                <w:rPr>
                  <w:rStyle w:val="InternetLink"/>
                  <w:rFonts w:ascii="Arial;sans-serif" w:hAnsi="Arial;sans-serif"/>
                  <w:b w:val="false"/>
                  <w:strike w:val="false"/>
                  <w:dstrike w:val="false"/>
                  <w:color w:val="131E29"/>
                  <w:sz w:val="20"/>
                  <w:u w:val="none"/>
                  <w:effect w:val="none"/>
                </w:rPr>
                <w:t>15</w:t>
              </w:r>
            </w:hyperlink>
          </w:p>
        </w:tc>
      </w:tr>
      <w:tr>
        <w:trPr/>
        <w:tc>
          <w:tcPr>
            <w:tcW w:w="7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r>
      <w:tr>
        <w:trPr/>
        <w:tc>
          <w:tcPr>
            <w:tcW w:w="7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4 —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901a725797c944a19267b6f140f14c09_244">
              <w:r>
                <w:rPr>
                  <w:rStyle w:val="InternetLink"/>
                  <w:rFonts w:ascii="Arial;sans-serif" w:hAnsi="Arial;sans-serif"/>
                  <w:b w:val="false"/>
                  <w:strike w:val="false"/>
                  <w:dstrike w:val="false"/>
                  <w:color w:val="131E29"/>
                  <w:sz w:val="20"/>
                  <w:u w:val="none"/>
                  <w:effect w:val="none"/>
                </w:rPr>
                <w:t>15</w:t>
              </w:r>
            </w:hyperlink>
          </w:p>
        </w:tc>
      </w:tr>
      <w:tr>
        <w:trPr/>
        <w:tc>
          <w:tcPr>
            <w:tcW w:w="727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5 — Supplemental Financial Information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rPr/>
            </w:pPr>
            <w:hyperlink w:anchor="i901a725797c944a19267b6f140f14c09_259">
              <w:r>
                <w:rPr>
                  <w:rStyle w:val="InternetLink"/>
                  <w:rFonts w:ascii="Arial;sans-serif" w:hAnsi="Arial;sans-serif"/>
                  <w:b w:val="false"/>
                  <w:strike w:val="false"/>
                  <w:dstrike w:val="false"/>
                  <w:color w:val="131E29"/>
                  <w:sz w:val="20"/>
                  <w:u w:val="none"/>
                  <w:effect w:val="none"/>
                </w:rPr>
                <w:t>16</w:t>
              </w:r>
            </w:hyperlink>
          </w:p>
        </w:tc>
      </w:tr>
      <w:tr>
        <w:trPr/>
        <w:tc>
          <w:tcPr>
            <w:tcW w:w="7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r>
      <w:tr>
        <w:trPr/>
        <w:tc>
          <w:tcPr>
            <w:tcW w:w="7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6 —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901a725797c944a19267b6f140f14c09_268">
              <w:r>
                <w:rPr>
                  <w:rStyle w:val="InternetLink"/>
                  <w:rFonts w:ascii="Arial;sans-serif" w:hAnsi="Arial;sans-serif"/>
                  <w:b w:val="false"/>
                  <w:strike w:val="false"/>
                  <w:dstrike w:val="false"/>
                  <w:color w:val="131E29"/>
                  <w:sz w:val="20"/>
                  <w:u w:val="none"/>
                  <w:effect w:val="none"/>
                </w:rPr>
                <w:t>16</w:t>
              </w:r>
            </w:hyperlink>
          </w:p>
        </w:tc>
      </w:tr>
      <w:tr>
        <w:trPr/>
        <w:tc>
          <w:tcPr>
            <w:tcW w:w="727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7 — Other Long-Term Assets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rPr/>
            </w:pPr>
            <w:hyperlink w:anchor="i901a725797c944a19267b6f140f14c09_271">
              <w:r>
                <w:rPr>
                  <w:rStyle w:val="InternetLink"/>
                  <w:rFonts w:ascii="Arial;sans-serif" w:hAnsi="Arial;sans-serif"/>
                  <w:b w:val="false"/>
                  <w:strike w:val="false"/>
                  <w:dstrike w:val="false"/>
                  <w:color w:val="131E29"/>
                  <w:sz w:val="20"/>
                  <w:u w:val="none"/>
                  <w:effect w:val="none"/>
                </w:rPr>
                <w:t>17</w:t>
              </w:r>
            </w:hyperlink>
          </w:p>
        </w:tc>
      </w:tr>
      <w:tr>
        <w:trPr/>
        <w:tc>
          <w:tcPr>
            <w:tcW w:w="7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r>
      <w:tr>
        <w:trPr/>
        <w:tc>
          <w:tcPr>
            <w:tcW w:w="7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8 —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901a725797c944a19267b6f140f14c09_280">
              <w:r>
                <w:rPr>
                  <w:rStyle w:val="InternetLink"/>
                  <w:rFonts w:ascii="Arial;sans-serif" w:hAnsi="Arial;sans-serif"/>
                  <w:b w:val="false"/>
                  <w:strike w:val="false"/>
                  <w:dstrike w:val="false"/>
                  <w:color w:val="131E29"/>
                  <w:sz w:val="20"/>
                  <w:u w:val="none"/>
                  <w:effect w:val="none"/>
                </w:rPr>
                <w:t>17</w:t>
              </w:r>
            </w:hyperlink>
          </w:p>
        </w:tc>
      </w:tr>
      <w:tr>
        <w:trPr/>
        <w:tc>
          <w:tcPr>
            <w:tcW w:w="727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9 — Debt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rPr/>
            </w:pPr>
            <w:hyperlink w:anchor="i901a725797c944a19267b6f140f14c09_298">
              <w:r>
                <w:rPr>
                  <w:rStyle w:val="InternetLink"/>
                  <w:rFonts w:ascii="Arial;sans-serif" w:hAnsi="Arial;sans-serif"/>
                  <w:b w:val="false"/>
                  <w:strike w:val="false"/>
                  <w:dstrike w:val="false"/>
                  <w:color w:val="131E29"/>
                  <w:sz w:val="20"/>
                  <w:u w:val="none"/>
                  <w:effect w:val="none"/>
                </w:rPr>
                <w:t>18</w:t>
              </w:r>
            </w:hyperlink>
          </w:p>
        </w:tc>
      </w:tr>
      <w:tr>
        <w:trPr/>
        <w:tc>
          <w:tcPr>
            <w:tcW w:w="7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r>
      <w:tr>
        <w:trPr/>
        <w:tc>
          <w:tcPr>
            <w:tcW w:w="7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10 — Derivative Financial Instrument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901a725797c944a19267b6f140f14c09_313">
              <w:r>
                <w:rPr>
                  <w:rStyle w:val="InternetLink"/>
                  <w:rFonts w:ascii="Arial;sans-serif" w:hAnsi="Arial;sans-serif"/>
                  <w:b w:val="false"/>
                  <w:strike w:val="false"/>
                  <w:dstrike w:val="false"/>
                  <w:color w:val="131E29"/>
                  <w:sz w:val="20"/>
                  <w:u w:val="none"/>
                  <w:effect w:val="none"/>
                </w:rPr>
                <w:t>20</w:t>
              </w:r>
            </w:hyperlink>
          </w:p>
        </w:tc>
      </w:tr>
      <w:tr>
        <w:trPr/>
        <w:tc>
          <w:tcPr>
            <w:tcW w:w="7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r>
      <w:tr>
        <w:trPr/>
        <w:tc>
          <w:tcPr>
            <w:tcW w:w="727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11 — Income Taxes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rPr/>
            </w:pPr>
            <w:hyperlink w:anchor="i901a725797c944a19267b6f140f14c09_334">
              <w:r>
                <w:rPr>
                  <w:rStyle w:val="InternetLink"/>
                  <w:rFonts w:ascii="Arial;sans-serif" w:hAnsi="Arial;sans-serif"/>
                  <w:b w:val="false"/>
                  <w:strike w:val="false"/>
                  <w:dstrike w:val="false"/>
                  <w:color w:val="131E29"/>
                  <w:sz w:val="20"/>
                  <w:u w:val="none"/>
                  <w:effect w:val="none"/>
                </w:rPr>
                <w:t>20</w:t>
              </w:r>
            </w:hyperlink>
          </w:p>
        </w:tc>
      </w:tr>
      <w:tr>
        <w:trPr/>
        <w:tc>
          <w:tcPr>
            <w:tcW w:w="7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12 — Equity-Based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901a725797c944a19267b6f140f14c09_355">
              <w:r>
                <w:rPr>
                  <w:rStyle w:val="InternetLink"/>
                  <w:rFonts w:ascii="Arial;sans-serif" w:hAnsi="Arial;sans-serif"/>
                  <w:b w:val="false"/>
                  <w:strike w:val="false"/>
                  <w:dstrike w:val="false"/>
                  <w:color w:val="131E29"/>
                  <w:sz w:val="20"/>
                  <w:u w:val="none"/>
                  <w:effect w:val="none"/>
                </w:rPr>
                <w:t>22</w:t>
              </w:r>
            </w:hyperlink>
          </w:p>
        </w:tc>
      </w:tr>
      <w:tr>
        <w:trPr/>
        <w:tc>
          <w:tcPr>
            <w:tcW w:w="7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r>
      <w:tr>
        <w:trPr/>
        <w:tc>
          <w:tcPr>
            <w:tcW w:w="727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13 — Non-Controlling Interests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rPr/>
            </w:pPr>
            <w:hyperlink w:anchor="i901a725797c944a19267b6f140f14c09_382">
              <w:r>
                <w:rPr>
                  <w:rStyle w:val="InternetLink"/>
                  <w:rFonts w:ascii="Arial;sans-serif" w:hAnsi="Arial;sans-serif"/>
                  <w:b w:val="false"/>
                  <w:strike w:val="false"/>
                  <w:dstrike w:val="false"/>
                  <w:color w:val="131E29"/>
                  <w:sz w:val="20"/>
                  <w:u w:val="none"/>
                  <w:effect w:val="none"/>
                </w:rPr>
                <w:t>23</w:t>
              </w:r>
            </w:hyperlink>
          </w:p>
        </w:tc>
      </w:tr>
      <w:tr>
        <w:trPr/>
        <w:tc>
          <w:tcPr>
            <w:tcW w:w="7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14 — Income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901a725797c944a19267b6f140f14c09_394">
              <w:r>
                <w:rPr>
                  <w:rStyle w:val="InternetLink"/>
                  <w:rFonts w:ascii="Arial;sans-serif" w:hAnsi="Arial;sans-serif"/>
                  <w:b w:val="false"/>
                  <w:strike w:val="false"/>
                  <w:dstrike w:val="false"/>
                  <w:color w:val="131E29"/>
                  <w:sz w:val="20"/>
                  <w:u w:val="none"/>
                  <w:effect w:val="none"/>
                </w:rPr>
                <w:t>25</w:t>
              </w:r>
            </w:hyperlink>
          </w:p>
        </w:tc>
      </w:tr>
      <w:tr>
        <w:trPr/>
        <w:tc>
          <w:tcPr>
            <w:tcW w:w="727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15 — Commitments and Contingencies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rPr/>
            </w:pPr>
            <w:hyperlink w:anchor="i901a725797c944a19267b6f140f14c09_403">
              <w:r>
                <w:rPr>
                  <w:rStyle w:val="InternetLink"/>
                  <w:rFonts w:ascii="Arial;sans-serif" w:hAnsi="Arial;sans-serif"/>
                  <w:b w:val="false"/>
                  <w:strike w:val="false"/>
                  <w:dstrike w:val="false"/>
                  <w:color w:val="131E29"/>
                  <w:sz w:val="20"/>
                  <w:u w:val="none"/>
                  <w:effect w:val="none"/>
                </w:rPr>
                <w:t>26</w:t>
              </w:r>
            </w:hyperlink>
          </w:p>
        </w:tc>
      </w:tr>
      <w:tr>
        <w:trPr/>
        <w:tc>
          <w:tcPr>
            <w:tcW w:w="7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16 — Related Party Transactions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901a725797c944a19267b6f140f14c09_409">
              <w:r>
                <w:rPr>
                  <w:rStyle w:val="InternetLink"/>
                  <w:rFonts w:ascii="Arial;sans-serif" w:hAnsi="Arial;sans-serif"/>
                  <w:b w:val="false"/>
                  <w:strike w:val="false"/>
                  <w:dstrike w:val="false"/>
                  <w:color w:val="131E29"/>
                  <w:sz w:val="20"/>
                  <w:u w:val="none"/>
                  <w:effect w:val="none"/>
                </w:rPr>
                <w:t>27</w:t>
              </w:r>
            </w:hyperlink>
          </w:p>
        </w:tc>
      </w:tr>
      <w:tr>
        <w:trPr/>
        <w:tc>
          <w:tcPr>
            <w:tcW w:w="727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17 — Segment Reporting</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rPr/>
            </w:pPr>
            <w:hyperlink w:anchor="i901a725797c944a19267b6f140f14c09_415">
              <w:r>
                <w:rPr>
                  <w:rStyle w:val="InternetLink"/>
                  <w:rFonts w:ascii="Arial;sans-serif" w:hAnsi="Arial;sans-serif"/>
                  <w:b w:val="false"/>
                  <w:strike w:val="false"/>
                  <w:dstrike w:val="false"/>
                  <w:color w:val="131E29"/>
                  <w:sz w:val="20"/>
                  <w:u w:val="none"/>
                  <w:effect w:val="none"/>
                </w:rPr>
                <w:t>28</w:t>
              </w:r>
            </w:hyperlink>
          </w:p>
        </w:tc>
      </w:tr>
      <w:tr>
        <w:trPr/>
        <w:tc>
          <w:tcPr>
            <w:tcW w:w="7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18 — Subsequent Events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901a725797c944a19267b6f140f14c09_418">
              <w:r>
                <w:rPr>
                  <w:rStyle w:val="InternetLink"/>
                  <w:rFonts w:ascii="Arial;sans-serif" w:hAnsi="Arial;sans-serif"/>
                  <w:b w:val="false"/>
                  <w:strike w:val="false"/>
                  <w:dstrike w:val="false"/>
                  <w:color w:val="131E29"/>
                  <w:sz w:val="20"/>
                  <w:u w:val="none"/>
                  <w:effect w:val="none"/>
                </w:rPr>
                <w:t>29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63220"/>
                <wp:effectExtent l="0" t="0" r="0" b="0"/>
                <wp:wrapNone/>
                <wp:docPr id="38" name="Frame14"/>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3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4" descr=""/>
                                          <pic:cNvPicPr>
                                            <a:picLocks noChangeAspect="1" noChangeArrowheads="1"/>
                                          </pic:cNvPicPr>
                                        </pic:nvPicPr>
                                        <pic:blipFill>
                                          <a:blip r:embed="rId26"/>
                                          <a:stretch>
                                            <a:fillRect/>
                                          </a:stretch>
                                        </pic:blipFill>
                                        <pic:spPr bwMode="auto">
                                          <a:xfrm>
                                            <a:off x="0" y="0"/>
                                            <a:ext cx="190500" cy="266700"/>
                                          </a:xfrm>
                                          <a:prstGeom prst="rect">
                                            <a:avLst/>
                                          </a:prstGeom>
                                        </pic:spPr>
                                      </pic:pic>
                                    </a:graphicData>
                                  </a:graphic>
                                </wp:inline>
                              </w:drawing>
                            </w:r>
                            <w:bookmarkStart w:id="24" w:name="i-14"/>
                            <w:bookmarkEnd w:id="24"/>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4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4" descr=""/>
                                    <pic:cNvPicPr>
                                      <a:picLocks noChangeAspect="1" noChangeArrowheads="1"/>
                                    </pic:cNvPicPr>
                                  </pic:nvPicPr>
                                  <pic:blipFill>
                                    <a:blip r:embed="rId27"/>
                                    <a:stretch>
                                      <a:fillRect/>
                                    </a:stretch>
                                  </pic:blipFill>
                                  <pic:spPr bwMode="auto">
                                    <a:xfrm>
                                      <a:off x="0" y="0"/>
                                      <a:ext cx="190500" cy="266700"/>
                                    </a:xfrm>
                                    <a:prstGeom prst="rect">
                                      <a:avLst/>
                                    </a:prstGeom>
                                  </pic:spPr>
                                </pic:pic>
                              </a:graphicData>
                            </a:graphic>
                          </wp:inline>
                        </w:drawing>
                      </w:r>
                      <w:bookmarkStart w:id="25" w:name="i-14"/>
                      <w:bookmarkEnd w:id="25"/>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12</w:t>
                      </w:r>
                    </w:p>
                  </w:txbxContent>
                </v:textbox>
                <w10:wrap type="none"/>
              </v:rect>
            </w:pict>
          </mc:Fallback>
        </mc:AlternateContent>
      </w:r>
    </w:p>
    <w:p>
      <w:pPr>
        <w:pStyle w:val="TextBody"/>
        <w:bidi w:val="0"/>
        <w:spacing w:lineRule="auto" w:line="288" w:before="0" w:after="180"/>
        <w:jc w:val="left"/>
        <w:rPr/>
      </w:pPr>
      <w:hyperlink w:anchor="i901a725797c944a19267b6f140f14c09_16">
        <w:r>
          <w:rPr>
            <w:rStyle w:val="InternetLink"/>
            <w:rFonts w:ascii="Arial;sans-serif" w:hAnsi="Arial;sans-serif"/>
            <w:b w:val="false"/>
            <w:color w:val="006098"/>
            <w:sz w:val="16"/>
            <w:u w:val="single"/>
          </w:rPr>
          <w:t>Table of Contents</w:t>
        </w:r>
      </w:hyperlink>
    </w:p>
    <w:p>
      <w:pPr>
        <w:pStyle w:val="TextBody"/>
        <w:bidi w:val="0"/>
        <w:spacing w:lineRule="auto" w:line="288" w:before="0" w:after="60"/>
        <w:jc w:val="center"/>
        <w:rPr>
          <w:rFonts w:ascii="Arial;sans-serif" w:hAnsi="Arial;sans-serif"/>
          <w:b/>
          <w:color w:val="00416B"/>
          <w:sz w:val="28"/>
        </w:rPr>
      </w:pPr>
      <w:r>
        <w:rPr>
          <w:rFonts w:ascii="Arial;sans-serif" w:hAnsi="Arial;sans-serif"/>
          <w:b/>
          <w:color w:val="00416B"/>
          <w:sz w:val="28"/>
        </w:rPr>
        <w:t>DUTCH BROS INC.</w:t>
      </w:r>
    </w:p>
    <w:p>
      <w:pPr>
        <w:pStyle w:val="TextBody"/>
        <w:bidi w:val="0"/>
        <w:spacing w:lineRule="auto" w:line="288" w:before="0" w:after="240"/>
        <w:jc w:val="center"/>
        <w:rPr>
          <w:rFonts w:ascii="Arial;sans-serif" w:hAnsi="Arial;sans-serif"/>
          <w:b w:val="false"/>
          <w:color w:val="131E29"/>
          <w:sz w:val="20"/>
        </w:rPr>
      </w:pPr>
      <w:r>
        <w:rPr>
          <w:rFonts w:ascii="Arial;sans-serif" w:hAnsi="Arial;sans-serif"/>
          <w:b w:val="false"/>
          <w:color w:val="131E29"/>
          <w:sz w:val="20"/>
        </w:rPr>
        <w:t>Notes to Condensed Consolidated Financial Statements (Unaudited)</w:t>
      </w: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NOTE 1 — Organization and Background</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Business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Dutch Bros Inc., a Delaware corporation, together with its subsidiaries (the Company, we, us, or our, collectively) operates and franchises drive-thru shops as well as sells and distributes coffee, coffee-related products, and accessories. As of June 30, 2026, there were 1,225 shops in operation in 25 U.S. states, of which 888 were company-operated and 337 were franchised.</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Organization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Dutch Bros Inc. is the sole managing member of Dutch Bros OpCo and operates and controls all of the business and affairs of Dutch Bros OpCo. As a result, Dutch Bros Inc. consolidates the financial results of Dutch Bros OpCo and reports a non-controlling interest representing the economic interest in Dutch Bros OpCo held by the other members of Dutch Bros OpCo. The Company’s fiscal year end is December 31. As of June 30, 2026, Dutch Bros Inc. held 100.0% of the voting interest and 77.6% of the economic interest of Dutch Bros OpCo. The Continuing Members held no voting interest and the remaining 22.4% of the economic interest of Dutch Bros OpCo.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NOTE 2 — Basis of Presentation and Summary of Significant Accounting Policies</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Financial Statements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condensed consolidated financial statements as of June 30, 2026 and for the three and six months ended June 30, 2026 and 2025 have been prepared in accordance with GAAP and pursuant to the rules and regulations of the SEC, consistent in all material respects with those applied in the 2025 Form 10-K and as updated by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have made estimates and judgments affecting the amounts reported in our condensed consolidated financial statements and the accompanying notes. Although management bases its estimates on historical experience and assumptions that are believed to be reasonable under the circumstances, actual results could differ from those estimates. This report should be read in conjunction with the consolidated financial statements in the 2025 Form 10-K that includes additional information on accounting estimates, policies, and the methods and assumptions used in our estimates.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In the opinion of management, the accompanying condensed consolidated financial statements reflect all adjustments, consisting of normal recurring adjustments, necessary to present fairly our consolidated financial statements for the periods presented. Operating results for the three and six months ended June 30, 2026 are not necessarily indicative of the results that may be expected for the fiscal year ending December 31,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Significant Accounting Policies Updates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Except for the items noted below, there have been no material updates to our significant accounting policies during the six months ended June 30, 2026 from those previously reported in the 2025 Form 10-K.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63220"/>
                <wp:effectExtent l="0" t="0" r="0" b="0"/>
                <wp:wrapNone/>
                <wp:docPr id="41" name="Frame15"/>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4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5" descr=""/>
                                          <pic:cNvPicPr>
                                            <a:picLocks noChangeAspect="1" noChangeArrowheads="1"/>
                                          </pic:cNvPicPr>
                                        </pic:nvPicPr>
                                        <pic:blipFill>
                                          <a:blip r:embed="rId28"/>
                                          <a:stretch>
                                            <a:fillRect/>
                                          </a:stretch>
                                        </pic:blipFill>
                                        <pic:spPr bwMode="auto">
                                          <a:xfrm>
                                            <a:off x="0" y="0"/>
                                            <a:ext cx="190500" cy="266700"/>
                                          </a:xfrm>
                                          <a:prstGeom prst="rect">
                                            <a:avLst/>
                                          </a:prstGeom>
                                        </pic:spPr>
                                      </pic:pic>
                                    </a:graphicData>
                                  </a:graphic>
                                </wp:inline>
                              </w:drawing>
                            </w:r>
                            <w:bookmarkStart w:id="26" w:name="i-15"/>
                            <w:bookmarkEnd w:id="26"/>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4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5" descr=""/>
                                    <pic:cNvPicPr>
                                      <a:picLocks noChangeAspect="1" noChangeArrowheads="1"/>
                                    </pic:cNvPicPr>
                                  </pic:nvPicPr>
                                  <pic:blipFill>
                                    <a:blip r:embed="rId29"/>
                                    <a:stretch>
                                      <a:fillRect/>
                                    </a:stretch>
                                  </pic:blipFill>
                                  <pic:spPr bwMode="auto">
                                    <a:xfrm>
                                      <a:off x="0" y="0"/>
                                      <a:ext cx="190500" cy="266700"/>
                                    </a:xfrm>
                                    <a:prstGeom prst="rect">
                                      <a:avLst/>
                                    </a:prstGeom>
                                  </pic:spPr>
                                </pic:pic>
                              </a:graphicData>
                            </a:graphic>
                          </wp:inline>
                        </w:drawing>
                      </w:r>
                      <w:bookmarkStart w:id="27" w:name="i-15"/>
                      <w:bookmarkEnd w:id="27"/>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13</w:t>
                      </w:r>
                    </w:p>
                  </w:txbxContent>
                </v:textbox>
                <w10:wrap type="none"/>
              </v:rect>
            </w:pict>
          </mc:Fallback>
        </mc:AlternateContent>
      </w:r>
    </w:p>
    <w:p>
      <w:pPr>
        <w:pStyle w:val="TextBody"/>
        <w:bidi w:val="0"/>
        <w:spacing w:lineRule="auto" w:line="288" w:before="0" w:after="180"/>
        <w:jc w:val="both"/>
        <w:rPr/>
      </w:pPr>
      <w:hyperlink w:anchor="i901a725797c944a19267b6f140f14c09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0"/>
        <w:jc w:val="left"/>
        <w:rPr>
          <w:rFonts w:ascii="Arial;sans-serif" w:hAnsi="Arial;sans-serif"/>
          <w:b w:val="false"/>
          <w:i/>
          <w:color w:val="006098"/>
          <w:sz w:val="20"/>
        </w:rPr>
      </w:pPr>
      <w:r>
        <w:rPr>
          <w:rFonts w:ascii="Arial;sans-serif" w:hAnsi="Arial;sans-serif"/>
          <w:b w:val="false"/>
          <w:i/>
          <w:color w:val="006098"/>
          <w:sz w:val="20"/>
        </w:rPr>
        <w:t>Deferred Revenue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Deferred revenue primarily consists of the unredeemed gift card liability and unredeemed points/rewards earned by customers in connection with a qualifying purchase under our Dutch Rewards loyalty program. Deferred revenue also includes bean and beverage sales to distributors where the performance obligation has not yet been satisfied as control has not transferred to the customer. Awards issued to customers independent of a purchase requirement, such as complimentary birthday drinks and other promotional awards, do not represent a contract liability, as there is no associated contract with the customer, and are recognized within cost of sales when redeemed by the customer.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i/>
          <w:color w:val="006098"/>
          <w:sz w:val="20"/>
        </w:rPr>
      </w:pPr>
      <w:r>
        <w:rPr>
          <w:rFonts w:ascii="Arial;sans-serif" w:hAnsi="Arial;sans-serif"/>
          <w:b w:val="false"/>
          <w:i/>
          <w:color w:val="006098"/>
          <w:sz w:val="20"/>
        </w:rPr>
        <w:t>Loyalty Program</w:t>
      </w:r>
    </w:p>
    <w:p>
      <w:pPr>
        <w:pStyle w:val="TextBody"/>
        <w:bidi w:val="0"/>
        <w:spacing w:lineRule="auto" w:line="288" w:before="0" w:after="120"/>
        <w:jc w:val="both"/>
        <w:rPr>
          <w:rFonts w:ascii="Arial;sans-serif" w:hAnsi="Arial;sans-serif"/>
          <w:b w:val="false"/>
          <w:color w:val="131E29"/>
          <w:sz w:val="20"/>
        </w:rPr>
      </w:pPr>
      <w:r>
        <w:rPr>
          <w:rFonts w:ascii="Arial;sans-serif" w:hAnsi="Arial;sans-serif"/>
          <w:b w:val="false"/>
          <w:color w:val="131E29"/>
          <w:sz w:val="20"/>
        </w:rPr>
        <w:t>The Company operates Dutch Rewards, our digital loyalty program accessible via mobile app, which provides customers the opportunity to collect points based on purchases. Points can be redeemed for rewards which include free drinks. Additionally, customers can receive complimentary birthday drinks and other promotional awards within Dutch Rewards.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Points earned and not redeemed for rewards within 180 days automatically expire, and rewards that are not used within 180 days of issuance automatically expire. Separately, complimentary birthday drinks and other promotional awards generally automatically expire after 30 days, depending on the specific award.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Based on historical expiration rates, a portion of points and rewards are not expected to be redeemed. Accordingly, we defer revenue based on the estimated value of beverages for which the points and rewards are expected to be redeemed.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Recently Issued Accounting Standards</w:t>
      </w:r>
    </w:p>
    <w:p>
      <w:pPr>
        <w:pStyle w:val="TextBody"/>
        <w:bidi w:val="0"/>
        <w:spacing w:lineRule="auto" w:line="288" w:before="0" w:after="180"/>
        <w:jc w:val="both"/>
        <w:rPr/>
      </w:pPr>
      <w:r>
        <w:rPr>
          <w:rFonts w:ascii="Arial;sans-serif" w:hAnsi="Arial;sans-serif"/>
          <w:b w:val="false"/>
          <w:color w:val="131E29"/>
          <w:sz w:val="20"/>
        </w:rPr>
        <w:t xml:space="preserve">In September 2025, the FASB issued ASU 2025-06, </w:t>
      </w:r>
      <w:r>
        <w:rPr>
          <w:rFonts w:ascii="Arial;sans-serif" w:hAnsi="Arial;sans-serif"/>
          <w:b w:val="false"/>
          <w:i/>
          <w:color w:val="131E29"/>
          <w:sz w:val="20"/>
        </w:rPr>
        <w:t>Intangibles - Goodwill and Other - Internal-Use Software (Subtopic 350-40): Targeted Improvements to the Accounting for Internal-Use Software.</w:t>
      </w:r>
      <w:r>
        <w:rPr>
          <w:color w:val="131E29"/>
        </w:rPr>
        <w:t xml:space="preserve"> </w:t>
      </w:r>
      <w:r>
        <w:rPr>
          <w:rFonts w:ascii="Arial;sans-serif" w:hAnsi="Arial;sans-serif"/>
          <w:b w:val="false"/>
          <w:color w:val="131E29"/>
          <w:sz w:val="20"/>
        </w:rPr>
        <w:t>The intent of this ASU is to address businesses’ shift from using prescriptive and sequential software development methods to using incremental and iterative development methods. The amendments in this ASU remove all references to prescriptive and sequential software development stages, and also provides criteria for when an entity is required to start capitalizing software costs. ASU 2025-06 is effective for all entities' annual reporting periods beginning after December 15, 2027, and interim periods within those annual reporting periods using a prospective transition, modified transition or retrospective transition approach. Early adoption is permitted as of the beginning of an annual reporting period. We are currently assessing potential impacts of this standard on our business processes and future disclosures.</w:t>
      </w:r>
    </w:p>
    <w:p>
      <w:pPr>
        <w:pStyle w:val="TextBody"/>
        <w:bidi w:val="0"/>
        <w:spacing w:lineRule="auto" w:line="288" w:before="0" w:after="180"/>
        <w:jc w:val="both"/>
        <w:rPr/>
      </w:pPr>
      <w:r>
        <w:rPr>
          <w:rFonts w:ascii="Arial;sans-serif" w:hAnsi="Arial;sans-serif"/>
          <w:b w:val="false"/>
          <w:color w:val="131E29"/>
          <w:sz w:val="20"/>
        </w:rPr>
        <w:t xml:space="preserve">In November 2024, the FASB issued ASU No. 2024-03, </w:t>
      </w:r>
      <w:r>
        <w:rPr>
          <w:rFonts w:ascii="Arial;sans-serif" w:hAnsi="Arial;sans-serif"/>
          <w:b w:val="false"/>
          <w:i/>
          <w:color w:val="131E29"/>
          <w:sz w:val="20"/>
        </w:rPr>
        <w:t xml:space="preserve">Income Statement - Reporting Comprehensive Income - Expense Disaggregation Disclosures (Subtopic 220-40). </w:t>
      </w:r>
      <w:r>
        <w:rPr>
          <w:rFonts w:ascii="Arial;sans-serif" w:hAnsi="Arial;sans-serif"/>
          <w:b w:val="false"/>
          <w:color w:val="131E29"/>
          <w:sz w:val="20"/>
        </w:rPr>
        <w:t>The intent of this ASU is to improve public entity financial footnote disclosures around types of expenses in commonly presented expense categories (i.e., cost of sales; selling, general, and administrative expense; and research and development expense). The amendments in this ASU do not change or remove current expense disclosure requirements, but rather 1) impact where this information appears in the notes to the consolidated financial statements and 2) add additional disclosure requirements for certain expense line items appearing on the face of our consolidated statements of operations. ASU 2024-03, as amended, is effective for annual reporting periods beginning after December 15, 2026 and interim reporting periods beginning after December 15, 2027. Early adoption is permitted. We are currently assessing potential impacts of this standard on our business processes and future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63220"/>
                <wp:effectExtent l="0" t="0" r="0" b="0"/>
                <wp:wrapNone/>
                <wp:docPr id="44" name="Frame16"/>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45"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16" descr=""/>
                                          <pic:cNvPicPr>
                                            <a:picLocks noChangeAspect="1" noChangeArrowheads="1"/>
                                          </pic:cNvPicPr>
                                        </pic:nvPicPr>
                                        <pic:blipFill>
                                          <a:blip r:embed="rId30"/>
                                          <a:stretch>
                                            <a:fillRect/>
                                          </a:stretch>
                                        </pic:blipFill>
                                        <pic:spPr bwMode="auto">
                                          <a:xfrm>
                                            <a:off x="0" y="0"/>
                                            <a:ext cx="190500" cy="266700"/>
                                          </a:xfrm>
                                          <a:prstGeom prst="rect">
                                            <a:avLst/>
                                          </a:prstGeom>
                                        </pic:spPr>
                                      </pic:pic>
                                    </a:graphicData>
                                  </a:graphic>
                                </wp:inline>
                              </w:drawing>
                            </w:r>
                            <w:bookmarkStart w:id="28" w:name="i-16"/>
                            <w:bookmarkEnd w:id="28"/>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4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6" descr=""/>
                                    <pic:cNvPicPr>
                                      <a:picLocks noChangeAspect="1" noChangeArrowheads="1"/>
                                    </pic:cNvPicPr>
                                  </pic:nvPicPr>
                                  <pic:blipFill>
                                    <a:blip r:embed="rId31"/>
                                    <a:stretch>
                                      <a:fillRect/>
                                    </a:stretch>
                                  </pic:blipFill>
                                  <pic:spPr bwMode="auto">
                                    <a:xfrm>
                                      <a:off x="0" y="0"/>
                                      <a:ext cx="190500" cy="266700"/>
                                    </a:xfrm>
                                    <a:prstGeom prst="rect">
                                      <a:avLst/>
                                    </a:prstGeom>
                                  </pic:spPr>
                                </pic:pic>
                              </a:graphicData>
                            </a:graphic>
                          </wp:inline>
                        </w:drawing>
                      </w:r>
                      <w:bookmarkStart w:id="29" w:name="i-16"/>
                      <w:bookmarkEnd w:id="29"/>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14</w:t>
                      </w:r>
                    </w:p>
                  </w:txbxContent>
                </v:textbox>
                <w10:wrap type="none"/>
              </v:rect>
            </w:pict>
          </mc:Fallback>
        </mc:AlternateContent>
      </w:r>
    </w:p>
    <w:p>
      <w:pPr>
        <w:pStyle w:val="TextBody"/>
        <w:bidi w:val="0"/>
        <w:spacing w:lineRule="auto" w:line="288" w:before="0" w:after="180"/>
        <w:jc w:val="both"/>
        <w:rPr/>
      </w:pPr>
      <w:hyperlink w:anchor="i901a725797c944a19267b6f140f14c09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NOTE 3 — Revenue Recognition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Deferred Revenue</w:t>
      </w:r>
    </w:p>
    <w:p>
      <w:pPr>
        <w:pStyle w:val="TextBody"/>
        <w:bidi w:val="0"/>
        <w:spacing w:lineRule="auto" w:line="288" w:before="0" w:after="60"/>
        <w:jc w:val="left"/>
        <w:rPr>
          <w:rFonts w:ascii="Arial;sans-serif" w:hAnsi="Arial;sans-serif"/>
          <w:b w:val="false"/>
          <w:color w:val="131E29"/>
          <w:sz w:val="20"/>
        </w:rPr>
      </w:pPr>
      <w:r>
        <w:rPr>
          <w:rFonts w:ascii="Arial;sans-serif" w:hAnsi="Arial;sans-serif"/>
          <w:b w:val="false"/>
          <w:color w:val="131E29"/>
          <w:sz w:val="20"/>
        </w:rPr>
        <w:t>Components of our deferred revenue liability are as follows:</w:t>
      </w:r>
    </w:p>
    <w:tbl>
      <w:tblPr>
        <w:tblW w:w="7801" w:type="dxa"/>
        <w:jc w:val="left"/>
        <w:tblInd w:w="0" w:type="dxa"/>
        <w:tblLayout w:type="fixed"/>
        <w:tblCellMar>
          <w:top w:w="28" w:type="dxa"/>
          <w:left w:w="28" w:type="dxa"/>
          <w:bottom w:w="28" w:type="dxa"/>
          <w:right w:w="28" w:type="dxa"/>
        </w:tblCellMar>
      </w:tblPr>
      <w:tblGrid>
        <w:gridCol w:w="1332"/>
        <w:gridCol w:w="1169"/>
        <w:gridCol w:w="1174"/>
        <w:gridCol w:w="109"/>
        <w:gridCol w:w="109"/>
        <w:gridCol w:w="109"/>
        <w:gridCol w:w="269"/>
        <w:gridCol w:w="957"/>
        <w:gridCol w:w="139"/>
        <w:gridCol w:w="109"/>
        <w:gridCol w:w="109"/>
        <w:gridCol w:w="109"/>
        <w:gridCol w:w="363"/>
        <w:gridCol w:w="1294"/>
        <w:gridCol w:w="187"/>
        <w:gridCol w:w="109"/>
        <w:gridCol w:w="154"/>
      </w:tblGrid>
      <w:tr>
        <w:trPr/>
        <w:tc>
          <w:tcPr>
            <w:tcW w:w="1332"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Gift card and loyalty programs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957"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50,155 </w:t>
            </w:r>
          </w:p>
        </w:tc>
        <w:tc>
          <w:tcPr>
            <w:tcW w:w="13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294"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62,014 </w:t>
            </w:r>
          </w:p>
        </w:tc>
        <w:tc>
          <w:tcPr>
            <w:tcW w:w="187"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131E29"/>
                <w:sz w:val="20"/>
              </w:rPr>
              <w:t>Initial unearned franchise fees and other</w:t>
            </w:r>
            <w:r>
              <w:rPr>
                <w:rFonts w:ascii="Arial;sans-serif" w:hAnsi="Arial;sans-serif"/>
                <w:b w:val="false"/>
                <w:color w:val="131E29"/>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3,529 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2,562 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Total deferred revenue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95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53,684</w:t>
            </w:r>
            <w:r>
              <w:rPr>
                <w:color w:val="006098"/>
              </w:rPr>
              <w:t> </w:t>
            </w:r>
          </w:p>
        </w:tc>
        <w:tc>
          <w:tcPr>
            <w:tcW w:w="13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131E29"/>
                <w:sz w:val="20"/>
              </w:rPr>
            </w:pPr>
            <w:r>
              <w:rPr>
                <w:rFonts w:ascii="Arial;sans-serif" w:hAnsi="Arial;sans-serif"/>
                <w:b/>
                <w:color w:val="131E29"/>
                <w:sz w:val="20"/>
              </w:rPr>
              <w:t>$</w:t>
            </w:r>
          </w:p>
        </w:tc>
        <w:tc>
          <w:tcPr>
            <w:tcW w:w="129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131E29"/>
                <w:sz w:val="20"/>
              </w:rPr>
              <w:t>64,576</w:t>
            </w:r>
            <w:r>
              <w:rPr>
                <w:color w:val="131E29"/>
              </w:rPr>
              <w:t> </w:t>
            </w:r>
          </w:p>
        </w:tc>
        <w:tc>
          <w:tcPr>
            <w:tcW w:w="18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_______________</w:t>
      </w:r>
    </w:p>
    <w:p>
      <w:pPr>
        <w:pStyle w:val="TextBody"/>
        <w:bidi w:val="0"/>
        <w:spacing w:lineRule="auto" w:line="288" w:before="0" w:after="180"/>
        <w:ind w:left="0" w:right="0" w:hanging="180"/>
        <w:jc w:val="both"/>
        <w:rPr/>
      </w:pPr>
      <w:r>
        <w:rPr>
          <w:rFonts w:ascii="Arial;sans-serif" w:hAnsi="Arial;sans-serif"/>
          <w:b w:val="false"/>
          <w:color w:val="000000"/>
          <w:sz w:val="10"/>
        </w:rPr>
        <w:t>1    </w:t>
      </w:r>
      <w:r>
        <w:rPr>
          <w:rFonts w:ascii="Arial;sans-serif" w:hAnsi="Arial;sans-serif"/>
          <w:b w:val="false"/>
          <w:color w:val="000000"/>
          <w:sz w:val="16"/>
        </w:rPr>
        <w:t>Initial unearned franchise fees are recorded as a contract liability, and revenue is recognized ratably over the term of the franchise agreement, which is generally ten years.</w:t>
      </w:r>
    </w:p>
    <w:p>
      <w:pPr>
        <w:pStyle w:val="TextBody"/>
        <w:bidi w:val="0"/>
        <w:spacing w:before="0" w:after="60"/>
        <w:jc w:val="left"/>
        <w:rPr/>
      </w:pPr>
      <w:r>
        <w:rPr/>
      </w:r>
    </w:p>
    <w:p>
      <w:pPr>
        <w:pStyle w:val="TextBody"/>
        <w:bidi w:val="0"/>
        <w:spacing w:lineRule="auto" w:line="288" w:before="0" w:after="60"/>
        <w:jc w:val="left"/>
        <w:rPr>
          <w:rFonts w:ascii="Arial;sans-serif" w:hAnsi="Arial;sans-serif"/>
          <w:b w:val="false"/>
          <w:color w:val="131E29"/>
          <w:sz w:val="20"/>
        </w:rPr>
      </w:pPr>
      <w:r>
        <w:rPr>
          <w:rFonts w:ascii="Arial;sans-serif" w:hAnsi="Arial;sans-serif"/>
          <w:b w:val="false"/>
          <w:color w:val="131E29"/>
          <w:sz w:val="20"/>
        </w:rPr>
        <w:t>Deferred revenue activity was as follows:</w:t>
      </w:r>
    </w:p>
    <w:tbl>
      <w:tblPr>
        <w:tblW w:w="6819" w:type="dxa"/>
        <w:jc w:val="left"/>
        <w:tblInd w:w="0" w:type="dxa"/>
        <w:tblLayout w:type="fixed"/>
        <w:tblCellMar>
          <w:top w:w="28" w:type="dxa"/>
          <w:left w:w="28" w:type="dxa"/>
          <w:bottom w:w="28" w:type="dxa"/>
          <w:right w:w="28" w:type="dxa"/>
        </w:tblCellMar>
      </w:tblPr>
      <w:tblGrid>
        <w:gridCol w:w="1376"/>
        <w:gridCol w:w="1207"/>
        <w:gridCol w:w="1212"/>
        <w:gridCol w:w="109"/>
        <w:gridCol w:w="109"/>
        <w:gridCol w:w="109"/>
        <w:gridCol w:w="226"/>
        <w:gridCol w:w="806"/>
        <w:gridCol w:w="117"/>
        <w:gridCol w:w="117"/>
        <w:gridCol w:w="117"/>
        <w:gridCol w:w="117"/>
        <w:gridCol w:w="226"/>
        <w:gridCol w:w="806"/>
        <w:gridCol w:w="165"/>
      </w:tblGrid>
      <w:tr>
        <w:trPr/>
        <w:tc>
          <w:tcPr>
            <w:tcW w:w="1376"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9"/>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Six Months Ended June 30,</w:t>
            </w:r>
          </w:p>
        </w:tc>
      </w:tr>
      <w:tr>
        <w:trPr/>
        <w:tc>
          <w:tcPr>
            <w:tcW w:w="3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35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131E29"/>
                <w:sz w:val="20"/>
              </w:rPr>
              <w:t xml:space="preserve">2025 </w:t>
            </w:r>
            <w:r>
              <w:rPr>
                <w:rFonts w:ascii="Arial;sans-serif" w:hAnsi="Arial;sans-serif"/>
                <w:b/>
                <w:color w:val="131E29"/>
                <w:sz w:val="13"/>
              </w:rPr>
              <w:t>3</w:t>
            </w:r>
          </w:p>
        </w:tc>
      </w:tr>
      <w:tr>
        <w:trPr/>
        <w:tc>
          <w:tcPr>
            <w:tcW w:w="3795"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Beginning balance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80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64,576</w:t>
            </w:r>
            <w:r>
              <w:rPr>
                <w:color w:val="006098"/>
              </w:rPr>
              <w:t> </w:t>
            </w:r>
          </w:p>
        </w:tc>
        <w:tc>
          <w:tcPr>
            <w:tcW w:w="117"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1E29"/>
                <w:sz w:val="20"/>
              </w:rPr>
            </w:pPr>
            <w:r>
              <w:rPr>
                <w:rFonts w:ascii="Arial;sans-serif" w:hAnsi="Arial;sans-serif"/>
                <w:b/>
                <w:color w:val="131E29"/>
                <w:sz w:val="20"/>
              </w:rPr>
              <w:t>$</w:t>
            </w:r>
          </w:p>
        </w:tc>
        <w:tc>
          <w:tcPr>
            <w:tcW w:w="80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1E29"/>
                <w:sz w:val="20"/>
              </w:rPr>
              <w:t>50,883</w:t>
            </w:r>
            <w:r>
              <w:rPr>
                <w:color w:val="131E29"/>
              </w:rPr>
              <w:t> </w:t>
            </w:r>
          </w:p>
        </w:tc>
        <w:tc>
          <w:tcPr>
            <w:tcW w:w="165"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131E29"/>
                <w:sz w:val="20"/>
              </w:rPr>
              <w:t xml:space="preserve">Revenue deferred </w:t>
            </w:r>
            <w:r>
              <w:rPr>
                <w:rFonts w:ascii="Arial;sans-serif" w:hAnsi="Arial;sans-serif"/>
                <w:b w:val="false"/>
                <w:color w:val="131E29"/>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221,197 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265,623 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131E29"/>
                <w:sz w:val="20"/>
              </w:rPr>
              <w:t xml:space="preserve">Revenue recognized </w:t>
            </w:r>
            <w:r>
              <w:rPr>
                <w:rFonts w:ascii="Arial;sans-serif" w:hAnsi="Arial;sans-serif"/>
                <w:b w:val="false"/>
                <w:color w:val="131E29"/>
                <w:sz w:val="13"/>
              </w:rPr>
              <w:t>2</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(232,412)</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(265,111)</w:t>
            </w:r>
          </w:p>
        </w:tc>
        <w:tc>
          <w:tcPr>
            <w:tcW w:w="165"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 xml:space="preserve">Other deferred revenue, net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323 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(122)</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Ending balance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53,684</w:t>
            </w:r>
            <w:r>
              <w:rPr>
                <w:color w:val="006098"/>
              </w:rPr>
              <w:t> </w:t>
            </w:r>
          </w:p>
        </w:tc>
        <w:tc>
          <w:tcPr>
            <w:tcW w:w="117"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1E29"/>
                <w:sz w:val="20"/>
              </w:rPr>
              <w:t>51,273</w:t>
            </w:r>
            <w:r>
              <w:rPr>
                <w:color w:val="131E29"/>
              </w:rPr>
              <w:t> </w:t>
            </w:r>
          </w:p>
        </w:tc>
        <w:tc>
          <w:tcPr>
            <w:tcW w:w="165"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(47,160)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(43,533)</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Deferred revenue, net of current portion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80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6,524</w:t>
            </w:r>
            <w:r>
              <w:rPr>
                <w:color w:val="006098"/>
              </w:rPr>
              <w:t> </w:t>
            </w:r>
          </w:p>
        </w:tc>
        <w:tc>
          <w:tcPr>
            <w:tcW w:w="11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131E29"/>
                <w:sz w:val="20"/>
              </w:rPr>
            </w:pPr>
            <w:r>
              <w:rPr>
                <w:rFonts w:ascii="Arial;sans-serif" w:hAnsi="Arial;sans-serif"/>
                <w:b/>
                <w:color w:val="131E29"/>
                <w:sz w:val="20"/>
              </w:rPr>
              <w:t>$</w:t>
            </w:r>
          </w:p>
        </w:tc>
        <w:tc>
          <w:tcPr>
            <w:tcW w:w="80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131E29"/>
                <w:sz w:val="20"/>
              </w:rPr>
              <w:t>7,740</w:t>
            </w:r>
            <w:r>
              <w:rPr>
                <w:color w:val="131E29"/>
              </w:rPr>
              <w:t> </w:t>
            </w:r>
          </w:p>
        </w:tc>
        <w:tc>
          <w:tcPr>
            <w:tcW w:w="165"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_______________</w:t>
      </w:r>
    </w:p>
    <w:p>
      <w:pPr>
        <w:pStyle w:val="TextBody"/>
        <w:bidi w:val="0"/>
        <w:spacing w:lineRule="auto" w:line="288" w:before="0" w:after="0"/>
        <w:ind w:left="0" w:right="0" w:hanging="180"/>
        <w:jc w:val="both"/>
        <w:rPr/>
      </w:pPr>
      <w:r>
        <w:rPr>
          <w:rFonts w:ascii="Arial;sans-serif" w:hAnsi="Arial;sans-serif"/>
          <w:b w:val="false"/>
          <w:color w:val="000000"/>
          <w:sz w:val="10"/>
        </w:rPr>
        <w:t>1    </w:t>
      </w:r>
      <w:r>
        <w:rPr>
          <w:rFonts w:ascii="Arial;sans-serif" w:hAnsi="Arial;sans-serif"/>
          <w:b w:val="false"/>
          <w:color w:val="000000"/>
          <w:sz w:val="16"/>
        </w:rPr>
        <w:t>Revenue deferred includes gift card activations, loyalty app cash loads and loyalty points/rewards earned.</w:t>
      </w:r>
    </w:p>
    <w:p>
      <w:pPr>
        <w:pStyle w:val="TextBody"/>
        <w:bidi w:val="0"/>
        <w:spacing w:lineRule="auto" w:line="288" w:before="0" w:after="0"/>
        <w:ind w:left="0" w:right="0" w:hanging="180"/>
        <w:jc w:val="both"/>
        <w:rPr/>
      </w:pPr>
      <w:r>
        <w:rPr>
          <w:rFonts w:ascii="Arial;sans-serif" w:hAnsi="Arial;sans-serif"/>
          <w:b w:val="false"/>
          <w:color w:val="000000"/>
          <w:sz w:val="10"/>
        </w:rPr>
        <w:t>2    </w:t>
      </w:r>
      <w:r>
        <w:rPr>
          <w:rFonts w:ascii="Arial;sans-serif" w:hAnsi="Arial;sans-serif"/>
          <w:b w:val="false"/>
          <w:color w:val="000000"/>
          <w:sz w:val="16"/>
        </w:rPr>
        <w:t>Revenue recognized includes redemptions of gift cards, loyalty app cash loads and rewards, as well as breakage.</w:t>
      </w:r>
    </w:p>
    <w:p>
      <w:pPr>
        <w:pStyle w:val="TextBody"/>
        <w:bidi w:val="0"/>
        <w:spacing w:lineRule="auto" w:line="288" w:before="0" w:after="180"/>
        <w:ind w:left="0" w:right="0" w:hanging="180"/>
        <w:jc w:val="both"/>
        <w:rPr/>
      </w:pPr>
      <w:r>
        <w:rPr>
          <w:rFonts w:ascii="Arial;sans-serif" w:hAnsi="Arial;sans-serif"/>
          <w:b w:val="false"/>
          <w:color w:val="000000"/>
          <w:sz w:val="10"/>
        </w:rPr>
        <w:t>3    </w:t>
      </w:r>
      <w:r>
        <w:rPr>
          <w:rFonts w:ascii="Arial;sans-serif" w:hAnsi="Arial;sans-serif"/>
          <w:b w:val="false"/>
          <w:color w:val="000000"/>
          <w:sz w:val="16"/>
        </w:rPr>
        <w:t xml:space="preserve">Beginning in 2026, complimentary birthday drinks and other promotional awards, which are not issued in connection with a purchase, have been excluded from the population of deferred revenue activity. For the six months ended June 30, 2025, complimentary birthday drinks and other promotional awards activity of revenue deferred and revenue recognized was approximately $49.0 million and $48.5 million, respectively. This change did not have a material effect on the ending deferred revenue balance.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Revenue recognized during the three and six months ended June 30, 2026 and 2025, respectively, that was included in the deferred revenue liability balances at the beginning of the period, are shown below. </w:t>
      </w:r>
    </w:p>
    <w:tbl>
      <w:tblPr>
        <w:tblW w:w="8579" w:type="dxa"/>
        <w:jc w:val="left"/>
        <w:tblInd w:w="0" w:type="dxa"/>
        <w:tblLayout w:type="fixed"/>
        <w:tblCellMar>
          <w:top w:w="28" w:type="dxa"/>
          <w:left w:w="28" w:type="dxa"/>
          <w:bottom w:w="28" w:type="dxa"/>
          <w:right w:w="28" w:type="dxa"/>
        </w:tblCellMar>
      </w:tblPr>
      <w:tblGrid>
        <w:gridCol w:w="770"/>
        <w:gridCol w:w="677"/>
        <w:gridCol w:w="682"/>
        <w:gridCol w:w="109"/>
        <w:gridCol w:w="109"/>
        <w:gridCol w:w="109"/>
        <w:gridCol w:w="269"/>
        <w:gridCol w:w="823"/>
        <w:gridCol w:w="139"/>
        <w:gridCol w:w="139"/>
        <w:gridCol w:w="139"/>
        <w:gridCol w:w="139"/>
        <w:gridCol w:w="269"/>
        <w:gridCol w:w="823"/>
        <w:gridCol w:w="139"/>
        <w:gridCol w:w="109"/>
        <w:gridCol w:w="109"/>
        <w:gridCol w:w="109"/>
        <w:gridCol w:w="248"/>
        <w:gridCol w:w="759"/>
        <w:gridCol w:w="128"/>
        <w:gridCol w:w="128"/>
        <w:gridCol w:w="128"/>
        <w:gridCol w:w="128"/>
        <w:gridCol w:w="248"/>
        <w:gridCol w:w="759"/>
        <w:gridCol w:w="128"/>
        <w:gridCol w:w="109"/>
        <w:gridCol w:w="154"/>
      </w:tblGrid>
      <w:tr>
        <w:trPr/>
        <w:tc>
          <w:tcPr>
            <w:tcW w:w="770"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41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384"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131E29"/>
                <w:sz w:val="20"/>
              </w:rPr>
              <w:t xml:space="preserve">Gift card redemptions </w:t>
            </w:r>
            <w:r>
              <w:rPr>
                <w:rFonts w:ascii="Arial;sans-serif" w:hAnsi="Arial;sans-serif"/>
                <w:b w:val="false"/>
                <w:color w:val="131E29"/>
                <w:sz w:val="13"/>
              </w:rPr>
              <w:t>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823"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3,078 </w:t>
            </w:r>
          </w:p>
        </w:tc>
        <w:tc>
          <w:tcPr>
            <w:tcW w:w="13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31E29"/>
                <w:sz w:val="20"/>
              </w:rPr>
            </w:pPr>
            <w:r>
              <w:rPr>
                <w:rFonts w:ascii="Arial;sans-serif" w:hAnsi="Arial;sans-serif"/>
                <w:b w:val="false"/>
                <w:color w:val="131E29"/>
                <w:sz w:val="20"/>
              </w:rPr>
              <w:t>$</w:t>
            </w:r>
          </w:p>
        </w:tc>
        <w:tc>
          <w:tcPr>
            <w:tcW w:w="823"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1,315 </w:t>
            </w:r>
          </w:p>
        </w:tc>
        <w:tc>
          <w:tcPr>
            <w:tcW w:w="13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759"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8,640 </w:t>
            </w:r>
          </w:p>
        </w:tc>
        <w:tc>
          <w:tcPr>
            <w:tcW w:w="128"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31E29"/>
                <w:sz w:val="20"/>
              </w:rPr>
            </w:pPr>
            <w:r>
              <w:rPr>
                <w:rFonts w:ascii="Arial;sans-serif" w:hAnsi="Arial;sans-serif"/>
                <w:b w:val="false"/>
                <w:color w:val="131E29"/>
                <w:sz w:val="20"/>
              </w:rPr>
              <w:t>$</w:t>
            </w:r>
          </w:p>
        </w:tc>
        <w:tc>
          <w:tcPr>
            <w:tcW w:w="759"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6,407 </w:t>
            </w:r>
          </w:p>
        </w:tc>
        <w:tc>
          <w:tcPr>
            <w:tcW w:w="128"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_____________________</w:t>
      </w:r>
    </w:p>
    <w:p>
      <w:pPr>
        <w:pStyle w:val="TextBody"/>
        <w:bidi w:val="0"/>
        <w:spacing w:lineRule="auto" w:line="288" w:before="0" w:after="180"/>
        <w:ind w:left="0" w:right="0" w:hanging="180"/>
        <w:jc w:val="both"/>
        <w:rPr/>
      </w:pPr>
      <w:r>
        <w:rPr>
          <w:rFonts w:ascii="Arial;sans-serif" w:hAnsi="Arial;sans-serif"/>
          <w:b w:val="false"/>
          <w:color w:val="000000"/>
          <w:sz w:val="10"/>
        </w:rPr>
        <w:t>1</w:t>
      </w:r>
      <w:r>
        <w:rPr>
          <w:color w:val="000000"/>
        </w:rPr>
        <w:t>    </w:t>
      </w:r>
      <w:r>
        <w:rPr>
          <w:rFonts w:ascii="Arial;sans-serif" w:hAnsi="Arial;sans-serif"/>
          <w:b w:val="false"/>
          <w:color w:val="131E29"/>
          <w:sz w:val="16"/>
        </w:rPr>
        <w:t>Amounts exclude cash loads and transactions related to our loyalty rewards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NOTE 4 — Acquisitions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Asset Acquisition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On January 23, 2026, we purchased certain assets of Clutch Coffee, primarily consisting of leasehold interests for $19.8 million in cash. Clutch Coffee was a regional drive-thru chain with 22 locations operating or under construction in North Carolina and South Carolina. This acquisition was accounted for as an asset acquisition in accordance with ASC 805, Business Combinations, with the purchase price and transaction costs allocated to the assets acquired based on their relative fair value as of the acquisition date. We are in the process of converting 20 of these acquired locations to Dutch Bros-branded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363220"/>
                <wp:effectExtent l="0" t="0" r="0" b="0"/>
                <wp:wrapNone/>
                <wp:docPr id="47" name="Frame17"/>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48"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7" descr=""/>
                                          <pic:cNvPicPr>
                                            <a:picLocks noChangeAspect="1" noChangeArrowheads="1"/>
                                          </pic:cNvPicPr>
                                        </pic:nvPicPr>
                                        <pic:blipFill>
                                          <a:blip r:embed="rId32"/>
                                          <a:stretch>
                                            <a:fillRect/>
                                          </a:stretch>
                                        </pic:blipFill>
                                        <pic:spPr bwMode="auto">
                                          <a:xfrm>
                                            <a:off x="0" y="0"/>
                                            <a:ext cx="190500" cy="266700"/>
                                          </a:xfrm>
                                          <a:prstGeom prst="rect">
                                            <a:avLst/>
                                          </a:prstGeom>
                                        </pic:spPr>
                                      </pic:pic>
                                    </a:graphicData>
                                  </a:graphic>
                                </wp:inline>
                              </w:drawing>
                            </w:r>
                            <w:bookmarkStart w:id="30" w:name="i-17"/>
                            <w:bookmarkEnd w:id="30"/>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4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17" descr=""/>
                                    <pic:cNvPicPr>
                                      <a:picLocks noChangeAspect="1" noChangeArrowheads="1"/>
                                    </pic:cNvPicPr>
                                  </pic:nvPicPr>
                                  <pic:blipFill>
                                    <a:blip r:embed="rId33"/>
                                    <a:stretch>
                                      <a:fillRect/>
                                    </a:stretch>
                                  </pic:blipFill>
                                  <pic:spPr bwMode="auto">
                                    <a:xfrm>
                                      <a:off x="0" y="0"/>
                                      <a:ext cx="190500" cy="266700"/>
                                    </a:xfrm>
                                    <a:prstGeom prst="rect">
                                      <a:avLst/>
                                    </a:prstGeom>
                                  </pic:spPr>
                                </pic:pic>
                              </a:graphicData>
                            </a:graphic>
                          </wp:inline>
                        </w:drawing>
                      </w:r>
                      <w:bookmarkStart w:id="31" w:name="i-17"/>
                      <w:bookmarkEnd w:id="31"/>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15</w:t>
                      </w:r>
                    </w:p>
                  </w:txbxContent>
                </v:textbox>
                <w10:wrap type="none"/>
              </v:rect>
            </w:pict>
          </mc:Fallback>
        </mc:AlternateContent>
      </w:r>
    </w:p>
    <w:p>
      <w:pPr>
        <w:pStyle w:val="TextBody"/>
        <w:bidi w:val="0"/>
        <w:spacing w:lineRule="auto" w:line="288" w:before="0" w:after="180"/>
        <w:jc w:val="both"/>
        <w:rPr/>
      </w:pPr>
      <w:hyperlink w:anchor="i901a725797c944a19267b6f140f14c09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operated shops. As of June 30, 2026, we have converted 14 shops to Dutch Bros-branded shops, with the remaining to be converted by the end of Q3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NOTE 5 — Supplemental Financial Information</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Inventories</w:t>
      </w:r>
    </w:p>
    <w:p>
      <w:pPr>
        <w:pStyle w:val="TextBody"/>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 xml:space="preserve">Inventories, net consisted of the following: </w:t>
      </w:r>
    </w:p>
    <w:tbl>
      <w:tblPr>
        <w:tblW w:w="5587" w:type="dxa"/>
        <w:jc w:val="left"/>
        <w:tblInd w:w="0" w:type="dxa"/>
        <w:tblLayout w:type="fixed"/>
        <w:tblCellMar>
          <w:top w:w="28" w:type="dxa"/>
          <w:left w:w="28" w:type="dxa"/>
          <w:bottom w:w="28" w:type="dxa"/>
          <w:right w:w="28" w:type="dxa"/>
        </w:tblCellMar>
      </w:tblPr>
      <w:tblGrid>
        <w:gridCol w:w="609"/>
        <w:gridCol w:w="534"/>
        <w:gridCol w:w="536"/>
        <w:gridCol w:w="109"/>
        <w:gridCol w:w="109"/>
        <w:gridCol w:w="109"/>
        <w:gridCol w:w="269"/>
        <w:gridCol w:w="957"/>
        <w:gridCol w:w="139"/>
        <w:gridCol w:w="109"/>
        <w:gridCol w:w="109"/>
        <w:gridCol w:w="109"/>
        <w:gridCol w:w="357"/>
        <w:gridCol w:w="1272"/>
        <w:gridCol w:w="260"/>
      </w:tblGrid>
      <w:tr>
        <w:trPr/>
        <w:tc>
          <w:tcPr>
            <w:tcW w:w="6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2216" w:type="dxa"/>
            <w:gridSpan w:val="6"/>
            <w:tcBorders/>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December 31, 2025</w:t>
            </w:r>
          </w:p>
        </w:tc>
      </w:tr>
      <w:tr>
        <w:trPr/>
        <w:tc>
          <w:tcPr>
            <w:tcW w:w="1679"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Raw materials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957"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15,412 </w:t>
            </w:r>
          </w:p>
        </w:tc>
        <w:tc>
          <w:tcPr>
            <w:tcW w:w="13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272"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25,516 </w:t>
            </w:r>
          </w:p>
        </w:tc>
        <w:tc>
          <w:tcPr>
            <w:tcW w:w="260"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Finished goods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25,841 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23,401 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Total inventories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95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41,253</w:t>
            </w:r>
            <w:r>
              <w:rPr>
                <w:color w:val="006098"/>
              </w:rPr>
              <w:t> </w:t>
            </w:r>
          </w:p>
        </w:tc>
        <w:tc>
          <w:tcPr>
            <w:tcW w:w="13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1272"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48,917</w:t>
            </w:r>
            <w:r>
              <w:rPr>
                <w:color w:val="131E29"/>
              </w:rPr>
              <w:t> </w:t>
            </w:r>
          </w:p>
        </w:tc>
        <w:tc>
          <w:tcPr>
            <w:tcW w:w="26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Other current liabilities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Other current liabilities consisted of the following:</w:t>
      </w:r>
    </w:p>
    <w:tbl>
      <w:tblPr>
        <w:tblW w:w="7372" w:type="dxa"/>
        <w:jc w:val="left"/>
        <w:tblInd w:w="0" w:type="dxa"/>
        <w:tblLayout w:type="fixed"/>
        <w:tblCellMar>
          <w:top w:w="28" w:type="dxa"/>
          <w:left w:w="28" w:type="dxa"/>
          <w:bottom w:w="28" w:type="dxa"/>
          <w:right w:w="28" w:type="dxa"/>
        </w:tblCellMar>
      </w:tblPr>
      <w:tblGrid>
        <w:gridCol w:w="1255"/>
        <w:gridCol w:w="1102"/>
        <w:gridCol w:w="1107"/>
        <w:gridCol w:w="109"/>
        <w:gridCol w:w="109"/>
        <w:gridCol w:w="109"/>
        <w:gridCol w:w="245"/>
        <w:gridCol w:w="994"/>
        <w:gridCol w:w="126"/>
        <w:gridCol w:w="109"/>
        <w:gridCol w:w="109"/>
        <w:gridCol w:w="109"/>
        <w:gridCol w:w="357"/>
        <w:gridCol w:w="1272"/>
        <w:gridCol w:w="260"/>
      </w:tblGrid>
      <w:tr>
        <w:trPr/>
        <w:tc>
          <w:tcPr>
            <w:tcW w:w="1255"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2216" w:type="dxa"/>
            <w:gridSpan w:val="6"/>
            <w:tcBorders/>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December 31, 2025</w:t>
            </w:r>
          </w:p>
        </w:tc>
      </w:tr>
      <w:tr>
        <w:trPr/>
        <w:tc>
          <w:tcPr>
            <w:tcW w:w="3464"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Accrued compensation and benefits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994"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53,942 </w:t>
            </w:r>
          </w:p>
        </w:tc>
        <w:tc>
          <w:tcPr>
            <w:tcW w:w="126"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272"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50,314 </w:t>
            </w:r>
          </w:p>
        </w:tc>
        <w:tc>
          <w:tcPr>
            <w:tcW w:w="260"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Sales, use and property taxes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15,980 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15,354 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Other accrued liabilities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53,472 </w:t>
            </w:r>
          </w:p>
        </w:tc>
        <w:tc>
          <w:tcPr>
            <w:tcW w:w="12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33,505 </w:t>
            </w:r>
          </w:p>
        </w:tc>
        <w:tc>
          <w:tcPr>
            <w:tcW w:w="26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9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123,394</w:t>
            </w:r>
            <w:r>
              <w:rPr>
                <w:color w:val="006098"/>
              </w:rPr>
              <w:t>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131E29"/>
                <w:sz w:val="20"/>
              </w:rPr>
            </w:pPr>
            <w:r>
              <w:rPr>
                <w:rFonts w:ascii="Arial;sans-serif" w:hAnsi="Arial;sans-serif"/>
                <w:b/>
                <w:color w:val="131E29"/>
                <w:sz w:val="20"/>
              </w:rPr>
              <w:t>$</w:t>
            </w:r>
          </w:p>
        </w:tc>
        <w:tc>
          <w:tcPr>
            <w:tcW w:w="1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131E29"/>
                <w:sz w:val="20"/>
              </w:rPr>
              <w:t>99,173</w:t>
            </w:r>
            <w:r>
              <w:rPr>
                <w:color w:val="131E29"/>
              </w:rPr>
              <w:t> </w:t>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NOTE 6 — Property and Equipment</w:t>
      </w:r>
    </w:p>
    <w:p>
      <w:pPr>
        <w:pStyle w:val="TextBody"/>
        <w:bidi w:val="0"/>
        <w:spacing w:lineRule="auto" w:line="288" w:before="0" w:after="120"/>
        <w:jc w:val="left"/>
        <w:rPr>
          <w:rFonts w:ascii="Arial;sans-serif" w:hAnsi="Arial;sans-serif"/>
          <w:b w:val="false"/>
          <w:color w:val="131E29"/>
          <w:sz w:val="20"/>
        </w:rPr>
      </w:pPr>
      <w:r>
        <w:rPr>
          <w:rFonts w:ascii="Arial;sans-serif" w:hAnsi="Arial;sans-serif"/>
          <w:b w:val="false"/>
          <w:color w:val="131E29"/>
          <w:sz w:val="20"/>
        </w:rPr>
        <w:t>Property and equipment, net consisted of the following:</w:t>
      </w:r>
    </w:p>
    <w:tbl>
      <w:tblPr>
        <w:tblW w:w="8877" w:type="dxa"/>
        <w:jc w:val="left"/>
        <w:tblInd w:w="0" w:type="dxa"/>
        <w:tblLayout w:type="fixed"/>
        <w:tblCellMar>
          <w:top w:w="28" w:type="dxa"/>
          <w:left w:w="28" w:type="dxa"/>
          <w:bottom w:w="28" w:type="dxa"/>
          <w:right w:w="28" w:type="dxa"/>
        </w:tblCellMar>
      </w:tblPr>
      <w:tblGrid>
        <w:gridCol w:w="1256"/>
        <w:gridCol w:w="1101"/>
        <w:gridCol w:w="1108"/>
        <w:gridCol w:w="109"/>
        <w:gridCol w:w="109"/>
        <w:gridCol w:w="109"/>
        <w:gridCol w:w="109"/>
        <w:gridCol w:w="109"/>
        <w:gridCol w:w="269"/>
        <w:gridCol w:w="957"/>
        <w:gridCol w:w="139"/>
        <w:gridCol w:w="109"/>
        <w:gridCol w:w="331"/>
        <w:gridCol w:w="1343"/>
        <w:gridCol w:w="171"/>
        <w:gridCol w:w="109"/>
        <w:gridCol w:w="109"/>
        <w:gridCol w:w="109"/>
        <w:gridCol w:w="211"/>
        <w:gridCol w:w="856"/>
        <w:gridCol w:w="154"/>
      </w:tblGrid>
      <w:tr>
        <w:trPr/>
        <w:tc>
          <w:tcPr>
            <w:tcW w:w="1256"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1548" w:type="dxa"/>
            <w:gridSpan w:val="6"/>
            <w:tcBorders/>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June 30,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December 31, 2025</w:t>
            </w:r>
          </w:p>
        </w:tc>
        <w:tc>
          <w:tcPr>
            <w:tcW w:w="1548" w:type="dxa"/>
            <w:gridSpan w:val="6"/>
            <w:tcBorders/>
          </w:tcPr>
          <w:p>
            <w:pPr>
              <w:pStyle w:val="TableContents"/>
              <w:bidi w:val="0"/>
              <w:spacing w:before="0" w:after="283"/>
              <w:jc w:val="left"/>
              <w:rPr>
                <w:sz w:val="4"/>
                <w:szCs w:val="4"/>
              </w:rPr>
            </w:pPr>
            <w:r>
              <w:rPr>
                <w:sz w:val="4"/>
                <w:szCs w:val="4"/>
              </w:rPr>
            </w:r>
          </w:p>
        </w:tc>
      </w:tr>
      <w:tr>
        <w:trPr/>
        <w:tc>
          <w:tcPr>
            <w:tcW w:w="3465"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Software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957"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20,944 </w:t>
            </w:r>
          </w:p>
        </w:tc>
        <w:tc>
          <w:tcPr>
            <w:tcW w:w="13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31E29"/>
                <w:sz w:val="20"/>
              </w:rPr>
            </w:pPr>
            <w:r>
              <w:rPr>
                <w:rFonts w:ascii="Arial;sans-serif" w:hAnsi="Arial;sans-serif"/>
                <w:b w:val="false"/>
                <w:color w:val="131E29"/>
                <w:sz w:val="20"/>
              </w:rPr>
              <w:t>$</w:t>
            </w:r>
          </w:p>
        </w:tc>
        <w:tc>
          <w:tcPr>
            <w:tcW w:w="1343"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14,630 </w:t>
            </w:r>
          </w:p>
        </w:tc>
        <w:tc>
          <w:tcPr>
            <w:tcW w:w="171"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6"/>
            <w:tcBorders/>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Equipment and fixtures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356,096 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305,116 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Buildings and leasehold improvements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4"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739,156 </w:t>
            </w:r>
          </w:p>
        </w:tc>
        <w:tc>
          <w:tcPr>
            <w:tcW w:w="17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684,322 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7,022 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7,022 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6"/>
            <w:tcBorders/>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1548" w:type="dxa"/>
            <w:gridSpan w:val="6"/>
            <w:tcBorders/>
          </w:tcPr>
          <w:p>
            <w:pPr>
              <w:pStyle w:val="TableContents"/>
              <w:bidi w:val="0"/>
              <w:spacing w:before="0" w:after="283"/>
              <w:jc w:val="left"/>
              <w:rPr>
                <w:sz w:val="4"/>
                <w:szCs w:val="4"/>
              </w:rPr>
            </w:pPr>
            <w:r>
              <w:rPr>
                <w:sz w:val="4"/>
                <w:szCs w:val="4"/>
              </w:rPr>
            </w:r>
          </w:p>
        </w:tc>
      </w:tr>
      <w:tr>
        <w:trPr/>
        <w:tc>
          <w:tcPr>
            <w:tcW w:w="3465"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131E29"/>
                <w:sz w:val="20"/>
              </w:rPr>
              <w:t xml:space="preserve">Construction-in-progress </w:t>
            </w:r>
            <w:r>
              <w:rPr>
                <w:rFonts w:ascii="Arial;sans-serif" w:hAnsi="Arial;sans-serif"/>
                <w:b w:val="false"/>
                <w:color w:val="131E29"/>
                <w:sz w:val="13"/>
              </w:rPr>
              <w:t>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100,993 </w:t>
            </w:r>
          </w:p>
        </w:tc>
        <w:tc>
          <w:tcPr>
            <w:tcW w:w="13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75,225 </w:t>
            </w:r>
          </w:p>
        </w:tc>
        <w:tc>
          <w:tcPr>
            <w:tcW w:w="17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6"/>
            <w:tcBorders/>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Property and equipment, gross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1,224,211 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1,086,315 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Less: accumulated depreciation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4"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(318,970)</w:t>
            </w:r>
          </w:p>
        </w:tc>
        <w:tc>
          <w:tcPr>
            <w:tcW w:w="17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(261,813)</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1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905,241</w:t>
            </w:r>
            <w:r>
              <w:rPr>
                <w:color w:val="006098"/>
              </w:rPr>
              <w:t>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131E29"/>
                <w:sz w:val="20"/>
              </w:rPr>
            </w:pPr>
            <w:r>
              <w:rPr>
                <w:rFonts w:ascii="Arial;sans-serif" w:hAnsi="Arial;sans-serif"/>
                <w:b/>
                <w:color w:val="131E29"/>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131E29"/>
                <w:sz w:val="20"/>
              </w:rPr>
              <w:t>824,502</w:t>
            </w:r>
            <w:r>
              <w:rPr>
                <w:color w:val="131E29"/>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_______________</w:t>
      </w:r>
    </w:p>
    <w:p>
      <w:pPr>
        <w:pStyle w:val="TextBody"/>
        <w:bidi w:val="0"/>
        <w:spacing w:lineRule="auto" w:line="288" w:before="0" w:after="180"/>
        <w:ind w:left="0" w:right="0" w:hanging="180"/>
        <w:jc w:val="both"/>
        <w:rPr/>
      </w:pPr>
      <w:r>
        <w:rPr>
          <w:rFonts w:ascii="Arial;sans-serif" w:hAnsi="Arial;sans-serif"/>
          <w:b w:val="false"/>
          <w:color w:val="131E29"/>
          <w:sz w:val="10"/>
        </w:rPr>
        <w:t>1    </w:t>
      </w:r>
      <w:r>
        <w:rPr>
          <w:rFonts w:ascii="Arial;sans-serif" w:hAnsi="Arial;sans-serif"/>
          <w:b w:val="false"/>
          <w:color w:val="131E29"/>
          <w:sz w:val="16"/>
        </w:rPr>
        <w:t>Construction-in-progress primarily consisted of construction and equipment costs for new and existing shops.</w:t>
      </w:r>
    </w:p>
    <w:p>
      <w:pPr>
        <w:pStyle w:val="TextBody"/>
        <w:bidi w:val="0"/>
        <w:spacing w:lineRule="auto" w:line="288" w:before="0" w:after="120"/>
        <w:jc w:val="both"/>
        <w:rPr>
          <w:rFonts w:ascii="Arial;sans-serif" w:hAnsi="Arial;sans-serif"/>
          <w:b w:val="false"/>
          <w:color w:val="131E29"/>
          <w:sz w:val="20"/>
        </w:rPr>
      </w:pPr>
      <w:r>
        <w:rPr>
          <w:rFonts w:ascii="Arial;sans-serif" w:hAnsi="Arial;sans-serif"/>
          <w:b w:val="false"/>
          <w:color w:val="131E29"/>
          <w:sz w:val="20"/>
        </w:rPr>
        <w:t>Depreciation expense included in our condensed consolidated statements of operations was as follows:</w:t>
      </w:r>
    </w:p>
    <w:tbl>
      <w:tblPr>
        <w:tblW w:w="9611" w:type="dxa"/>
        <w:jc w:val="left"/>
        <w:tblInd w:w="0" w:type="dxa"/>
        <w:tblLayout w:type="fixed"/>
        <w:tblCellMar>
          <w:top w:w="28" w:type="dxa"/>
          <w:left w:w="28" w:type="dxa"/>
          <w:bottom w:w="28" w:type="dxa"/>
          <w:right w:w="28" w:type="dxa"/>
        </w:tblCellMar>
      </w:tblPr>
      <w:tblGrid>
        <w:gridCol w:w="1146"/>
        <w:gridCol w:w="1007"/>
        <w:gridCol w:w="1011"/>
        <w:gridCol w:w="109"/>
        <w:gridCol w:w="109"/>
        <w:gridCol w:w="109"/>
        <w:gridCol w:w="246"/>
        <w:gridCol w:w="876"/>
        <w:gridCol w:w="127"/>
        <w:gridCol w:w="127"/>
        <w:gridCol w:w="127"/>
        <w:gridCol w:w="127"/>
        <w:gridCol w:w="246"/>
        <w:gridCol w:w="876"/>
        <w:gridCol w:w="127"/>
        <w:gridCol w:w="109"/>
        <w:gridCol w:w="109"/>
        <w:gridCol w:w="109"/>
        <w:gridCol w:w="226"/>
        <w:gridCol w:w="807"/>
        <w:gridCol w:w="117"/>
        <w:gridCol w:w="117"/>
        <w:gridCol w:w="117"/>
        <w:gridCol w:w="117"/>
        <w:gridCol w:w="226"/>
        <w:gridCol w:w="807"/>
        <w:gridCol w:w="117"/>
        <w:gridCol w:w="109"/>
        <w:gridCol w:w="154"/>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38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35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Cost of sales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87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26,183 </w:t>
            </w:r>
          </w:p>
        </w:tc>
        <w:tc>
          <w:tcPr>
            <w:tcW w:w="127"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7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19,942 </w:t>
            </w:r>
          </w:p>
        </w:tc>
        <w:tc>
          <w:tcPr>
            <w:tcW w:w="127"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807"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55,340 </w:t>
            </w:r>
          </w:p>
        </w:tc>
        <w:tc>
          <w:tcPr>
            <w:tcW w:w="117"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31E29"/>
                <w:sz w:val="20"/>
              </w:rPr>
            </w:pPr>
            <w:r>
              <w:rPr>
                <w:rFonts w:ascii="Arial;sans-serif" w:hAnsi="Arial;sans-serif"/>
                <w:b w:val="false"/>
                <w:color w:val="131E29"/>
                <w:sz w:val="20"/>
              </w:rPr>
              <w:t>$</w:t>
            </w:r>
          </w:p>
        </w:tc>
        <w:tc>
          <w:tcPr>
            <w:tcW w:w="807"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38,907 </w:t>
            </w:r>
          </w:p>
        </w:tc>
        <w:tc>
          <w:tcPr>
            <w:tcW w:w="117"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1,656 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801 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3,086 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1,188 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Total depreciation expense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87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27,839</w:t>
            </w:r>
            <w:r>
              <w:rPr>
                <w:color w:val="006098"/>
              </w:rPr>
              <w:t> </w:t>
            </w:r>
          </w:p>
        </w:tc>
        <w:tc>
          <w:tcPr>
            <w:tcW w:w="12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87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20,743</w:t>
            </w:r>
            <w:r>
              <w:rPr>
                <w:color w:val="131E29"/>
              </w:rPr>
              <w:t> </w:t>
            </w:r>
          </w:p>
        </w:tc>
        <w:tc>
          <w:tcPr>
            <w:tcW w:w="12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80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58,426</w:t>
            </w:r>
            <w:r>
              <w:rPr>
                <w:color w:val="006098"/>
              </w:rPr>
              <w:t> </w:t>
            </w:r>
          </w:p>
        </w:tc>
        <w:tc>
          <w:tcPr>
            <w:tcW w:w="11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131E29"/>
                <w:sz w:val="20"/>
              </w:rPr>
            </w:pPr>
            <w:r>
              <w:rPr>
                <w:rFonts w:ascii="Arial;sans-serif" w:hAnsi="Arial;sans-serif"/>
                <w:b/>
                <w:color w:val="131E29"/>
                <w:sz w:val="20"/>
              </w:rPr>
              <w:t>$</w:t>
            </w:r>
          </w:p>
        </w:tc>
        <w:tc>
          <w:tcPr>
            <w:tcW w:w="80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131E29"/>
                <w:sz w:val="20"/>
              </w:rPr>
              <w:t>40,095</w:t>
            </w:r>
            <w:r>
              <w:rPr>
                <w:color w:val="131E29"/>
              </w:rPr>
              <w:t> </w:t>
            </w:r>
          </w:p>
        </w:tc>
        <w:tc>
          <w:tcPr>
            <w:tcW w:w="11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363220"/>
                <wp:effectExtent l="0" t="0" r="0" b="0"/>
                <wp:wrapNone/>
                <wp:docPr id="50" name="Frame18"/>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5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18" descr=""/>
                                          <pic:cNvPicPr>
                                            <a:picLocks noChangeAspect="1" noChangeArrowheads="1"/>
                                          </pic:cNvPicPr>
                                        </pic:nvPicPr>
                                        <pic:blipFill>
                                          <a:blip r:embed="rId34"/>
                                          <a:stretch>
                                            <a:fillRect/>
                                          </a:stretch>
                                        </pic:blipFill>
                                        <pic:spPr bwMode="auto">
                                          <a:xfrm>
                                            <a:off x="0" y="0"/>
                                            <a:ext cx="190500" cy="266700"/>
                                          </a:xfrm>
                                          <a:prstGeom prst="rect">
                                            <a:avLst/>
                                          </a:prstGeom>
                                        </pic:spPr>
                                      </pic:pic>
                                    </a:graphicData>
                                  </a:graphic>
                                </wp:inline>
                              </w:drawing>
                            </w:r>
                            <w:bookmarkStart w:id="32" w:name="i-18"/>
                            <w:bookmarkEnd w:id="32"/>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5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8" descr=""/>
                                    <pic:cNvPicPr>
                                      <a:picLocks noChangeAspect="1" noChangeArrowheads="1"/>
                                    </pic:cNvPicPr>
                                  </pic:nvPicPr>
                                  <pic:blipFill>
                                    <a:blip r:embed="rId35"/>
                                    <a:stretch>
                                      <a:fillRect/>
                                    </a:stretch>
                                  </pic:blipFill>
                                  <pic:spPr bwMode="auto">
                                    <a:xfrm>
                                      <a:off x="0" y="0"/>
                                      <a:ext cx="190500" cy="266700"/>
                                    </a:xfrm>
                                    <a:prstGeom prst="rect">
                                      <a:avLst/>
                                    </a:prstGeom>
                                  </pic:spPr>
                                </pic:pic>
                              </a:graphicData>
                            </a:graphic>
                          </wp:inline>
                        </w:drawing>
                      </w:r>
                      <w:bookmarkStart w:id="33" w:name="i-18"/>
                      <w:bookmarkEnd w:id="33"/>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16</w:t>
                      </w:r>
                    </w:p>
                  </w:txbxContent>
                </v:textbox>
                <w10:wrap type="none"/>
              </v:rect>
            </w:pict>
          </mc:Fallback>
        </mc:AlternateContent>
      </w:r>
    </w:p>
    <w:p>
      <w:pPr>
        <w:pStyle w:val="TextBody"/>
        <w:bidi w:val="0"/>
        <w:spacing w:lineRule="auto" w:line="288" w:before="0" w:after="180"/>
        <w:jc w:val="both"/>
        <w:rPr/>
      </w:pPr>
      <w:hyperlink w:anchor="i901a725797c944a19267b6f140f14c09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NOTE 7 — Other Long-Term Assets</w:t>
      </w:r>
    </w:p>
    <w:p>
      <w:pPr>
        <w:pStyle w:val="TextBody"/>
        <w:bidi w:val="0"/>
        <w:spacing w:lineRule="auto" w:line="288" w:before="0" w:after="60"/>
        <w:jc w:val="both"/>
        <w:rPr>
          <w:rFonts w:ascii="Arial;sans-serif" w:hAnsi="Arial;sans-serif"/>
          <w:b w:val="false"/>
          <w:color w:val="131E29"/>
          <w:sz w:val="20"/>
        </w:rPr>
      </w:pPr>
      <w:r>
        <w:rPr>
          <w:rFonts w:ascii="Arial;sans-serif" w:hAnsi="Arial;sans-serif"/>
          <w:b w:val="false"/>
          <w:color w:val="131E29"/>
          <w:sz w:val="20"/>
        </w:rPr>
        <w:t>The details of other long-term assets were as follows:</w:t>
      </w:r>
    </w:p>
    <w:tbl>
      <w:tblPr>
        <w:tblW w:w="7478" w:type="dxa"/>
        <w:jc w:val="left"/>
        <w:tblInd w:w="0" w:type="dxa"/>
        <w:tblLayout w:type="fixed"/>
        <w:tblCellMar>
          <w:top w:w="28" w:type="dxa"/>
          <w:left w:w="28" w:type="dxa"/>
          <w:bottom w:w="28" w:type="dxa"/>
          <w:right w:w="28" w:type="dxa"/>
        </w:tblCellMar>
      </w:tblPr>
      <w:tblGrid>
        <w:gridCol w:w="1136"/>
        <w:gridCol w:w="996"/>
        <w:gridCol w:w="1002"/>
        <w:gridCol w:w="109"/>
        <w:gridCol w:w="109"/>
        <w:gridCol w:w="109"/>
        <w:gridCol w:w="109"/>
        <w:gridCol w:w="109"/>
        <w:gridCol w:w="109"/>
        <w:gridCol w:w="109"/>
        <w:gridCol w:w="269"/>
        <w:gridCol w:w="957"/>
        <w:gridCol w:w="139"/>
        <w:gridCol w:w="109"/>
        <w:gridCol w:w="109"/>
        <w:gridCol w:w="109"/>
        <w:gridCol w:w="357"/>
        <w:gridCol w:w="1272"/>
        <w:gridCol w:w="260"/>
      </w:tblGrid>
      <w:tr>
        <w:trPr/>
        <w:tc>
          <w:tcPr>
            <w:tcW w:w="1136"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2216" w:type="dxa"/>
            <w:gridSpan w:val="6"/>
            <w:tcBorders/>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December 31, 2025</w:t>
            </w:r>
          </w:p>
        </w:tc>
      </w:tr>
      <w:tr>
        <w:trPr/>
        <w:tc>
          <w:tcPr>
            <w:tcW w:w="3134"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131E29"/>
                <w:sz w:val="20"/>
              </w:rPr>
              <w:t>Reacquired franchise rights</w:t>
            </w:r>
            <w:r>
              <w:rPr>
                <w:rFonts w:ascii="Arial;sans-serif" w:hAnsi="Arial;sans-serif"/>
                <w:b w:val="false"/>
                <w:color w:val="131E29"/>
                <w:sz w:val="13"/>
              </w:rPr>
              <w:t>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957"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27,049 </w:t>
            </w:r>
          </w:p>
        </w:tc>
        <w:tc>
          <w:tcPr>
            <w:tcW w:w="13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31E29"/>
                <w:sz w:val="20"/>
              </w:rPr>
            </w:pPr>
            <w:r>
              <w:rPr>
                <w:rFonts w:ascii="Arial;sans-serif" w:hAnsi="Arial;sans-serif"/>
                <w:b w:val="false"/>
                <w:color w:val="131E29"/>
                <w:sz w:val="20"/>
              </w:rPr>
              <w:t>$</w:t>
            </w:r>
          </w:p>
        </w:tc>
        <w:tc>
          <w:tcPr>
            <w:tcW w:w="1272"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27,049 </w:t>
            </w:r>
          </w:p>
        </w:tc>
        <w:tc>
          <w:tcPr>
            <w:tcW w:w="260"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Less: accumulated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(25,938)</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(25,539)</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Reacquired franchise rights, net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957"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1,111</w:t>
            </w:r>
            <w:r>
              <w:rPr>
                <w:color w:val="006098"/>
              </w:rPr>
              <w:t> </w:t>
            </w:r>
          </w:p>
        </w:tc>
        <w:tc>
          <w:tcPr>
            <w:tcW w:w="13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1E29"/>
                <w:sz w:val="20"/>
              </w:rPr>
            </w:pPr>
            <w:r>
              <w:rPr>
                <w:rFonts w:ascii="Arial;sans-serif" w:hAnsi="Arial;sans-serif"/>
                <w:b/>
                <w:color w:val="131E29"/>
                <w:sz w:val="20"/>
              </w:rPr>
              <w:t>$</w:t>
            </w:r>
          </w:p>
        </w:tc>
        <w:tc>
          <w:tcPr>
            <w:tcW w:w="1272"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1E29"/>
                <w:sz w:val="20"/>
              </w:rPr>
              <w:t>1,510</w:t>
            </w:r>
            <w:r>
              <w:rPr>
                <w:color w:val="131E29"/>
              </w:rPr>
              <w:t> </w:t>
            </w:r>
          </w:p>
        </w:tc>
        <w:tc>
          <w:tcPr>
            <w:tcW w:w="260"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21,629 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21,629 </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Other</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1,145 </w:t>
            </w:r>
          </w:p>
        </w:tc>
        <w:tc>
          <w:tcPr>
            <w:tcW w:w="13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2,385 </w:t>
            </w:r>
          </w:p>
        </w:tc>
        <w:tc>
          <w:tcPr>
            <w:tcW w:w="26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Total other long-term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9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23,885</w:t>
            </w:r>
            <w:r>
              <w:rPr>
                <w:color w:val="006098"/>
              </w:rPr>
              <w:t>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131E29"/>
                <w:sz w:val="20"/>
              </w:rPr>
            </w:pPr>
            <w:r>
              <w:rPr>
                <w:rFonts w:ascii="Arial;sans-serif" w:hAnsi="Arial;sans-serif"/>
                <w:b/>
                <w:color w:val="131E29"/>
                <w:sz w:val="20"/>
              </w:rPr>
              <w:t>$</w:t>
            </w:r>
          </w:p>
        </w:tc>
        <w:tc>
          <w:tcPr>
            <w:tcW w:w="1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131E29"/>
                <w:sz w:val="20"/>
              </w:rPr>
              <w:t>25,524</w:t>
            </w:r>
            <w:r>
              <w:rPr>
                <w:color w:val="131E29"/>
              </w:rPr>
              <w:t> </w:t>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_______________</w:t>
      </w:r>
    </w:p>
    <w:p>
      <w:pPr>
        <w:pStyle w:val="TextBody"/>
        <w:bidi w:val="0"/>
        <w:spacing w:lineRule="auto" w:line="288" w:before="0" w:after="180"/>
        <w:ind w:left="0" w:right="0" w:hanging="180"/>
        <w:jc w:val="both"/>
        <w:rPr/>
      </w:pPr>
      <w:r>
        <w:rPr>
          <w:rFonts w:ascii="Arial;sans-serif" w:hAnsi="Arial;sans-serif"/>
          <w:b w:val="false"/>
          <w:color w:val="000000"/>
          <w:sz w:val="10"/>
        </w:rPr>
        <w:t>1    </w:t>
      </w:r>
      <w:r>
        <w:rPr>
          <w:rFonts w:ascii="Arial;sans-serif" w:hAnsi="Arial;sans-serif"/>
          <w:b w:val="false"/>
          <w:color w:val="000000"/>
          <w:sz w:val="16"/>
        </w:rPr>
        <w:t>Weighted-average amortization periods (in years) were approximately 2.8 and 3.1 for the three months ended June 30, 2026 and 2025, respectively.</w:t>
      </w:r>
    </w:p>
    <w:p>
      <w:pPr>
        <w:pStyle w:val="TextBody"/>
        <w:bidi w:val="0"/>
        <w:spacing w:lineRule="auto" w:line="288" w:before="0" w:after="120"/>
        <w:jc w:val="both"/>
        <w:rPr>
          <w:rFonts w:ascii="Arial;sans-serif" w:hAnsi="Arial;sans-serif"/>
          <w:b w:val="false"/>
          <w:color w:val="131E29"/>
          <w:sz w:val="20"/>
        </w:rPr>
      </w:pPr>
      <w:r>
        <w:rPr>
          <w:rFonts w:ascii="Arial;sans-serif" w:hAnsi="Arial;sans-serif"/>
          <w:b w:val="false"/>
          <w:color w:val="131E29"/>
          <w:sz w:val="20"/>
        </w:rPr>
        <w:t>Amortization expense of reacquired franchise rights included in our condensed consolidated statements of operations was as follows:</w:t>
      </w:r>
    </w:p>
    <w:tbl>
      <w:tblPr>
        <w:tblW w:w="7721" w:type="dxa"/>
        <w:jc w:val="left"/>
        <w:tblInd w:w="0" w:type="dxa"/>
        <w:tblLayout w:type="fixed"/>
        <w:tblCellMar>
          <w:top w:w="28" w:type="dxa"/>
          <w:left w:w="28" w:type="dxa"/>
          <w:bottom w:w="28" w:type="dxa"/>
          <w:right w:w="28" w:type="dxa"/>
        </w:tblCellMar>
      </w:tblPr>
      <w:tblGrid>
        <w:gridCol w:w="462"/>
        <w:gridCol w:w="405"/>
        <w:gridCol w:w="407"/>
        <w:gridCol w:w="109"/>
        <w:gridCol w:w="109"/>
        <w:gridCol w:w="109"/>
        <w:gridCol w:w="315"/>
        <w:gridCol w:w="718"/>
        <w:gridCol w:w="162"/>
        <w:gridCol w:w="162"/>
        <w:gridCol w:w="162"/>
        <w:gridCol w:w="162"/>
        <w:gridCol w:w="315"/>
        <w:gridCol w:w="718"/>
        <w:gridCol w:w="162"/>
        <w:gridCol w:w="109"/>
        <w:gridCol w:w="109"/>
        <w:gridCol w:w="109"/>
        <w:gridCol w:w="290"/>
        <w:gridCol w:w="662"/>
        <w:gridCol w:w="150"/>
        <w:gridCol w:w="150"/>
        <w:gridCol w:w="150"/>
        <w:gridCol w:w="150"/>
        <w:gridCol w:w="290"/>
        <w:gridCol w:w="662"/>
        <w:gridCol w:w="150"/>
        <w:gridCol w:w="109"/>
        <w:gridCol w:w="154"/>
      </w:tblGrid>
      <w:tr>
        <w:trPr/>
        <w:tc>
          <w:tcPr>
            <w:tcW w:w="462"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486"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450"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Cost of sales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718"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185 </w:t>
            </w:r>
          </w:p>
        </w:tc>
        <w:tc>
          <w:tcPr>
            <w:tcW w:w="162"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18"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409 </w:t>
            </w:r>
          </w:p>
        </w:tc>
        <w:tc>
          <w:tcPr>
            <w:tcW w:w="162"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662"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399 </w:t>
            </w:r>
          </w:p>
        </w:tc>
        <w:tc>
          <w:tcPr>
            <w:tcW w:w="150"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62"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912 </w:t>
            </w:r>
          </w:p>
        </w:tc>
        <w:tc>
          <w:tcPr>
            <w:tcW w:w="150"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NOTE 8 — Leases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val="false"/>
          <w:color w:val="131E29"/>
          <w:sz w:val="20"/>
        </w:rPr>
      </w:pPr>
      <w:r>
        <w:rPr>
          <w:rFonts w:ascii="Arial;sans-serif" w:hAnsi="Arial;sans-serif"/>
          <w:b w:val="false"/>
          <w:color w:val="131E29"/>
          <w:sz w:val="20"/>
        </w:rPr>
        <w:t>A summary of finance and operating lease right-of-use assets and lease liabilities as of June 30, 2026 and December 31, 2025 is as follows:</w:t>
      </w:r>
    </w:p>
    <w:tbl>
      <w:tblPr>
        <w:tblW w:w="10205" w:type="dxa"/>
        <w:jc w:val="left"/>
        <w:tblInd w:w="0" w:type="dxa"/>
        <w:tblLayout w:type="fixed"/>
        <w:tblCellMar>
          <w:top w:w="28" w:type="dxa"/>
          <w:left w:w="28" w:type="dxa"/>
          <w:bottom w:w="28" w:type="dxa"/>
          <w:right w:w="28" w:type="dxa"/>
        </w:tblCellMar>
      </w:tblPr>
      <w:tblGrid>
        <w:gridCol w:w="889"/>
        <w:gridCol w:w="780"/>
        <w:gridCol w:w="787"/>
        <w:gridCol w:w="109"/>
        <w:gridCol w:w="109"/>
        <w:gridCol w:w="109"/>
        <w:gridCol w:w="1181"/>
        <w:gridCol w:w="1181"/>
        <w:gridCol w:w="1183"/>
        <w:gridCol w:w="109"/>
        <w:gridCol w:w="109"/>
        <w:gridCol w:w="109"/>
        <w:gridCol w:w="213"/>
        <w:gridCol w:w="1039"/>
        <w:gridCol w:w="110"/>
        <w:gridCol w:w="109"/>
        <w:gridCol w:w="109"/>
        <w:gridCol w:w="109"/>
        <w:gridCol w:w="320"/>
        <w:gridCol w:w="1302"/>
        <w:gridCol w:w="239"/>
      </w:tblGrid>
      <w:tr>
        <w:trPr/>
        <w:tc>
          <w:tcPr>
            <w:tcW w:w="88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24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Balance Sheet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December 31, 2025</w:t>
            </w:r>
          </w:p>
        </w:tc>
      </w:tr>
      <w:tr>
        <w:trPr/>
        <w:tc>
          <w:tcPr>
            <w:tcW w:w="245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Right-of-use assets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5"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10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392,280 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31E29"/>
                <w:sz w:val="20"/>
              </w:rPr>
            </w:pPr>
            <w:r>
              <w:rPr>
                <w:rFonts w:ascii="Arial;sans-serif" w:hAnsi="Arial;sans-serif"/>
                <w:b w:val="false"/>
                <w:color w:val="131E29"/>
                <w:sz w:val="20"/>
              </w:rPr>
              <w:t>$</w:t>
            </w:r>
          </w:p>
        </w:tc>
        <w:tc>
          <w:tcPr>
            <w:tcW w:w="1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406,381 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Operating leases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5"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591,720 </w:t>
            </w:r>
          </w:p>
        </w:tc>
        <w:tc>
          <w:tcPr>
            <w:tcW w:w="11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448,958 </w:t>
            </w:r>
          </w:p>
        </w:tc>
        <w:tc>
          <w:tcPr>
            <w:tcW w:w="23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Lease right-of-use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10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984,000</w:t>
            </w:r>
            <w:r>
              <w:rPr>
                <w:color w:val="006098"/>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1E29"/>
                <w:sz w:val="20"/>
              </w:rPr>
            </w:pPr>
            <w:r>
              <w:rPr>
                <w:rFonts w:ascii="Arial;sans-serif" w:hAnsi="Arial;sans-serif"/>
                <w:b/>
                <w:color w:val="131E29"/>
                <w:sz w:val="20"/>
              </w:rPr>
              <w:t>$</w:t>
            </w:r>
          </w:p>
        </w:tc>
        <w:tc>
          <w:tcPr>
            <w:tcW w:w="1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1E29"/>
                <w:sz w:val="20"/>
              </w:rPr>
              <w:t>855,339</w:t>
            </w:r>
            <w:r>
              <w:rPr>
                <w:color w:val="131E29"/>
              </w:rPr>
              <w:t> </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1" w:type="dxa"/>
            <w:gridSpan w:val="3"/>
            <w:tcBorders/>
            <w:vAlign w:val="center"/>
          </w:tcPr>
          <w:p>
            <w:pPr>
              <w:pStyle w:val="TableContents"/>
              <w:bidi w:val="0"/>
              <w:spacing w:before="0" w:after="283"/>
              <w:jc w:val="left"/>
              <w:rPr>
                <w:sz w:val="4"/>
                <w:szCs w:val="4"/>
              </w:rPr>
            </w:pPr>
            <w:r>
              <w:rPr>
                <w:sz w:val="4"/>
                <w:szCs w:val="4"/>
              </w:rPr>
            </w:r>
          </w:p>
        </w:tc>
      </w:tr>
      <w:tr>
        <w:trPr/>
        <w:tc>
          <w:tcPr>
            <w:tcW w:w="245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Lease liabilities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5"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Current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Finance leases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5"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D2DC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1039" w:type="dxa"/>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16,411 </w:t>
            </w:r>
          </w:p>
        </w:tc>
        <w:tc>
          <w:tcPr>
            <w:tcW w:w="11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D2DC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31E29"/>
                <w:sz w:val="20"/>
              </w:rPr>
            </w:pPr>
            <w:r>
              <w:rPr>
                <w:rFonts w:ascii="Arial;sans-serif" w:hAnsi="Arial;sans-serif"/>
                <w:b w:val="false"/>
                <w:color w:val="131E29"/>
                <w:sz w:val="20"/>
              </w:rPr>
              <w:t>$</w:t>
            </w:r>
          </w:p>
        </w:tc>
        <w:tc>
          <w:tcPr>
            <w:tcW w:w="1302" w:type="dxa"/>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17,298 </w:t>
            </w:r>
          </w:p>
        </w:tc>
        <w:tc>
          <w:tcPr>
            <w:tcW w:w="23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25,228 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19,168 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Current portion of lease liabilities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1039"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41,639</w:t>
            </w:r>
            <w:r>
              <w:rPr>
                <w:color w:val="006098"/>
              </w:rPr>
              <w:t> </w:t>
            </w:r>
          </w:p>
        </w:tc>
        <w:tc>
          <w:tcPr>
            <w:tcW w:w="110"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1E29"/>
                <w:sz w:val="20"/>
              </w:rPr>
            </w:pPr>
            <w:r>
              <w:rPr>
                <w:rFonts w:ascii="Arial;sans-serif" w:hAnsi="Arial;sans-serif"/>
                <w:b/>
                <w:color w:val="131E29"/>
                <w:sz w:val="20"/>
              </w:rPr>
              <w:t>$</w:t>
            </w:r>
          </w:p>
        </w:tc>
        <w:tc>
          <w:tcPr>
            <w:tcW w:w="1302"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1E29"/>
                <w:sz w:val="20"/>
              </w:rPr>
              <w:t>36,466</w:t>
            </w:r>
            <w:r>
              <w:rPr>
                <w:color w:val="131E29"/>
              </w:rPr>
              <w:t> </w:t>
            </w:r>
          </w:p>
        </w:tc>
        <w:tc>
          <w:tcPr>
            <w:tcW w:w="23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1" w:type="dxa"/>
            <w:gridSpan w:val="3"/>
            <w:tcBorders/>
            <w:vAlign w:val="center"/>
          </w:tcPr>
          <w:p>
            <w:pPr>
              <w:pStyle w:val="TableContents"/>
              <w:bidi w:val="0"/>
              <w:spacing w:before="0" w:after="283"/>
              <w:jc w:val="left"/>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131E29"/>
                <w:sz w:val="20"/>
              </w:rPr>
              <w:t>Non-current lease liabilities</w:t>
            </w:r>
            <w:r>
              <w:rPr>
                <w:color w:val="131E29"/>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Finance leases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5"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D2DC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1039" w:type="dxa"/>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394,647 </w:t>
            </w:r>
          </w:p>
        </w:tc>
        <w:tc>
          <w:tcPr>
            <w:tcW w:w="11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D2DC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31E29"/>
                <w:sz w:val="20"/>
              </w:rPr>
            </w:pPr>
            <w:r>
              <w:rPr>
                <w:rFonts w:ascii="Arial;sans-serif" w:hAnsi="Arial;sans-serif"/>
                <w:b w:val="false"/>
                <w:color w:val="131E29"/>
                <w:sz w:val="20"/>
              </w:rPr>
              <w:t>$</w:t>
            </w:r>
          </w:p>
        </w:tc>
        <w:tc>
          <w:tcPr>
            <w:tcW w:w="1302" w:type="dxa"/>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402,697 </w:t>
            </w:r>
          </w:p>
        </w:tc>
        <w:tc>
          <w:tcPr>
            <w:tcW w:w="23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572,559 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449,683 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Lease liabilities, net of current portion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1039"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967,206</w:t>
            </w:r>
            <w:r>
              <w:rPr>
                <w:color w:val="006098"/>
              </w:rPr>
              <w:t> </w:t>
            </w:r>
          </w:p>
        </w:tc>
        <w:tc>
          <w:tcPr>
            <w:tcW w:w="110"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1E29"/>
                <w:sz w:val="20"/>
              </w:rPr>
            </w:pPr>
            <w:r>
              <w:rPr>
                <w:rFonts w:ascii="Arial;sans-serif" w:hAnsi="Arial;sans-serif"/>
                <w:b/>
                <w:color w:val="131E29"/>
                <w:sz w:val="20"/>
              </w:rPr>
              <w:t>$</w:t>
            </w:r>
          </w:p>
        </w:tc>
        <w:tc>
          <w:tcPr>
            <w:tcW w:w="1302"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1E29"/>
                <w:sz w:val="20"/>
              </w:rPr>
              <w:t>852,380</w:t>
            </w:r>
            <w:r>
              <w:rPr>
                <w:color w:val="131E29"/>
              </w:rPr>
              <w:t> </w:t>
            </w:r>
          </w:p>
        </w:tc>
        <w:tc>
          <w:tcPr>
            <w:tcW w:w="23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10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1,008,845 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131E29"/>
                <w:sz w:val="20"/>
              </w:rPr>
            </w:pPr>
            <w:r>
              <w:rPr>
                <w:rFonts w:ascii="Arial;sans-serif" w:hAnsi="Arial;sans-serif"/>
                <w:b w:val="false"/>
                <w:color w:val="131E29"/>
                <w:sz w:val="20"/>
              </w:rPr>
              <w:t>$</w:t>
            </w:r>
          </w:p>
        </w:tc>
        <w:tc>
          <w:tcPr>
            <w:tcW w:w="1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888,846 </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363220"/>
                <wp:effectExtent l="0" t="0" r="0" b="0"/>
                <wp:wrapNone/>
                <wp:docPr id="53" name="Frame19"/>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54"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19" descr=""/>
                                          <pic:cNvPicPr>
                                            <a:picLocks noChangeAspect="1" noChangeArrowheads="1"/>
                                          </pic:cNvPicPr>
                                        </pic:nvPicPr>
                                        <pic:blipFill>
                                          <a:blip r:embed="rId36"/>
                                          <a:stretch>
                                            <a:fillRect/>
                                          </a:stretch>
                                        </pic:blipFill>
                                        <pic:spPr bwMode="auto">
                                          <a:xfrm>
                                            <a:off x="0" y="0"/>
                                            <a:ext cx="190500" cy="266700"/>
                                          </a:xfrm>
                                          <a:prstGeom prst="rect">
                                            <a:avLst/>
                                          </a:prstGeom>
                                        </pic:spPr>
                                      </pic:pic>
                                    </a:graphicData>
                                  </a:graphic>
                                </wp:inline>
                              </w:drawing>
                            </w:r>
                            <w:bookmarkStart w:id="34" w:name="i-19"/>
                            <w:bookmarkEnd w:id="34"/>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55"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19" descr=""/>
                                    <pic:cNvPicPr>
                                      <a:picLocks noChangeAspect="1" noChangeArrowheads="1"/>
                                    </pic:cNvPicPr>
                                  </pic:nvPicPr>
                                  <pic:blipFill>
                                    <a:blip r:embed="rId37"/>
                                    <a:stretch>
                                      <a:fillRect/>
                                    </a:stretch>
                                  </pic:blipFill>
                                  <pic:spPr bwMode="auto">
                                    <a:xfrm>
                                      <a:off x="0" y="0"/>
                                      <a:ext cx="190500" cy="266700"/>
                                    </a:xfrm>
                                    <a:prstGeom prst="rect">
                                      <a:avLst/>
                                    </a:prstGeom>
                                  </pic:spPr>
                                </pic:pic>
                              </a:graphicData>
                            </a:graphic>
                          </wp:inline>
                        </w:drawing>
                      </w:r>
                      <w:bookmarkStart w:id="35" w:name="i-19"/>
                      <w:bookmarkEnd w:id="35"/>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17</w:t>
                      </w:r>
                    </w:p>
                  </w:txbxContent>
                </v:textbox>
                <w10:wrap type="none"/>
              </v:rect>
            </w:pict>
          </mc:Fallback>
        </mc:AlternateContent>
      </w:r>
    </w:p>
    <w:p>
      <w:pPr>
        <w:pStyle w:val="TextBody"/>
        <w:bidi w:val="0"/>
        <w:spacing w:lineRule="auto" w:line="288" w:before="0" w:after="180"/>
        <w:jc w:val="both"/>
        <w:rPr/>
      </w:pPr>
      <w:hyperlink w:anchor="i901a725797c944a19267b6f140f14c09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20"/>
        <w:jc w:val="both"/>
        <w:rPr>
          <w:rFonts w:ascii="Arial;sans-serif" w:hAnsi="Arial;sans-serif"/>
          <w:b w:val="false"/>
          <w:color w:val="131E29"/>
          <w:sz w:val="20"/>
        </w:rPr>
      </w:pPr>
      <w:r>
        <w:rPr>
          <w:rFonts w:ascii="Arial;sans-serif" w:hAnsi="Arial;sans-serif"/>
          <w:b w:val="false"/>
          <w:color w:val="131E29"/>
          <w:sz w:val="20"/>
        </w:rPr>
        <w:t>The components of lease costs, excluding short-term lease costs and sublease income (both immaterial for the periods presented), were as follows:</w:t>
      </w:r>
    </w:p>
    <w:tbl>
      <w:tblPr>
        <w:tblW w:w="10205" w:type="dxa"/>
        <w:jc w:val="left"/>
        <w:tblInd w:w="0" w:type="dxa"/>
        <w:tblLayout w:type="fixed"/>
        <w:tblCellMar>
          <w:top w:w="28" w:type="dxa"/>
          <w:left w:w="28" w:type="dxa"/>
          <w:bottom w:w="28" w:type="dxa"/>
          <w:right w:w="28" w:type="dxa"/>
        </w:tblCellMar>
      </w:tblPr>
      <w:tblGrid>
        <w:gridCol w:w="791"/>
        <w:gridCol w:w="490"/>
        <w:gridCol w:w="492"/>
        <w:gridCol w:w="109"/>
        <w:gridCol w:w="109"/>
        <w:gridCol w:w="109"/>
        <w:gridCol w:w="690"/>
        <w:gridCol w:w="690"/>
        <w:gridCol w:w="692"/>
        <w:gridCol w:w="109"/>
        <w:gridCol w:w="109"/>
        <w:gridCol w:w="109"/>
        <w:gridCol w:w="221"/>
        <w:gridCol w:w="787"/>
        <w:gridCol w:w="114"/>
        <w:gridCol w:w="114"/>
        <w:gridCol w:w="114"/>
        <w:gridCol w:w="114"/>
        <w:gridCol w:w="221"/>
        <w:gridCol w:w="787"/>
        <w:gridCol w:w="114"/>
        <w:gridCol w:w="109"/>
        <w:gridCol w:w="109"/>
        <w:gridCol w:w="109"/>
        <w:gridCol w:w="215"/>
        <w:gridCol w:w="767"/>
        <w:gridCol w:w="111"/>
        <w:gridCol w:w="111"/>
        <w:gridCol w:w="111"/>
        <w:gridCol w:w="111"/>
        <w:gridCol w:w="215"/>
        <w:gridCol w:w="767"/>
        <w:gridCol w:w="111"/>
        <w:gridCol w:w="109"/>
        <w:gridCol w:w="165"/>
      </w:tblGrid>
      <w:tr>
        <w:trPr/>
        <w:tc>
          <w:tcPr>
            <w:tcW w:w="791"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20"/>
              </w:rPr>
            </w:pPr>
            <w:r>
              <w:rPr>
                <w:rFonts w:ascii="Arial;sans-serif" w:hAnsi="Arial;sans-serif"/>
                <w:b/>
                <w:color w:val="131E29"/>
                <w:sz w:val="20"/>
              </w:rPr>
              <w:t>Statements of Operations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Six Months Ended June 30,</w:t>
            </w:r>
          </w:p>
        </w:tc>
        <w:tc>
          <w:tcPr>
            <w:tcW w:w="274" w:type="dxa"/>
            <w:gridSpan w:val="2"/>
            <w:tcBorders/>
          </w:tcPr>
          <w:p>
            <w:pPr>
              <w:pStyle w:val="TableContents"/>
              <w:bidi w:val="0"/>
              <w:spacing w:before="0" w:after="283"/>
              <w:jc w:val="left"/>
              <w:rPr>
                <w:sz w:val="4"/>
                <w:szCs w:val="4"/>
              </w:rPr>
            </w:pPr>
            <w:r>
              <w:rPr>
                <w:sz w:val="4"/>
                <w:szCs w:val="4"/>
              </w:rPr>
            </w:r>
          </w:p>
        </w:tc>
      </w:tr>
      <w:tr>
        <w:trPr/>
        <w:tc>
          <w:tcPr>
            <w:tcW w:w="17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342"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333"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73"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Finance lease costs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Amortization of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7,457 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6,725 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14,911 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31E29"/>
                <w:sz w:val="20"/>
              </w:rPr>
            </w:pPr>
            <w:r>
              <w:rPr>
                <w:rFonts w:ascii="Arial;sans-serif" w:hAnsi="Arial;sans-serif"/>
                <w:b w:val="false"/>
                <w:color w:val="131E29"/>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13,285 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73"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Amortization of right-of-use assets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Selling, general, and administrative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1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15 </w:t>
            </w:r>
          </w:p>
        </w:tc>
        <w:tc>
          <w:tcPr>
            <w:tcW w:w="11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30 </w:t>
            </w:r>
          </w:p>
        </w:tc>
        <w:tc>
          <w:tcPr>
            <w:tcW w:w="1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Interest on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6,105 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5,729 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12,282 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11,338 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73"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finance lease costs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13,562 </w:t>
            </w:r>
          </w:p>
        </w:tc>
        <w:tc>
          <w:tcPr>
            <w:tcW w:w="114"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12,469 </w:t>
            </w:r>
          </w:p>
        </w:tc>
        <w:tc>
          <w:tcPr>
            <w:tcW w:w="114"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27,193 </w:t>
            </w:r>
          </w:p>
        </w:tc>
        <w:tc>
          <w:tcPr>
            <w:tcW w:w="111"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24,653 </w:t>
            </w:r>
          </w:p>
        </w:tc>
        <w:tc>
          <w:tcPr>
            <w:tcW w:w="111"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73"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Operating lease costs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Lease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15,400 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9,656 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28,953 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18,319 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73"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Lease expenses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Selling, general, and administrative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693 </w:t>
            </w:r>
          </w:p>
        </w:tc>
        <w:tc>
          <w:tcPr>
            <w:tcW w:w="11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699 </w:t>
            </w:r>
          </w:p>
        </w:tc>
        <w:tc>
          <w:tcPr>
            <w:tcW w:w="11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1,386 </w:t>
            </w:r>
          </w:p>
        </w:tc>
        <w:tc>
          <w:tcPr>
            <w:tcW w:w="1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1,399 </w:t>
            </w:r>
          </w:p>
        </w:tc>
        <w:tc>
          <w:tcPr>
            <w:tcW w:w="1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operating lease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16,093 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10,355 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30,339 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19,718 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7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Variable lease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2,823 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2,310 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5,584 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4,425 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73"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Total lease costs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78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32,478</w:t>
            </w:r>
            <w:r>
              <w:rPr>
                <w:color w:val="006098"/>
              </w:rPr>
              <w:t> </w:t>
            </w:r>
          </w:p>
        </w:tc>
        <w:tc>
          <w:tcPr>
            <w:tcW w:w="11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78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25,134</w:t>
            </w:r>
            <w:r>
              <w:rPr>
                <w:color w:val="131E29"/>
              </w:rPr>
              <w:t> </w:t>
            </w:r>
          </w:p>
        </w:tc>
        <w:tc>
          <w:tcPr>
            <w:tcW w:w="11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76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63,116</w:t>
            </w:r>
            <w:r>
              <w:rPr>
                <w:color w:val="006098"/>
              </w:rPr>
              <w:t> </w:t>
            </w:r>
          </w:p>
        </w:tc>
        <w:tc>
          <w:tcPr>
            <w:tcW w:w="1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131E29"/>
                <w:sz w:val="20"/>
              </w:rPr>
            </w:pPr>
            <w:r>
              <w:rPr>
                <w:rFonts w:ascii="Arial;sans-serif" w:hAnsi="Arial;sans-serif"/>
                <w:b/>
                <w:color w:val="131E29"/>
                <w:sz w:val="20"/>
              </w:rPr>
              <w:t>$</w:t>
            </w:r>
          </w:p>
        </w:tc>
        <w:tc>
          <w:tcPr>
            <w:tcW w:w="76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131E29"/>
                <w:sz w:val="20"/>
              </w:rPr>
              <w:t>48,796</w:t>
            </w:r>
            <w:r>
              <w:rPr>
                <w:color w:val="131E29"/>
              </w:rPr>
              <w:t> </w:t>
            </w:r>
          </w:p>
        </w:tc>
        <w:tc>
          <w:tcPr>
            <w:tcW w:w="1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Supplemental cash flow information related to leases is as follows for the periods presented:</w:t>
      </w:r>
    </w:p>
    <w:tbl>
      <w:tblPr>
        <w:tblW w:w="9945" w:type="dxa"/>
        <w:jc w:val="left"/>
        <w:tblInd w:w="0" w:type="dxa"/>
        <w:tblLayout w:type="fixed"/>
        <w:tblCellMar>
          <w:top w:w="28" w:type="dxa"/>
          <w:left w:w="28" w:type="dxa"/>
          <w:bottom w:w="28" w:type="dxa"/>
          <w:right w:w="28" w:type="dxa"/>
        </w:tblCellMar>
      </w:tblPr>
      <w:tblGrid>
        <w:gridCol w:w="2427"/>
        <w:gridCol w:w="2131"/>
        <w:gridCol w:w="2146"/>
        <w:gridCol w:w="109"/>
        <w:gridCol w:w="109"/>
        <w:gridCol w:w="109"/>
        <w:gridCol w:w="226"/>
        <w:gridCol w:w="807"/>
        <w:gridCol w:w="117"/>
        <w:gridCol w:w="117"/>
        <w:gridCol w:w="117"/>
        <w:gridCol w:w="117"/>
        <w:gridCol w:w="226"/>
        <w:gridCol w:w="807"/>
        <w:gridCol w:w="117"/>
        <w:gridCol w:w="109"/>
        <w:gridCol w:w="154"/>
      </w:tblGrid>
      <w:tr>
        <w:trPr/>
        <w:tc>
          <w:tcPr>
            <w:tcW w:w="2427"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67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35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4"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Cash paid for amounts included in the measurement of lease liabilities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Operating cash flows from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12,282 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31E29"/>
                <w:sz w:val="20"/>
              </w:rPr>
            </w:pPr>
            <w:r>
              <w:rPr>
                <w:rFonts w:ascii="Arial;sans-serif" w:hAnsi="Arial;sans-serif"/>
                <w:b w:val="false"/>
                <w:color w:val="131E29"/>
                <w:sz w:val="20"/>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11,337 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Operating cash flows from operating leases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25,906 </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14,872 </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Financing cash flows from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9,576 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7,111 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Right-of-use assets obtained in exchange for lease obligations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639 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18,982 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0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Operating leases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138,549 </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67,354 </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NOTE 9 — Debt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Credit Facility</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On May 29, 2025 (the Effective Date), we amended and restated our existing $650 million senior secured credit facility with JPMorgan Chase Bank, N.A. The 2025 Credit Facility consists of a $500 million revolving credit facility and a term loan facility of up to $150 million. The 2025 Credit Facility also includes sublimits for letters of credit and swingline loans of up to $100 million and $20 million, respectively. The 2025 Credit Facility expires on May 29, 2030. Interest on borrowings under the 2025 Credit Facility is based on (i) the Alternate Base Rate plus an applicable margin, or (ii) the Term SOFR Rate plus an applicable margin (each as defined in the 2025 Credit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363220"/>
                <wp:effectExtent l="0" t="0" r="0" b="0"/>
                <wp:wrapNone/>
                <wp:docPr id="56" name="Frame20"/>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57"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20" descr=""/>
                                          <pic:cNvPicPr>
                                            <a:picLocks noChangeAspect="1" noChangeArrowheads="1"/>
                                          </pic:cNvPicPr>
                                        </pic:nvPicPr>
                                        <pic:blipFill>
                                          <a:blip r:embed="rId38"/>
                                          <a:stretch>
                                            <a:fillRect/>
                                          </a:stretch>
                                        </pic:blipFill>
                                        <pic:spPr bwMode="auto">
                                          <a:xfrm>
                                            <a:off x="0" y="0"/>
                                            <a:ext cx="190500" cy="266700"/>
                                          </a:xfrm>
                                          <a:prstGeom prst="rect">
                                            <a:avLst/>
                                          </a:prstGeom>
                                        </pic:spPr>
                                      </pic:pic>
                                    </a:graphicData>
                                  </a:graphic>
                                </wp:inline>
                              </w:drawing>
                            </w:r>
                            <w:bookmarkStart w:id="36" w:name="i-20"/>
                            <w:bookmarkEnd w:id="36"/>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58"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0" descr=""/>
                                    <pic:cNvPicPr>
                                      <a:picLocks noChangeAspect="1" noChangeArrowheads="1"/>
                                    </pic:cNvPicPr>
                                  </pic:nvPicPr>
                                  <pic:blipFill>
                                    <a:blip r:embed="rId39"/>
                                    <a:stretch>
                                      <a:fillRect/>
                                    </a:stretch>
                                  </pic:blipFill>
                                  <pic:spPr bwMode="auto">
                                    <a:xfrm>
                                      <a:off x="0" y="0"/>
                                      <a:ext cx="190500" cy="266700"/>
                                    </a:xfrm>
                                    <a:prstGeom prst="rect">
                                      <a:avLst/>
                                    </a:prstGeom>
                                  </pic:spPr>
                                </pic:pic>
                              </a:graphicData>
                            </a:graphic>
                          </wp:inline>
                        </w:drawing>
                      </w:r>
                      <w:bookmarkStart w:id="37" w:name="i-20"/>
                      <w:bookmarkEnd w:id="37"/>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18</w:t>
                      </w:r>
                    </w:p>
                  </w:txbxContent>
                </v:textbox>
                <w10:wrap type="none"/>
              </v:rect>
            </w:pict>
          </mc:Fallback>
        </mc:AlternateContent>
      </w:r>
    </w:p>
    <w:p>
      <w:pPr>
        <w:pStyle w:val="TextBody"/>
        <w:bidi w:val="0"/>
        <w:spacing w:lineRule="auto" w:line="288" w:before="0" w:after="180"/>
        <w:jc w:val="both"/>
        <w:rPr/>
      </w:pPr>
      <w:hyperlink w:anchor="i901a725797c944a19267b6f140f14c09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We are required to pay a commitment fee on a quarterly basis, at a per annum rate of between 0.20% and 0.45%, depending on the Net Lease-Adjusted Total Leverage Ratio (as defined in the 2025 Credit Facility), based on the average daily unused portion of the revolving credit facility. These fees are recorded as interest expense on our condensed consolidated statements of operations.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2025 Credit Facility contains financial covenants that require us to not exceed a maximum Net Lease-Adjusted Total Leverage Ratio and maintain a minimum Coverage Ratio (as defined in the 2025 Credit Facility). The 2025 Credit Facility also contains certain negative covenants that, among other things, restrict our ability to incur additional debt, grant liens on assets, merge with or acquire other companies, make other investments, dispose of assets, and make restricted payments. Obligations under the 2025 Credit Facility are guaranteed by Dutch Bros OpCo and its subsidiaries, and secured by a first priority perfected security interest in substantially all of the assets of the guarantors.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of June 30, 2026, $50.0 million was outstanding on our revolving credit facility, and $430.6 million was available for borrowing, net of $19.4 million in letters of credit, and $146.3 million of principal was outstanding on the term loan facility. The revolving loan and term loan both bear interest at approximately 4.89% as of June 30, 2026, excluding any impacts from our interest rate swap. We were in compliance with our financial covenants as of that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Long-Term Debt</w:t>
      </w:r>
    </w:p>
    <w:p>
      <w:pPr>
        <w:pStyle w:val="TextBody"/>
        <w:bidi w:val="0"/>
        <w:spacing w:lineRule="auto" w:line="288" w:before="0" w:after="60"/>
        <w:jc w:val="left"/>
        <w:rPr>
          <w:rFonts w:ascii="Arial;sans-serif" w:hAnsi="Arial;sans-serif"/>
          <w:b w:val="false"/>
          <w:color w:val="131E29"/>
          <w:sz w:val="20"/>
        </w:rPr>
      </w:pPr>
      <w:r>
        <w:rPr>
          <w:rFonts w:ascii="Arial;sans-serif" w:hAnsi="Arial;sans-serif"/>
          <w:b w:val="false"/>
          <w:color w:val="131E29"/>
          <w:sz w:val="20"/>
        </w:rPr>
        <w:t>Our long-term debt consisted of the following for the periods presented:</w:t>
      </w:r>
    </w:p>
    <w:tbl>
      <w:tblPr>
        <w:tblW w:w="8017" w:type="dxa"/>
        <w:jc w:val="left"/>
        <w:tblInd w:w="0" w:type="dxa"/>
        <w:tblLayout w:type="fixed"/>
        <w:tblCellMar>
          <w:top w:w="28" w:type="dxa"/>
          <w:left w:w="28" w:type="dxa"/>
          <w:bottom w:w="28" w:type="dxa"/>
          <w:right w:w="28" w:type="dxa"/>
        </w:tblCellMar>
      </w:tblPr>
      <w:tblGrid>
        <w:gridCol w:w="1489"/>
        <w:gridCol w:w="1306"/>
        <w:gridCol w:w="1314"/>
        <w:gridCol w:w="109"/>
        <w:gridCol w:w="109"/>
        <w:gridCol w:w="109"/>
        <w:gridCol w:w="245"/>
        <w:gridCol w:w="994"/>
        <w:gridCol w:w="126"/>
        <w:gridCol w:w="109"/>
        <w:gridCol w:w="109"/>
        <w:gridCol w:w="109"/>
        <w:gridCol w:w="326"/>
        <w:gridCol w:w="1325"/>
        <w:gridCol w:w="238"/>
      </w:tblGrid>
      <w:tr>
        <w:trPr/>
        <w:tc>
          <w:tcPr>
            <w:tcW w:w="148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2216" w:type="dxa"/>
            <w:gridSpan w:val="6"/>
            <w:tcBorders/>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December 31, 2025</w:t>
            </w:r>
          </w:p>
        </w:tc>
      </w:tr>
      <w:tr>
        <w:trPr/>
        <w:tc>
          <w:tcPr>
            <w:tcW w:w="4109"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Term loan under credit facility</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994"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146,250 </w:t>
            </w:r>
          </w:p>
        </w:tc>
        <w:tc>
          <w:tcPr>
            <w:tcW w:w="126"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325"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148,125 </w:t>
            </w:r>
          </w:p>
        </w:tc>
        <w:tc>
          <w:tcPr>
            <w:tcW w:w="238"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Revolving loan under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50,000 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50,000 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131E29"/>
                <w:sz w:val="20"/>
              </w:rPr>
              <w:t>Finance obligations</w:t>
            </w:r>
            <w:r>
              <w:rPr>
                <w:rFonts w:ascii="Arial;sans-serif" w:hAnsi="Arial;sans-serif"/>
                <w:b w:val="false"/>
                <w:color w:val="131E29"/>
                <w:sz w:val="13"/>
              </w:rPr>
              <w:t>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4,150 </w:t>
            </w:r>
          </w:p>
        </w:tc>
        <w:tc>
          <w:tcPr>
            <w:tcW w:w="12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4,162 </w:t>
            </w:r>
          </w:p>
        </w:tc>
        <w:tc>
          <w:tcPr>
            <w:tcW w:w="23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Unsecured note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111 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176 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debt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200,511 </w:t>
            </w:r>
          </w:p>
        </w:tc>
        <w:tc>
          <w:tcPr>
            <w:tcW w:w="126"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202,463 </w:t>
            </w:r>
          </w:p>
        </w:tc>
        <w:tc>
          <w:tcPr>
            <w:tcW w:w="238"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Less: loan origination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(2,028)</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(2,287)</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Less: current portion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(3,883)</w:t>
            </w:r>
          </w:p>
        </w:tc>
        <w:tc>
          <w:tcPr>
            <w:tcW w:w="12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(3,881)</w:t>
            </w:r>
          </w:p>
        </w:tc>
        <w:tc>
          <w:tcPr>
            <w:tcW w:w="23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Total long-term debt,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9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194,600</w:t>
            </w:r>
            <w:r>
              <w:rPr>
                <w:color w:val="006098"/>
              </w:rPr>
              <w:t>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1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196,295</w:t>
            </w:r>
            <w:r>
              <w:rPr>
                <w:color w:val="131E29"/>
              </w:rPr>
              <w:t> </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_______________</w:t>
      </w:r>
    </w:p>
    <w:p>
      <w:pPr>
        <w:pStyle w:val="TextBody"/>
        <w:bidi w:val="0"/>
        <w:spacing w:lineRule="auto" w:line="288" w:before="0" w:after="180"/>
        <w:ind w:left="0" w:right="0" w:hanging="180"/>
        <w:jc w:val="both"/>
        <w:rPr/>
      </w:pPr>
      <w:r>
        <w:rPr>
          <w:rFonts w:ascii="Arial;sans-serif" w:hAnsi="Arial;sans-serif"/>
          <w:b w:val="false"/>
          <w:color w:val="000000"/>
          <w:sz w:val="10"/>
        </w:rPr>
        <w:t>1    </w:t>
      </w:r>
      <w:r>
        <w:rPr>
          <w:rFonts w:ascii="Arial;sans-serif" w:hAnsi="Arial;sans-serif"/>
          <w:b w:val="false"/>
          <w:color w:val="000000"/>
          <w:sz w:val="16"/>
        </w:rPr>
        <w:t>Represents failed sale-leaseback arrangements, and also in 2025, a consideration payable associated with acquired leases.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val="false"/>
          <w:color w:val="131E29"/>
          <w:sz w:val="20"/>
        </w:rPr>
      </w:pPr>
      <w:r>
        <w:rPr>
          <w:rFonts w:ascii="Arial;sans-serif" w:hAnsi="Arial;sans-serif"/>
          <w:b w:val="false"/>
          <w:color w:val="131E29"/>
          <w:sz w:val="20"/>
        </w:rPr>
        <w:t xml:space="preserve">Future annual maturities of long-term debt as of June 30, 2026 are as follows: </w:t>
      </w:r>
    </w:p>
    <w:tbl>
      <w:tblPr>
        <w:tblW w:w="3303" w:type="dxa"/>
        <w:jc w:val="left"/>
        <w:tblInd w:w="0" w:type="dxa"/>
        <w:tblLayout w:type="fixed"/>
        <w:tblCellMar>
          <w:top w:w="28" w:type="dxa"/>
          <w:left w:w="28" w:type="dxa"/>
          <w:bottom w:w="28" w:type="dxa"/>
          <w:right w:w="28" w:type="dxa"/>
        </w:tblCellMar>
      </w:tblPr>
      <w:tblGrid>
        <w:gridCol w:w="636"/>
        <w:gridCol w:w="558"/>
        <w:gridCol w:w="561"/>
        <w:gridCol w:w="109"/>
        <w:gridCol w:w="109"/>
        <w:gridCol w:w="109"/>
        <w:gridCol w:w="211"/>
        <w:gridCol w:w="856"/>
        <w:gridCol w:w="154"/>
      </w:tblGrid>
      <w:tr>
        <w:trPr/>
        <w:tc>
          <w:tcPr>
            <w:tcW w:w="63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Remainder of 2026</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0"/>
              <w:jc w:val="right"/>
              <w:rPr/>
            </w:pPr>
            <w:r>
              <w:rPr/>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85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1,941 </w:t>
            </w:r>
          </w:p>
        </w:tc>
        <w:tc>
          <w:tcPr>
            <w:tcW w:w="154"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5,670 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2028</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0"/>
              <w:jc w:val="right"/>
              <w:rPr/>
            </w:pPr>
            <w:r>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7,500 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11,250 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2030</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170,000 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4,150 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Total</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85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200,511</w:t>
            </w:r>
            <w:r>
              <w:rPr>
                <w:color w:val="006098"/>
              </w:rPr>
              <w:t> </w:t>
            </w:r>
          </w:p>
        </w:tc>
        <w:tc>
          <w:tcPr>
            <w:tcW w:w="15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63220"/>
                <wp:effectExtent l="0" t="0" r="0" b="0"/>
                <wp:wrapNone/>
                <wp:docPr id="59" name="Frame21"/>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60"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1" descr=""/>
                                          <pic:cNvPicPr>
                                            <a:picLocks noChangeAspect="1" noChangeArrowheads="1"/>
                                          </pic:cNvPicPr>
                                        </pic:nvPicPr>
                                        <pic:blipFill>
                                          <a:blip r:embed="rId40"/>
                                          <a:stretch>
                                            <a:fillRect/>
                                          </a:stretch>
                                        </pic:blipFill>
                                        <pic:spPr bwMode="auto">
                                          <a:xfrm>
                                            <a:off x="0" y="0"/>
                                            <a:ext cx="190500" cy="266700"/>
                                          </a:xfrm>
                                          <a:prstGeom prst="rect">
                                            <a:avLst/>
                                          </a:prstGeom>
                                        </pic:spPr>
                                      </pic:pic>
                                    </a:graphicData>
                                  </a:graphic>
                                </wp:inline>
                              </w:drawing>
                            </w:r>
                            <w:bookmarkStart w:id="38" w:name="i-21"/>
                            <w:bookmarkEnd w:id="38"/>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6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21" descr=""/>
                                    <pic:cNvPicPr>
                                      <a:picLocks noChangeAspect="1" noChangeArrowheads="1"/>
                                    </pic:cNvPicPr>
                                  </pic:nvPicPr>
                                  <pic:blipFill>
                                    <a:blip r:embed="rId41"/>
                                    <a:stretch>
                                      <a:fillRect/>
                                    </a:stretch>
                                  </pic:blipFill>
                                  <pic:spPr bwMode="auto">
                                    <a:xfrm>
                                      <a:off x="0" y="0"/>
                                      <a:ext cx="190500" cy="266700"/>
                                    </a:xfrm>
                                    <a:prstGeom prst="rect">
                                      <a:avLst/>
                                    </a:prstGeom>
                                  </pic:spPr>
                                </pic:pic>
                              </a:graphicData>
                            </a:graphic>
                          </wp:inline>
                        </w:drawing>
                      </w:r>
                      <w:bookmarkStart w:id="39" w:name="i-21"/>
                      <w:bookmarkEnd w:id="39"/>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19</w:t>
                      </w:r>
                    </w:p>
                  </w:txbxContent>
                </v:textbox>
                <w10:wrap type="none"/>
              </v:rect>
            </w:pict>
          </mc:Fallback>
        </mc:AlternateContent>
      </w:r>
    </w:p>
    <w:p>
      <w:pPr>
        <w:pStyle w:val="TextBody"/>
        <w:bidi w:val="0"/>
        <w:spacing w:lineRule="auto" w:line="288" w:before="0" w:after="180"/>
        <w:jc w:val="both"/>
        <w:rPr/>
      </w:pPr>
      <w:hyperlink w:anchor="i901a725797c944a19267b6f140f14c09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NOTE 10 — Derivative Financial Instrument</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have a receive-variable (Receive Leg), pay-fixed (Pay Leg) interest rate swap with JPMorgan Chase Bank, N.A. As of June 30, 2026, the interest rate swap had a notional amount of approximately $55.1 million and hedges interest rate risk on the term loan under the 2025 Credit Facility. The interest rate swap matures on February 28, 2027, and has a fixed rate of 2.67% per annum for the Pay Leg. The variable rate on the Receive Leg of the interest rate swap is the one-month adjusted term SOFR plus an applicable margin. As of June 30, 2026, the one-month adjusted term SOFR was 3.64%.</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Our interest rate swap has been designated as a cash flow hedge, and as such, we record the change in fair value for the effective portion of the interest rate swap in AOCI rather than in current period earnings until the underlying hedged transaction affects earnings. As of June 30, 2026, we expect to reclassify a gain of approximately $0.4 million from AOCI to earnings within the next twelve months. </w:t>
      </w:r>
    </w:p>
    <w:p>
      <w:pPr>
        <w:pStyle w:val="TextBody"/>
        <w:bidi w:val="0"/>
        <w:spacing w:lineRule="auto" w:line="288" w:before="0" w:after="120"/>
        <w:jc w:val="both"/>
        <w:rPr>
          <w:rFonts w:ascii="Arial;sans-serif" w:hAnsi="Arial;sans-serif"/>
          <w:b w:val="false"/>
          <w:color w:val="131E29"/>
          <w:sz w:val="20"/>
        </w:rPr>
      </w:pPr>
      <w:r>
        <w:rPr>
          <w:rFonts w:ascii="Arial;sans-serif" w:hAnsi="Arial;sans-serif"/>
          <w:b w:val="false"/>
          <w:color w:val="131E29"/>
          <w:sz w:val="20"/>
        </w:rPr>
        <w:t>Designated as a Level 2 instrument within the fair value hierarchy, the fair value and effect of the derivative instrument included in our condensed consolidated financial statements was as follows:</w:t>
      </w:r>
    </w:p>
    <w:tbl>
      <w:tblPr>
        <w:tblW w:w="10205" w:type="dxa"/>
        <w:jc w:val="left"/>
        <w:tblInd w:w="0" w:type="dxa"/>
        <w:tblLayout w:type="fixed"/>
        <w:tblCellMar>
          <w:top w:w="28" w:type="dxa"/>
          <w:left w:w="28" w:type="dxa"/>
          <w:bottom w:w="28" w:type="dxa"/>
          <w:right w:w="28" w:type="dxa"/>
        </w:tblCellMar>
      </w:tblPr>
      <w:tblGrid>
        <w:gridCol w:w="1352"/>
        <w:gridCol w:w="1186"/>
        <w:gridCol w:w="1180"/>
        <w:gridCol w:w="109"/>
        <w:gridCol w:w="109"/>
        <w:gridCol w:w="109"/>
        <w:gridCol w:w="938"/>
        <w:gridCol w:w="938"/>
        <w:gridCol w:w="940"/>
        <w:gridCol w:w="109"/>
        <w:gridCol w:w="109"/>
        <w:gridCol w:w="109"/>
        <w:gridCol w:w="297"/>
        <w:gridCol w:w="679"/>
        <w:gridCol w:w="153"/>
        <w:gridCol w:w="109"/>
        <w:gridCol w:w="109"/>
        <w:gridCol w:w="109"/>
        <w:gridCol w:w="386"/>
        <w:gridCol w:w="883"/>
        <w:gridCol w:w="292"/>
      </w:tblGrid>
      <w:tr>
        <w:trPr/>
        <w:tc>
          <w:tcPr>
            <w:tcW w:w="1352"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37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20"/>
              </w:rPr>
            </w:pPr>
            <w:r>
              <w:rPr>
                <w:rFonts w:ascii="Arial;sans-serif" w:hAnsi="Arial;sans-serif"/>
                <w:b/>
                <w:color w:val="131E29"/>
                <w:sz w:val="20"/>
              </w:rPr>
              <w:t>Balance Sheets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December 31, 2025</w:t>
            </w:r>
          </w:p>
        </w:tc>
      </w:tr>
      <w:tr>
        <w:trPr/>
        <w:tc>
          <w:tcPr>
            <w:tcW w:w="3718"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Derivative instrument designated as cash flow hedge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6"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Interest rate swap contract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6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448 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466 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8"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Interest rate swap contract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Other long-term assets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53"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36 </w:t>
            </w:r>
          </w:p>
        </w:tc>
        <w:tc>
          <w:tcPr>
            <w:tcW w:w="29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Total derivative instrument designated as cash flow hedge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6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448</w:t>
            </w:r>
            <w:r>
              <w:rPr>
                <w:color w:val="006098"/>
              </w:rPr>
              <w:t>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502</w:t>
            </w:r>
            <w:r>
              <w:rPr>
                <w:color w:val="131E29"/>
              </w:rPr>
              <w:t> </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r>
      <w:tr>
        <w:trPr/>
        <w:tc>
          <w:tcPr>
            <w:tcW w:w="3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r>
      <w:tr>
        <w:trPr/>
        <w:tc>
          <w:tcPr>
            <w:tcW w:w="3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r>
      <w:tr>
        <w:trPr/>
        <w:tc>
          <w:tcPr>
            <w:tcW w:w="3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r>
      <w:tr>
        <w:trPr/>
        <w:tc>
          <w:tcPr>
            <w:tcW w:w="3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54"/>
        <w:gridCol w:w="822"/>
        <w:gridCol w:w="803"/>
        <w:gridCol w:w="109"/>
        <w:gridCol w:w="109"/>
        <w:gridCol w:w="109"/>
        <w:gridCol w:w="714"/>
        <w:gridCol w:w="641"/>
        <w:gridCol w:w="642"/>
        <w:gridCol w:w="109"/>
        <w:gridCol w:w="109"/>
        <w:gridCol w:w="109"/>
        <w:gridCol w:w="231"/>
        <w:gridCol w:w="528"/>
        <w:gridCol w:w="119"/>
        <w:gridCol w:w="119"/>
        <w:gridCol w:w="119"/>
        <w:gridCol w:w="119"/>
        <w:gridCol w:w="231"/>
        <w:gridCol w:w="430"/>
        <w:gridCol w:w="119"/>
        <w:gridCol w:w="109"/>
        <w:gridCol w:w="109"/>
        <w:gridCol w:w="109"/>
        <w:gridCol w:w="224"/>
        <w:gridCol w:w="510"/>
        <w:gridCol w:w="115"/>
        <w:gridCol w:w="115"/>
        <w:gridCol w:w="115"/>
        <w:gridCol w:w="115"/>
        <w:gridCol w:w="224"/>
        <w:gridCol w:w="525"/>
        <w:gridCol w:w="115"/>
        <w:gridCol w:w="109"/>
        <w:gridCol w:w="166"/>
      </w:tblGrid>
      <w:tr>
        <w:trPr/>
        <w:tc>
          <w:tcPr>
            <w:tcW w:w="125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Six Months Ended June 30,</w:t>
            </w:r>
          </w:p>
        </w:tc>
        <w:tc>
          <w:tcPr>
            <w:tcW w:w="275" w:type="dxa"/>
            <w:gridSpan w:val="2"/>
            <w:tcBorders/>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Financial Statements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35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345"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Derivative instrument designated as cash flow hedge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Income (loss) recognized in other comprehensive income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 xml:space="preserve">Statements of Comprehensive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102 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4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5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5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Reclassification from accumulated other comprehensive income to earnings for the effective portion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Statements of Operations - Interest expense, net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(158)</w:t>
            </w:r>
          </w:p>
        </w:tc>
        <w:tc>
          <w:tcPr>
            <w:tcW w:w="11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(280)</w:t>
            </w:r>
          </w:p>
        </w:tc>
        <w:tc>
          <w:tcPr>
            <w:tcW w:w="11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(323)</w:t>
            </w:r>
          </w:p>
        </w:tc>
        <w:tc>
          <w:tcPr>
            <w:tcW w:w="115"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(562)</w:t>
            </w:r>
          </w:p>
        </w:tc>
        <w:tc>
          <w:tcPr>
            <w:tcW w:w="115"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Income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 xml:space="preserve">Statements of Comprehensive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NOTE 11 — Income Taxes</w:t>
      </w:r>
    </w:p>
    <w:tbl>
      <w:tblPr>
        <w:tblW w:w="8401" w:type="dxa"/>
        <w:jc w:val="left"/>
        <w:tblInd w:w="0" w:type="dxa"/>
        <w:tblLayout w:type="fixed"/>
        <w:tblCellMar>
          <w:top w:w="28" w:type="dxa"/>
          <w:left w:w="28" w:type="dxa"/>
          <w:bottom w:w="28" w:type="dxa"/>
          <w:right w:w="28" w:type="dxa"/>
        </w:tblCellMar>
      </w:tblPr>
      <w:tblGrid>
        <w:gridCol w:w="685"/>
        <w:gridCol w:w="601"/>
        <w:gridCol w:w="603"/>
        <w:gridCol w:w="109"/>
        <w:gridCol w:w="109"/>
        <w:gridCol w:w="109"/>
        <w:gridCol w:w="223"/>
        <w:gridCol w:w="796"/>
        <w:gridCol w:w="303"/>
        <w:gridCol w:w="115"/>
        <w:gridCol w:w="115"/>
        <w:gridCol w:w="115"/>
        <w:gridCol w:w="223"/>
        <w:gridCol w:w="684"/>
        <w:gridCol w:w="303"/>
        <w:gridCol w:w="109"/>
        <w:gridCol w:w="109"/>
        <w:gridCol w:w="109"/>
        <w:gridCol w:w="211"/>
        <w:gridCol w:w="751"/>
        <w:gridCol w:w="286"/>
        <w:gridCol w:w="109"/>
        <w:gridCol w:w="109"/>
        <w:gridCol w:w="109"/>
        <w:gridCol w:w="211"/>
        <w:gridCol w:w="646"/>
        <w:gridCol w:w="286"/>
        <w:gridCol w:w="109"/>
        <w:gridCol w:w="154"/>
      </w:tblGrid>
      <w:tr>
        <w:trPr/>
        <w:tc>
          <w:tcPr>
            <w:tcW w:w="685"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345"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Income tax expense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79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12,623 </w:t>
            </w:r>
          </w:p>
        </w:tc>
        <w:tc>
          <w:tcPr>
            <w:tcW w:w="303"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31E29"/>
                <w:sz w:val="20"/>
              </w:rPr>
            </w:pPr>
            <w:r>
              <w:rPr>
                <w:rFonts w:ascii="Arial;sans-serif" w:hAnsi="Arial;sans-serif"/>
                <w:b w:val="false"/>
                <w:color w:val="131E29"/>
                <w:sz w:val="20"/>
              </w:rPr>
              <w:t>$</w:t>
            </w:r>
          </w:p>
        </w:tc>
        <w:tc>
          <w:tcPr>
            <w:tcW w:w="684"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7,243 </w:t>
            </w:r>
          </w:p>
        </w:tc>
        <w:tc>
          <w:tcPr>
            <w:tcW w:w="303"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75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15,964 </w:t>
            </w:r>
          </w:p>
        </w:tc>
        <w:tc>
          <w:tcPr>
            <w:tcW w:w="286"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31E29"/>
                <w:sz w:val="20"/>
              </w:rPr>
            </w:pPr>
            <w:r>
              <w:rPr>
                <w:rFonts w:ascii="Arial;sans-serif" w:hAnsi="Arial;sans-serif"/>
                <w:b w:val="false"/>
                <w:color w:val="131E29"/>
                <w:sz w:val="20"/>
              </w:rPr>
              <w:t>$</w:t>
            </w:r>
          </w:p>
        </w:tc>
        <w:tc>
          <w:tcPr>
            <w:tcW w:w="64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8,702 </w:t>
            </w:r>
          </w:p>
        </w:tc>
        <w:tc>
          <w:tcPr>
            <w:tcW w:w="286"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Effective tax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19.7 </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15.9 </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17.5 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12.5 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63220"/>
                <wp:effectExtent l="0" t="0" r="0" b="0"/>
                <wp:wrapNone/>
                <wp:docPr id="62" name="Frame22"/>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63"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22" descr=""/>
                                          <pic:cNvPicPr>
                                            <a:picLocks noChangeAspect="1" noChangeArrowheads="1"/>
                                          </pic:cNvPicPr>
                                        </pic:nvPicPr>
                                        <pic:blipFill>
                                          <a:blip r:embed="rId42"/>
                                          <a:stretch>
                                            <a:fillRect/>
                                          </a:stretch>
                                        </pic:blipFill>
                                        <pic:spPr bwMode="auto">
                                          <a:xfrm>
                                            <a:off x="0" y="0"/>
                                            <a:ext cx="190500" cy="266700"/>
                                          </a:xfrm>
                                          <a:prstGeom prst="rect">
                                            <a:avLst/>
                                          </a:prstGeom>
                                        </pic:spPr>
                                      </pic:pic>
                                    </a:graphicData>
                                  </a:graphic>
                                </wp:inline>
                              </w:drawing>
                            </w:r>
                            <w:bookmarkStart w:id="40" w:name="i-22"/>
                            <w:bookmarkEnd w:id="40"/>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6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22" descr=""/>
                                    <pic:cNvPicPr>
                                      <a:picLocks noChangeAspect="1" noChangeArrowheads="1"/>
                                    </pic:cNvPicPr>
                                  </pic:nvPicPr>
                                  <pic:blipFill>
                                    <a:blip r:embed="rId43"/>
                                    <a:stretch>
                                      <a:fillRect/>
                                    </a:stretch>
                                  </pic:blipFill>
                                  <pic:spPr bwMode="auto">
                                    <a:xfrm>
                                      <a:off x="0" y="0"/>
                                      <a:ext cx="190500" cy="266700"/>
                                    </a:xfrm>
                                    <a:prstGeom prst="rect">
                                      <a:avLst/>
                                    </a:prstGeom>
                                  </pic:spPr>
                                </pic:pic>
                              </a:graphicData>
                            </a:graphic>
                          </wp:inline>
                        </w:drawing>
                      </w:r>
                      <w:bookmarkStart w:id="41" w:name="i-22"/>
                      <w:bookmarkEnd w:id="41"/>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20</w:t>
                      </w:r>
                    </w:p>
                  </w:txbxContent>
                </v:textbox>
                <w10:wrap type="none"/>
              </v:rect>
            </w:pict>
          </mc:Fallback>
        </mc:AlternateContent>
      </w:r>
    </w:p>
    <w:p>
      <w:pPr>
        <w:pStyle w:val="TextBody"/>
        <w:bidi w:val="0"/>
        <w:spacing w:lineRule="auto" w:line="288" w:before="0" w:after="180"/>
        <w:jc w:val="both"/>
        <w:rPr/>
      </w:pPr>
      <w:hyperlink w:anchor="i901a725797c944a19267b6f140f14c09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0"/>
        <w:jc w:val="left"/>
        <w:rPr>
          <w:rFonts w:ascii="Arial;sans-serif" w:hAnsi="Arial;sans-serif"/>
          <w:b w:val="false"/>
          <w:color w:val="006098"/>
          <w:sz w:val="20"/>
          <w:u w:val="single"/>
        </w:rPr>
      </w:pPr>
      <w:r>
        <w:rPr>
          <w:rFonts w:ascii="Arial;sans-serif" w:hAnsi="Arial;sans-serif"/>
          <w:b w:val="false"/>
          <w:color w:val="006098"/>
          <w:sz w:val="20"/>
          <w:u w:val="single"/>
        </w:rPr>
        <w:t>Three Months Ended June 30, 2026 v. 2025</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effective tax rate for the quarter ended June 30, 2026, was 19.7%, which reflects the US federal statutory rate of 21% on pre-tax income, increased by the impact of state income taxes, offset by the tax benefits of income attributable to non-controlling interests and federal tax credits. The increase in the effective tax rate from 15.9% in the same period in 2025 is primarily due to the increase in our ownership of Dutch Bros OpCo.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6098"/>
          <w:sz w:val="20"/>
          <w:u w:val="single"/>
        </w:rPr>
      </w:pPr>
      <w:r>
        <w:rPr>
          <w:rFonts w:ascii="Arial;sans-serif" w:hAnsi="Arial;sans-serif"/>
          <w:b w:val="false"/>
          <w:color w:val="006098"/>
          <w:sz w:val="20"/>
          <w:u w:val="single"/>
        </w:rPr>
        <w:t>Six Months Ended June 30, 2026 v. 2025</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effective tax rate for the six months ended June 30, 2026, was 17.5%, which reflects the US federal statutory rate of 21% on pre-tax income, increased by the impact of state income taxes, offset by the tax benefits of income attributable to non-controlling interests and federal tax credits. The increase in the effective tax rate from 12.5% in the same period in 2025 is due to a decrease in the benefit from stock compensation, as well as an increase in our ownership of Dutch Bros OpCo.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Tax Receivable Agreements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In connection with our IPO, we executed two TRAs which require payment to certain Dutch Bros OpCo owners of 85% of the income tax benefits, if any, that we actually realize or in some cases is deemed to realize (calculated using certain assumptions) as a result of certain tax attributes and benefits covered by the TRAs.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TRAs-related liabilities are classified on our condensed consolidated balance sheets as current or non-current based on the expected date of payment under the captions “Current portion of tax receivable agreements liability” and “Tax receivable agreements liability, net of current portion,” respectively.</w:t>
      </w:r>
    </w:p>
    <w:p>
      <w:pPr>
        <w:pStyle w:val="TextBody"/>
        <w:bidi w:val="0"/>
        <w:spacing w:lineRule="auto" w:line="288" w:before="0" w:after="180"/>
        <w:jc w:val="both"/>
        <w:rPr/>
      </w:pPr>
      <w:r>
        <w:rPr>
          <w:rFonts w:ascii="Arial;sans-serif" w:hAnsi="Arial;sans-serif"/>
          <w:b w:val="false"/>
          <w:color w:val="131E29"/>
          <w:sz w:val="20"/>
        </w:rPr>
        <w:t xml:space="preserve">As of June 30, 2026, our total TRAs-related liabilities were </w:t>
      </w:r>
      <w:r>
        <w:rPr>
          <w:rFonts w:ascii="Arial;sans-serif" w:hAnsi="Arial;sans-serif"/>
          <w:b w:val="false"/>
          <w:color w:val="000000"/>
          <w:sz w:val="20"/>
        </w:rPr>
        <w:t>$973.0 million.</w:t>
      </w:r>
      <w:r>
        <w:rPr>
          <w:color w:val="131E29"/>
        </w:rPr>
        <w:t xml:space="preserve"> </w:t>
      </w:r>
      <w:r>
        <w:rPr>
          <w:rFonts w:ascii="Arial;sans-serif" w:hAnsi="Arial;sans-serif"/>
          <w:b w:val="false"/>
          <w:color w:val="131E29"/>
          <w:sz w:val="20"/>
        </w:rPr>
        <w:t>The changes related to these liabilities were as follows:</w:t>
      </w:r>
    </w:p>
    <w:tbl>
      <w:tblPr>
        <w:tblW w:w="10205" w:type="dxa"/>
        <w:jc w:val="left"/>
        <w:tblInd w:w="0" w:type="dxa"/>
        <w:tblLayout w:type="fixed"/>
        <w:tblCellMar>
          <w:top w:w="28" w:type="dxa"/>
          <w:left w:w="28" w:type="dxa"/>
          <w:bottom w:w="28" w:type="dxa"/>
          <w:right w:w="28" w:type="dxa"/>
        </w:tblCellMar>
      </w:tblPr>
      <w:tblGrid>
        <w:gridCol w:w="2377"/>
        <w:gridCol w:w="2023"/>
        <w:gridCol w:w="2019"/>
        <w:gridCol w:w="109"/>
        <w:gridCol w:w="109"/>
        <w:gridCol w:w="109"/>
        <w:gridCol w:w="240"/>
        <w:gridCol w:w="974"/>
        <w:gridCol w:w="123"/>
        <w:gridCol w:w="109"/>
        <w:gridCol w:w="109"/>
        <w:gridCol w:w="109"/>
        <w:gridCol w:w="309"/>
        <w:gridCol w:w="1257"/>
        <w:gridCol w:w="229"/>
      </w:tblGrid>
      <w:tr>
        <w:trPr/>
        <w:tc>
          <w:tcPr>
            <w:tcW w:w="2377"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20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December 31, 2025</w:t>
            </w:r>
          </w:p>
        </w:tc>
      </w:tr>
      <w:tr>
        <w:trPr/>
        <w:tc>
          <w:tcPr>
            <w:tcW w:w="6419"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Beginning balance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974"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821,049</w:t>
            </w:r>
            <w:r>
              <w:rPr>
                <w:color w:val="006098"/>
              </w:rPr>
              <w:t> </w:t>
            </w:r>
          </w:p>
        </w:tc>
        <w:tc>
          <w:tcPr>
            <w:tcW w:w="123"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1E29"/>
                <w:sz w:val="20"/>
              </w:rPr>
            </w:pPr>
            <w:r>
              <w:rPr>
                <w:rFonts w:ascii="Arial;sans-serif" w:hAnsi="Arial;sans-serif"/>
                <w:b/>
                <w:color w:val="131E29"/>
                <w:sz w:val="20"/>
              </w:rPr>
              <w:t>$</w:t>
            </w:r>
          </w:p>
        </w:tc>
        <w:tc>
          <w:tcPr>
            <w:tcW w:w="1257"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1E29"/>
                <w:sz w:val="20"/>
              </w:rPr>
              <w:t>627,834</w:t>
            </w:r>
            <w:r>
              <w:rPr>
                <w:color w:val="131E29"/>
              </w:rPr>
              <w:t> </w:t>
            </w:r>
          </w:p>
        </w:tc>
        <w:tc>
          <w:tcPr>
            <w:tcW w:w="22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Additions (reductions) to TRAs: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Exchange of Dutch Bros OpCo Class A common units for Class A common stock</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166,291 </w:t>
            </w:r>
          </w:p>
        </w:tc>
        <w:tc>
          <w:tcPr>
            <w:tcW w:w="123"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202,680 </w:t>
            </w:r>
          </w:p>
        </w:tc>
        <w:tc>
          <w:tcPr>
            <w:tcW w:w="22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Payments under TRA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(13,953)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(4,698)</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131E29"/>
                <w:sz w:val="20"/>
              </w:rPr>
              <w:t xml:space="preserve">TRAs remeasurements and other </w:t>
            </w:r>
            <w:r>
              <w:rPr>
                <w:rFonts w:ascii="Arial;sans-serif" w:hAnsi="Arial;sans-serif"/>
                <w:b w:val="false"/>
                <w:color w:val="131E29"/>
                <w:sz w:val="13"/>
              </w:rPr>
              <w:t>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(437)</w:t>
            </w:r>
          </w:p>
        </w:tc>
        <w:tc>
          <w:tcPr>
            <w:tcW w:w="123"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(4,767)</w:t>
            </w:r>
          </w:p>
        </w:tc>
        <w:tc>
          <w:tcPr>
            <w:tcW w:w="22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5" w:type="dxa"/>
            <w:gridSpan w:val="3"/>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Ending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9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972,950</w:t>
            </w:r>
            <w:r>
              <w:rPr>
                <w:color w:val="006098"/>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1E29"/>
                <w:sz w:val="20"/>
              </w:rPr>
            </w:pPr>
            <w:r>
              <w:rPr>
                <w:rFonts w:ascii="Arial;sans-serif" w:hAnsi="Arial;sans-serif"/>
                <w:b/>
                <w:color w:val="131E29"/>
                <w:sz w:val="20"/>
              </w:rPr>
              <w:t>$</w:t>
            </w:r>
          </w:p>
        </w:tc>
        <w:tc>
          <w:tcPr>
            <w:tcW w:w="1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1E29"/>
                <w:sz w:val="20"/>
              </w:rPr>
              <w:t>821,049</w:t>
            </w:r>
            <w:r>
              <w:rPr>
                <w:color w:val="131E29"/>
              </w:rPr>
              <w:t>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Less: current portion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(686)</w:t>
            </w:r>
          </w:p>
        </w:tc>
        <w:tc>
          <w:tcPr>
            <w:tcW w:w="123"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(7,696)</w:t>
            </w:r>
          </w:p>
        </w:tc>
        <w:tc>
          <w:tcPr>
            <w:tcW w:w="22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TRAs liability,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9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972,264</w:t>
            </w:r>
            <w:r>
              <w:rPr>
                <w:color w:val="006098"/>
              </w:rPr>
              <w:t>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131E29"/>
                <w:sz w:val="20"/>
              </w:rPr>
            </w:pPr>
            <w:r>
              <w:rPr>
                <w:rFonts w:ascii="Arial;sans-serif" w:hAnsi="Arial;sans-serif"/>
                <w:b/>
                <w:color w:val="131E29"/>
                <w:sz w:val="20"/>
              </w:rPr>
              <w:t>$</w:t>
            </w:r>
          </w:p>
        </w:tc>
        <w:tc>
          <w:tcPr>
            <w:tcW w:w="1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131E29"/>
                <w:sz w:val="20"/>
              </w:rPr>
              <w:t>813,353</w:t>
            </w:r>
            <w:r>
              <w:rPr>
                <w:color w:val="131E29"/>
              </w:rPr>
              <w:t> </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_________________</w:t>
      </w:r>
    </w:p>
    <w:p>
      <w:pPr>
        <w:pStyle w:val="TextBody"/>
        <w:bidi w:val="0"/>
        <w:spacing w:lineRule="auto" w:line="288" w:before="0" w:after="180"/>
        <w:ind w:left="0" w:right="0" w:hanging="180"/>
        <w:jc w:val="both"/>
        <w:rPr/>
      </w:pPr>
      <w:r>
        <w:rPr>
          <w:rFonts w:ascii="Arial;sans-serif" w:hAnsi="Arial;sans-serif"/>
          <w:b w:val="false"/>
          <w:color w:val="000000"/>
          <w:sz w:val="10"/>
        </w:rPr>
        <w:t xml:space="preserve">1 </w:t>
      </w:r>
      <w:r>
        <w:rPr>
          <w:rFonts w:ascii="Arial;sans-serif" w:hAnsi="Arial;sans-serif"/>
          <w:b w:val="false"/>
          <w:color w:val="000000"/>
          <w:sz w:val="16"/>
        </w:rPr>
        <w:t>For 2025, the impact primarily related to state tax rates and adjustments from previous estimates upon finalization of the tax attributes subject to the TRAs. For 2026, the impact is related to the increase in the valuation allowance for charitable contributions that are not expected to be utilized.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For the three and six months ended June 30, 2026 in connection with our Tax Receivable Agreements, deferred tax assets associated with our investment in Dutch Bros OpCo increased $179.0 million due to the exchange of approximately 10.6 million units of our Class A common units for Class A common stock. In addition, during three and six months ended June 30, 2026 the TRA liability increased $166.3 million as a result of these exchanges, all of which occurred in Q2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63220"/>
                <wp:effectExtent l="0" t="0" r="0" b="0"/>
                <wp:wrapNone/>
                <wp:docPr id="65" name="Frame23"/>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6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23" descr=""/>
                                          <pic:cNvPicPr>
                                            <a:picLocks noChangeAspect="1" noChangeArrowheads="1"/>
                                          </pic:cNvPicPr>
                                        </pic:nvPicPr>
                                        <pic:blipFill>
                                          <a:blip r:embed="rId44"/>
                                          <a:stretch>
                                            <a:fillRect/>
                                          </a:stretch>
                                        </pic:blipFill>
                                        <pic:spPr bwMode="auto">
                                          <a:xfrm>
                                            <a:off x="0" y="0"/>
                                            <a:ext cx="190500" cy="266700"/>
                                          </a:xfrm>
                                          <a:prstGeom prst="rect">
                                            <a:avLst/>
                                          </a:prstGeom>
                                        </pic:spPr>
                                      </pic:pic>
                                    </a:graphicData>
                                  </a:graphic>
                                </wp:inline>
                              </w:drawing>
                            </w:r>
                            <w:bookmarkStart w:id="42" w:name="i-23"/>
                            <w:bookmarkEnd w:id="42"/>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6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23" descr=""/>
                                    <pic:cNvPicPr>
                                      <a:picLocks noChangeAspect="1" noChangeArrowheads="1"/>
                                    </pic:cNvPicPr>
                                  </pic:nvPicPr>
                                  <pic:blipFill>
                                    <a:blip r:embed="rId45"/>
                                    <a:stretch>
                                      <a:fillRect/>
                                    </a:stretch>
                                  </pic:blipFill>
                                  <pic:spPr bwMode="auto">
                                    <a:xfrm>
                                      <a:off x="0" y="0"/>
                                      <a:ext cx="190500" cy="266700"/>
                                    </a:xfrm>
                                    <a:prstGeom prst="rect">
                                      <a:avLst/>
                                    </a:prstGeom>
                                  </pic:spPr>
                                </pic:pic>
                              </a:graphicData>
                            </a:graphic>
                          </wp:inline>
                        </w:drawing>
                      </w:r>
                      <w:bookmarkStart w:id="43" w:name="i-23"/>
                      <w:bookmarkEnd w:id="43"/>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21</w:t>
                      </w:r>
                    </w:p>
                  </w:txbxContent>
                </v:textbox>
                <w10:wrap type="none"/>
              </v:rect>
            </w:pict>
          </mc:Fallback>
        </mc:AlternateContent>
      </w:r>
    </w:p>
    <w:p>
      <w:pPr>
        <w:pStyle w:val="TextBody"/>
        <w:bidi w:val="0"/>
        <w:spacing w:lineRule="auto" w:line="288" w:before="0" w:after="180"/>
        <w:jc w:val="both"/>
        <w:rPr/>
      </w:pPr>
      <w:hyperlink w:anchor="i901a725797c944a19267b6f140f14c09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NOTE 12 — Equity-Based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Restricted Stock Units</w:t>
      </w:r>
    </w:p>
    <w:p>
      <w:pPr>
        <w:pStyle w:val="TextBody"/>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RSU activity was as follows:</w:t>
      </w:r>
    </w:p>
    <w:tbl>
      <w:tblPr>
        <w:tblW w:w="10205" w:type="dxa"/>
        <w:jc w:val="left"/>
        <w:tblInd w:w="0" w:type="dxa"/>
        <w:tblLayout w:type="fixed"/>
        <w:tblCellMar>
          <w:top w:w="28" w:type="dxa"/>
          <w:left w:w="28" w:type="dxa"/>
          <w:bottom w:w="28" w:type="dxa"/>
          <w:right w:w="28" w:type="dxa"/>
        </w:tblCellMar>
      </w:tblPr>
      <w:tblGrid>
        <w:gridCol w:w="1102"/>
        <w:gridCol w:w="961"/>
        <w:gridCol w:w="967"/>
        <w:gridCol w:w="109"/>
        <w:gridCol w:w="109"/>
        <w:gridCol w:w="109"/>
        <w:gridCol w:w="693"/>
        <w:gridCol w:w="693"/>
        <w:gridCol w:w="694"/>
        <w:gridCol w:w="109"/>
        <w:gridCol w:w="109"/>
        <w:gridCol w:w="109"/>
        <w:gridCol w:w="923"/>
        <w:gridCol w:w="2834"/>
        <w:gridCol w:w="684"/>
      </w:tblGrid>
      <w:tr>
        <w:trPr/>
        <w:tc>
          <w:tcPr>
            <w:tcW w:w="1102"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83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Weighted-average grant date fair value per share</w:t>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41"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41"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41"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41"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41"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Balance, December 31, 2025</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842</w:t>
            </w:r>
            <w:r>
              <w:rPr>
                <w:color w:val="131E29"/>
              </w:rPr>
              <w:t> </w:t>
            </w:r>
          </w:p>
        </w:tc>
        <w:tc>
          <w:tcPr>
            <w:tcW w:w="694"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2834"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46.55</w:t>
            </w:r>
            <w:r>
              <w:rPr>
                <w:color w:val="131E29"/>
              </w:rPr>
              <w:t> </w:t>
            </w:r>
          </w:p>
        </w:tc>
        <w:tc>
          <w:tcPr>
            <w:tcW w:w="684"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41"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New grants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651 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53.58 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Vested</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(369)</w:t>
            </w:r>
          </w:p>
        </w:tc>
        <w:tc>
          <w:tcPr>
            <w:tcW w:w="69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38.70 </w:t>
            </w:r>
          </w:p>
        </w:tc>
        <w:tc>
          <w:tcPr>
            <w:tcW w:w="68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Forfeitures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(72)</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52.41 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Balance, June 30, 2026</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1,052</w:t>
            </w:r>
            <w:r>
              <w:rPr>
                <w:color w:val="006098"/>
              </w:rPr>
              <w:t> </w:t>
            </w:r>
          </w:p>
        </w:tc>
        <w:tc>
          <w:tcPr>
            <w:tcW w:w="69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283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52.32</w:t>
            </w:r>
            <w:r>
              <w:rPr>
                <w:color w:val="006098"/>
              </w:rPr>
              <w:t> </w:t>
            </w:r>
          </w:p>
        </w:tc>
        <w:tc>
          <w:tcPr>
            <w:tcW w:w="68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PSU activity was as follows:</w:t>
      </w:r>
    </w:p>
    <w:tbl>
      <w:tblPr>
        <w:tblW w:w="10205" w:type="dxa"/>
        <w:jc w:val="left"/>
        <w:tblInd w:w="0" w:type="dxa"/>
        <w:tblLayout w:type="fixed"/>
        <w:tblCellMar>
          <w:top w:w="28" w:type="dxa"/>
          <w:left w:w="28" w:type="dxa"/>
          <w:bottom w:w="28" w:type="dxa"/>
          <w:right w:w="28" w:type="dxa"/>
        </w:tblCellMar>
      </w:tblPr>
      <w:tblGrid>
        <w:gridCol w:w="1006"/>
        <w:gridCol w:w="861"/>
        <w:gridCol w:w="867"/>
        <w:gridCol w:w="109"/>
        <w:gridCol w:w="109"/>
        <w:gridCol w:w="109"/>
        <w:gridCol w:w="923"/>
        <w:gridCol w:w="923"/>
        <w:gridCol w:w="925"/>
        <w:gridCol w:w="109"/>
        <w:gridCol w:w="109"/>
        <w:gridCol w:w="109"/>
        <w:gridCol w:w="763"/>
        <w:gridCol w:w="2718"/>
        <w:gridCol w:w="565"/>
      </w:tblGrid>
      <w:tr>
        <w:trPr/>
        <w:tc>
          <w:tcPr>
            <w:tcW w:w="1006"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718"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r>
      <w:tr>
        <w:trPr/>
        <w:tc>
          <w:tcPr>
            <w:tcW w:w="27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Performance - Based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Weighted-average grant date fair value per share</w:t>
            </w:r>
          </w:p>
        </w:tc>
      </w:tr>
      <w:tr>
        <w:trPr/>
        <w:tc>
          <w:tcPr>
            <w:tcW w:w="2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46" w:type="dxa"/>
            <w:gridSpan w:val="3"/>
            <w:tcBorders/>
            <w:vAlign w:val="center"/>
          </w:tcPr>
          <w:p>
            <w:pPr>
              <w:pStyle w:val="TableContents"/>
              <w:bidi w:val="0"/>
              <w:spacing w:before="0" w:after="283"/>
              <w:jc w:val="left"/>
              <w:rPr>
                <w:sz w:val="4"/>
                <w:szCs w:val="4"/>
              </w:rPr>
            </w:pPr>
            <w:r>
              <w:rPr>
                <w:sz w:val="4"/>
                <w:szCs w:val="4"/>
              </w:rPr>
            </w:r>
          </w:p>
        </w:tc>
      </w:tr>
      <w:tr>
        <w:trPr/>
        <w:tc>
          <w:tcPr>
            <w:tcW w:w="2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46" w:type="dxa"/>
            <w:gridSpan w:val="3"/>
            <w:tcBorders/>
            <w:vAlign w:val="center"/>
          </w:tcPr>
          <w:p>
            <w:pPr>
              <w:pStyle w:val="TableContents"/>
              <w:bidi w:val="0"/>
              <w:spacing w:before="0" w:after="283"/>
              <w:jc w:val="left"/>
              <w:rPr>
                <w:sz w:val="4"/>
                <w:szCs w:val="4"/>
              </w:rPr>
            </w:pPr>
            <w:r>
              <w:rPr>
                <w:sz w:val="4"/>
                <w:szCs w:val="4"/>
              </w:rPr>
            </w:r>
          </w:p>
        </w:tc>
      </w:tr>
      <w:tr>
        <w:trPr/>
        <w:tc>
          <w:tcPr>
            <w:tcW w:w="2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46" w:type="dxa"/>
            <w:gridSpan w:val="3"/>
            <w:tcBorders/>
            <w:vAlign w:val="center"/>
          </w:tcPr>
          <w:p>
            <w:pPr>
              <w:pStyle w:val="TableContents"/>
              <w:bidi w:val="0"/>
              <w:spacing w:before="0" w:after="283"/>
              <w:jc w:val="left"/>
              <w:rPr>
                <w:sz w:val="4"/>
                <w:szCs w:val="4"/>
              </w:rPr>
            </w:pPr>
            <w:r>
              <w:rPr>
                <w:sz w:val="4"/>
                <w:szCs w:val="4"/>
              </w:rPr>
            </w:r>
          </w:p>
        </w:tc>
      </w:tr>
      <w:tr>
        <w:trPr/>
        <w:tc>
          <w:tcPr>
            <w:tcW w:w="2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46" w:type="dxa"/>
            <w:gridSpan w:val="3"/>
            <w:tcBorders/>
            <w:vAlign w:val="center"/>
          </w:tcPr>
          <w:p>
            <w:pPr>
              <w:pStyle w:val="TableContents"/>
              <w:bidi w:val="0"/>
              <w:spacing w:before="0" w:after="283"/>
              <w:jc w:val="left"/>
              <w:rPr>
                <w:sz w:val="4"/>
                <w:szCs w:val="4"/>
              </w:rPr>
            </w:pPr>
            <w:r>
              <w:rPr>
                <w:sz w:val="4"/>
                <w:szCs w:val="4"/>
              </w:rPr>
            </w:r>
          </w:p>
        </w:tc>
      </w:tr>
      <w:tr>
        <w:trPr/>
        <w:tc>
          <w:tcPr>
            <w:tcW w:w="2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46" w:type="dxa"/>
            <w:gridSpan w:val="3"/>
            <w:tcBorders/>
            <w:vAlign w:val="center"/>
          </w:tcPr>
          <w:p>
            <w:pPr>
              <w:pStyle w:val="TableContents"/>
              <w:bidi w:val="0"/>
              <w:spacing w:before="0" w:after="283"/>
              <w:jc w:val="left"/>
              <w:rPr>
                <w:sz w:val="4"/>
                <w:szCs w:val="4"/>
              </w:rPr>
            </w:pPr>
            <w:r>
              <w:rPr>
                <w:sz w:val="4"/>
                <w:szCs w:val="4"/>
              </w:rPr>
            </w:r>
          </w:p>
        </w:tc>
      </w:tr>
      <w:tr>
        <w:trPr/>
        <w:tc>
          <w:tcPr>
            <w:tcW w:w="2734"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Balance, December 31, 2025</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1E29"/>
                <w:sz w:val="20"/>
              </w:rPr>
              <w:t>55</w:t>
            </w:r>
            <w:r>
              <w:rPr>
                <w:color w:val="131E29"/>
              </w:rPr>
              <w:t> </w:t>
            </w:r>
          </w:p>
        </w:tc>
        <w:tc>
          <w:tcPr>
            <w:tcW w:w="925"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1E29"/>
                <w:sz w:val="20"/>
              </w:rPr>
            </w:pPr>
            <w:r>
              <w:rPr>
                <w:rFonts w:ascii="Arial;sans-serif" w:hAnsi="Arial;sans-serif"/>
                <w:b/>
                <w:color w:val="131E29"/>
                <w:sz w:val="20"/>
              </w:rPr>
              <w:t>$</w:t>
            </w:r>
          </w:p>
        </w:tc>
        <w:tc>
          <w:tcPr>
            <w:tcW w:w="2718"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1E29"/>
                <w:sz w:val="20"/>
              </w:rPr>
              <w:t>132.96</w:t>
            </w:r>
            <w:r>
              <w:rPr>
                <w:color w:val="131E29"/>
              </w:rPr>
              <w:t> </w:t>
            </w:r>
          </w:p>
        </w:tc>
        <w:tc>
          <w:tcPr>
            <w:tcW w:w="565"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46" w:type="dxa"/>
            <w:gridSpan w:val="3"/>
            <w:tcBorders/>
            <w:vAlign w:val="center"/>
          </w:tcPr>
          <w:p>
            <w:pPr>
              <w:pStyle w:val="TableContents"/>
              <w:bidi w:val="0"/>
              <w:spacing w:before="0" w:after="283"/>
              <w:jc w:val="left"/>
              <w:rPr>
                <w:sz w:val="4"/>
                <w:szCs w:val="4"/>
              </w:rPr>
            </w:pPr>
            <w:r>
              <w:rPr>
                <w:sz w:val="4"/>
                <w:szCs w:val="4"/>
              </w:rPr>
            </w:r>
          </w:p>
        </w:tc>
      </w:tr>
      <w:tr>
        <w:trPr/>
        <w:tc>
          <w:tcPr>
            <w:tcW w:w="2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New grants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134 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78.80 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46" w:type="dxa"/>
            <w:gridSpan w:val="3"/>
            <w:tcBorders/>
            <w:vAlign w:val="center"/>
          </w:tcPr>
          <w:p>
            <w:pPr>
              <w:pStyle w:val="TableContents"/>
              <w:bidi w:val="0"/>
              <w:spacing w:before="0" w:after="283"/>
              <w:jc w:val="left"/>
              <w:rPr>
                <w:sz w:val="4"/>
                <w:szCs w:val="4"/>
              </w:rPr>
            </w:pPr>
            <w:r>
              <w:rPr>
                <w:sz w:val="4"/>
                <w:szCs w:val="4"/>
              </w:rPr>
            </w:r>
          </w:p>
        </w:tc>
      </w:tr>
      <w:tr>
        <w:trPr/>
        <w:tc>
          <w:tcPr>
            <w:tcW w:w="273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Forfeitures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(14)</w:t>
            </w:r>
          </w:p>
        </w:tc>
        <w:tc>
          <w:tcPr>
            <w:tcW w:w="925"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105.08 </w:t>
            </w:r>
          </w:p>
        </w:tc>
        <w:tc>
          <w:tcPr>
            <w:tcW w:w="565"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Balance,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175</w:t>
            </w:r>
            <w:r>
              <w:rPr>
                <w:color w:val="006098"/>
              </w:rPr>
              <w:t> </w:t>
            </w:r>
          </w:p>
        </w:tc>
        <w:tc>
          <w:tcPr>
            <w:tcW w:w="9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27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93.77</w:t>
            </w:r>
            <w:r>
              <w:rPr>
                <w:color w:val="006098"/>
              </w:rPr>
              <w:t> </w:t>
            </w:r>
          </w:p>
        </w:tc>
        <w:tc>
          <w:tcPr>
            <w:tcW w:w="5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Total release date fair value of vested equity awards for six months ended June 30, 2026 and 2025 are presented below: </w:t>
      </w:r>
    </w:p>
    <w:tbl>
      <w:tblPr>
        <w:tblW w:w="10205" w:type="dxa"/>
        <w:jc w:val="left"/>
        <w:tblInd w:w="0" w:type="dxa"/>
        <w:tblLayout w:type="fixed"/>
        <w:tblCellMar>
          <w:top w:w="28" w:type="dxa"/>
          <w:left w:w="28" w:type="dxa"/>
          <w:bottom w:w="28" w:type="dxa"/>
          <w:right w:w="28" w:type="dxa"/>
        </w:tblCellMar>
      </w:tblPr>
      <w:tblGrid>
        <w:gridCol w:w="792"/>
        <w:gridCol w:w="695"/>
        <w:gridCol w:w="700"/>
        <w:gridCol w:w="109"/>
        <w:gridCol w:w="109"/>
        <w:gridCol w:w="109"/>
        <w:gridCol w:w="109"/>
        <w:gridCol w:w="109"/>
        <w:gridCol w:w="109"/>
        <w:gridCol w:w="109"/>
        <w:gridCol w:w="439"/>
        <w:gridCol w:w="383"/>
        <w:gridCol w:w="372"/>
        <w:gridCol w:w="109"/>
        <w:gridCol w:w="109"/>
        <w:gridCol w:w="109"/>
        <w:gridCol w:w="371"/>
        <w:gridCol w:w="1137"/>
        <w:gridCol w:w="191"/>
        <w:gridCol w:w="109"/>
        <w:gridCol w:w="109"/>
        <w:gridCol w:w="109"/>
        <w:gridCol w:w="439"/>
        <w:gridCol w:w="383"/>
        <w:gridCol w:w="372"/>
        <w:gridCol w:w="109"/>
        <w:gridCol w:w="109"/>
        <w:gridCol w:w="109"/>
        <w:gridCol w:w="371"/>
        <w:gridCol w:w="1137"/>
        <w:gridCol w:w="191"/>
        <w:gridCol w:w="109"/>
        <w:gridCol w:w="109"/>
        <w:gridCol w:w="109"/>
        <w:gridCol w:w="161"/>
      </w:tblGrid>
      <w:tr>
        <w:trPr/>
        <w:tc>
          <w:tcPr>
            <w:tcW w:w="79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7" w:type="dxa"/>
            <w:gridSpan w:val="21"/>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Six Months Ended June 30,</w:t>
            </w:r>
          </w:p>
        </w:tc>
        <w:tc>
          <w:tcPr>
            <w:tcW w:w="488" w:type="dxa"/>
            <w:gridSpan w:val="4"/>
            <w:tcBorders/>
          </w:tcPr>
          <w:p>
            <w:pPr>
              <w:pStyle w:val="TableContents"/>
              <w:bidi w:val="0"/>
              <w:spacing w:before="0" w:after="283"/>
              <w:jc w:val="left"/>
              <w:rPr>
                <w:sz w:val="4"/>
                <w:szCs w:val="4"/>
              </w:rPr>
            </w:pPr>
            <w:r>
              <w:rPr>
                <w:sz w:val="4"/>
                <w:szCs w:val="4"/>
              </w:rPr>
            </w:r>
          </w:p>
        </w:tc>
      </w:tr>
      <w:tr>
        <w:trPr/>
        <w:tc>
          <w:tcPr>
            <w:tcW w:w="21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except per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0"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0"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218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Awards/units</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W/A vest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Awards/units</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W/A vest date 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87"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RSUs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17,812 </w:t>
            </w:r>
          </w:p>
        </w:tc>
        <w:tc>
          <w:tcPr>
            <w:tcW w:w="372"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1137"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48.29 </w:t>
            </w:r>
          </w:p>
        </w:tc>
        <w:tc>
          <w:tcPr>
            <w:tcW w:w="191"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34,823 </w:t>
            </w:r>
          </w:p>
        </w:tc>
        <w:tc>
          <w:tcPr>
            <w:tcW w:w="372"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137"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78.86 </w:t>
            </w:r>
          </w:p>
        </w:tc>
        <w:tc>
          <w:tcPr>
            <w:tcW w:w="191"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Equity-Based Compensation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Equity-based compensation expense is recognized on a straight-line basis and is included in our condensed consolidated statements of operations as follows:</w:t>
      </w:r>
    </w:p>
    <w:tbl>
      <w:tblPr>
        <w:tblW w:w="10205" w:type="dxa"/>
        <w:jc w:val="left"/>
        <w:tblInd w:w="0" w:type="dxa"/>
        <w:tblLayout w:type="fixed"/>
        <w:tblCellMar>
          <w:top w:w="28" w:type="dxa"/>
          <w:left w:w="28" w:type="dxa"/>
          <w:bottom w:w="28" w:type="dxa"/>
          <w:right w:w="28" w:type="dxa"/>
        </w:tblCellMar>
      </w:tblPr>
      <w:tblGrid>
        <w:gridCol w:w="1395"/>
        <w:gridCol w:w="1217"/>
        <w:gridCol w:w="1222"/>
        <w:gridCol w:w="109"/>
        <w:gridCol w:w="109"/>
        <w:gridCol w:w="109"/>
        <w:gridCol w:w="263"/>
        <w:gridCol w:w="807"/>
        <w:gridCol w:w="136"/>
        <w:gridCol w:w="136"/>
        <w:gridCol w:w="136"/>
        <w:gridCol w:w="136"/>
        <w:gridCol w:w="263"/>
        <w:gridCol w:w="807"/>
        <w:gridCol w:w="136"/>
        <w:gridCol w:w="109"/>
        <w:gridCol w:w="109"/>
        <w:gridCol w:w="109"/>
        <w:gridCol w:w="234"/>
        <w:gridCol w:w="834"/>
        <w:gridCol w:w="120"/>
        <w:gridCol w:w="120"/>
        <w:gridCol w:w="120"/>
        <w:gridCol w:w="120"/>
        <w:gridCol w:w="234"/>
        <w:gridCol w:w="718"/>
        <w:gridCol w:w="120"/>
        <w:gridCol w:w="109"/>
        <w:gridCol w:w="168"/>
      </w:tblGrid>
      <w:tr>
        <w:trPr/>
        <w:tc>
          <w:tcPr>
            <w:tcW w:w="1395"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Six Months Ended June 30,</w:t>
            </w:r>
          </w:p>
        </w:tc>
        <w:tc>
          <w:tcPr>
            <w:tcW w:w="277" w:type="dxa"/>
            <w:gridSpan w:val="2"/>
            <w:tcBorders/>
          </w:tcPr>
          <w:p>
            <w:pPr>
              <w:pStyle w:val="TableContents"/>
              <w:bidi w:val="0"/>
              <w:spacing w:before="0" w:after="283"/>
              <w:jc w:val="left"/>
              <w:rPr>
                <w:sz w:val="4"/>
                <w:szCs w:val="4"/>
              </w:rPr>
            </w:pPr>
            <w:r>
              <w:rPr>
                <w:sz w:val="4"/>
                <w:szCs w:val="4"/>
              </w:rPr>
            </w:r>
          </w:p>
        </w:tc>
      </w:tr>
      <w:tr>
        <w:trPr/>
        <w:tc>
          <w:tcPr>
            <w:tcW w:w="38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408"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360"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834"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Cost of sales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807"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900 </w:t>
            </w:r>
          </w:p>
        </w:tc>
        <w:tc>
          <w:tcPr>
            <w:tcW w:w="136"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07"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575 </w:t>
            </w:r>
          </w:p>
        </w:tc>
        <w:tc>
          <w:tcPr>
            <w:tcW w:w="136"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834"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1,559 </w:t>
            </w:r>
          </w:p>
        </w:tc>
        <w:tc>
          <w:tcPr>
            <w:tcW w:w="120"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18"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975 </w:t>
            </w:r>
          </w:p>
        </w:tc>
        <w:tc>
          <w:tcPr>
            <w:tcW w:w="120"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5,979 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4,096 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10,598 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7,890 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834"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Total stock-based compensation expense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80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6,879</w:t>
            </w:r>
            <w:r>
              <w:rPr>
                <w:color w:val="006098"/>
              </w:rPr>
              <w:t> </w:t>
            </w:r>
          </w:p>
        </w:tc>
        <w:tc>
          <w:tcPr>
            <w:tcW w:w="13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80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4,671</w:t>
            </w:r>
            <w:r>
              <w:rPr>
                <w:color w:val="131E29"/>
              </w:rPr>
              <w:t> </w:t>
            </w:r>
          </w:p>
        </w:tc>
        <w:tc>
          <w:tcPr>
            <w:tcW w:w="13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83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12,157</w:t>
            </w:r>
            <w:r>
              <w:rPr>
                <w:color w:val="006098"/>
              </w:rPr>
              <w:t> </w:t>
            </w:r>
          </w:p>
        </w:tc>
        <w:tc>
          <w:tcPr>
            <w:tcW w:w="12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71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8,865</w:t>
            </w:r>
            <w:r>
              <w:rPr>
                <w:color w:val="131E29"/>
              </w:rPr>
              <w:t> </w:t>
            </w:r>
          </w:p>
        </w:tc>
        <w:tc>
          <w:tcPr>
            <w:tcW w:w="12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63220"/>
                <wp:effectExtent l="0" t="0" r="0" b="0"/>
                <wp:wrapNone/>
                <wp:docPr id="68" name="Frame24"/>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69"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24" descr=""/>
                                          <pic:cNvPicPr>
                                            <a:picLocks noChangeAspect="1" noChangeArrowheads="1"/>
                                          </pic:cNvPicPr>
                                        </pic:nvPicPr>
                                        <pic:blipFill>
                                          <a:blip r:embed="rId46"/>
                                          <a:stretch>
                                            <a:fillRect/>
                                          </a:stretch>
                                        </pic:blipFill>
                                        <pic:spPr bwMode="auto">
                                          <a:xfrm>
                                            <a:off x="0" y="0"/>
                                            <a:ext cx="190500" cy="266700"/>
                                          </a:xfrm>
                                          <a:prstGeom prst="rect">
                                            <a:avLst/>
                                          </a:prstGeom>
                                        </pic:spPr>
                                      </pic:pic>
                                    </a:graphicData>
                                  </a:graphic>
                                </wp:inline>
                              </w:drawing>
                            </w:r>
                            <w:bookmarkStart w:id="44" w:name="i-24"/>
                            <w:bookmarkEnd w:id="44"/>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70"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24" descr=""/>
                                    <pic:cNvPicPr>
                                      <a:picLocks noChangeAspect="1" noChangeArrowheads="1"/>
                                    </pic:cNvPicPr>
                                  </pic:nvPicPr>
                                  <pic:blipFill>
                                    <a:blip r:embed="rId47"/>
                                    <a:stretch>
                                      <a:fillRect/>
                                    </a:stretch>
                                  </pic:blipFill>
                                  <pic:spPr bwMode="auto">
                                    <a:xfrm>
                                      <a:off x="0" y="0"/>
                                      <a:ext cx="190500" cy="266700"/>
                                    </a:xfrm>
                                    <a:prstGeom prst="rect">
                                      <a:avLst/>
                                    </a:prstGeom>
                                  </pic:spPr>
                                </pic:pic>
                              </a:graphicData>
                            </a:graphic>
                          </wp:inline>
                        </w:drawing>
                      </w:r>
                      <w:bookmarkStart w:id="45" w:name="i-24"/>
                      <w:bookmarkEnd w:id="45"/>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22</w:t>
                      </w:r>
                    </w:p>
                  </w:txbxContent>
                </v:textbox>
                <w10:wrap type="none"/>
              </v:rect>
            </w:pict>
          </mc:Fallback>
        </mc:AlternateContent>
      </w:r>
    </w:p>
    <w:p>
      <w:pPr>
        <w:pStyle w:val="TextBody"/>
        <w:bidi w:val="0"/>
        <w:spacing w:lineRule="auto" w:line="288" w:before="0" w:after="180"/>
        <w:jc w:val="both"/>
        <w:rPr/>
      </w:pPr>
      <w:hyperlink w:anchor="i901a725797c944a19267b6f140f14c09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of June 30, 2026, total unrecognized stock-based compensation related to unvested RSUs and PSUs was $58.6 million, which will be recognized as follows:</w:t>
      </w:r>
    </w:p>
    <w:tbl>
      <w:tblPr>
        <w:tblW w:w="5913" w:type="dxa"/>
        <w:jc w:val="left"/>
        <w:tblInd w:w="0" w:type="dxa"/>
        <w:tblLayout w:type="fixed"/>
        <w:tblCellMar>
          <w:top w:w="28" w:type="dxa"/>
          <w:left w:w="28" w:type="dxa"/>
          <w:bottom w:w="28" w:type="dxa"/>
          <w:right w:w="28" w:type="dxa"/>
        </w:tblCellMar>
      </w:tblPr>
      <w:tblGrid>
        <w:gridCol w:w="1620"/>
        <w:gridCol w:w="1421"/>
        <w:gridCol w:w="1429"/>
        <w:gridCol w:w="109"/>
        <w:gridCol w:w="109"/>
        <w:gridCol w:w="109"/>
        <w:gridCol w:w="211"/>
        <w:gridCol w:w="751"/>
        <w:gridCol w:w="154"/>
      </w:tblGrid>
      <w:tr>
        <w:trPr/>
        <w:tc>
          <w:tcPr>
            <w:tcW w:w="1620"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Remainder of 2026</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75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14,662 </w:t>
            </w:r>
          </w:p>
        </w:tc>
        <w:tc>
          <w:tcPr>
            <w:tcW w:w="154"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24,308 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2028</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16,673 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2,997 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Total unrecognized stock-based compensation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75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58,640</w:t>
            </w:r>
            <w:r>
              <w:rPr>
                <w:color w:val="006098"/>
              </w:rPr>
              <w:t> </w:t>
            </w:r>
          </w:p>
        </w:tc>
        <w:tc>
          <w:tcPr>
            <w:tcW w:w="15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NOTE 13 — Non-Controlling Interests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Dutch Bros Inc. is the sole managing member of Dutch Bros OpCo, and, as a result, consolidates the financial results of Dutch Bros OpCo. We report a non-controlling interest representing the economic interest in the Dutch Bros OpCo held by the other members of Dutch Bros OpCo. The OpCo LLC Agreement provides that holders of Dutch Bros OpCo Class A common units may, from time to time, require Dutch Bros OpCo to redeem all or a portion of their Dutch Bros OpCo Class A common units for newly issued shares of Class A common stock on a one-for-one basis. In connection with any redemption or exchange, Dutch Bros Inc. will receive a corresponding number of Dutch Bros OpCo Class A common units, increasing Dutch Bros Inc.’s total ownership in Dutch Bros OpCo. Changes in Dutch Bros Inc.’s ownership in Dutch Bros OpCo, while Dutch Bros Inc. retains its controlling interest in Dutch Bros OpCo, will be accounted for as equity transactions. As such, future redemptions or direct exchanges of Dutch Bros OpCo Class A common units by the other members of Dutch Bros OpCo will result in a change in ownership and reduce the amount recorded as non-controlling interest and increase additional paid-in-capital.</w:t>
      </w:r>
    </w:p>
    <w:p>
      <w:pPr>
        <w:pStyle w:val="TextBody"/>
        <w:bidi w:val="0"/>
        <w:spacing w:lineRule="auto" w:line="288" w:before="0" w:after="120"/>
        <w:jc w:val="left"/>
        <w:rPr>
          <w:rFonts w:ascii="Arial;sans-serif" w:hAnsi="Arial;sans-serif"/>
          <w:b w:val="false"/>
          <w:color w:val="131E29"/>
          <w:sz w:val="20"/>
        </w:rPr>
      </w:pPr>
      <w:r>
        <w:rPr>
          <w:rFonts w:ascii="Arial;sans-serif" w:hAnsi="Arial;sans-serif"/>
          <w:b w:val="false"/>
          <w:color w:val="131E29"/>
          <w:sz w:val="20"/>
        </w:rPr>
        <w:t>The following table summarizes the ownership interest in Dutch Bros OpCo:</w:t>
      </w:r>
    </w:p>
    <w:tbl>
      <w:tblPr>
        <w:tblW w:w="10205" w:type="dxa"/>
        <w:jc w:val="left"/>
        <w:tblInd w:w="0" w:type="dxa"/>
        <w:tblLayout w:type="fixed"/>
        <w:tblCellMar>
          <w:top w:w="28" w:type="dxa"/>
          <w:left w:w="28" w:type="dxa"/>
          <w:bottom w:w="28" w:type="dxa"/>
          <w:right w:w="28" w:type="dxa"/>
        </w:tblCellMar>
      </w:tblPr>
      <w:tblGrid>
        <w:gridCol w:w="2481"/>
        <w:gridCol w:w="2148"/>
        <w:gridCol w:w="2157"/>
        <w:gridCol w:w="109"/>
        <w:gridCol w:w="109"/>
        <w:gridCol w:w="109"/>
        <w:gridCol w:w="428"/>
        <w:gridCol w:w="428"/>
        <w:gridCol w:w="379"/>
        <w:gridCol w:w="125"/>
        <w:gridCol w:w="125"/>
        <w:gridCol w:w="125"/>
        <w:gridCol w:w="329"/>
        <w:gridCol w:w="317"/>
        <w:gridCol w:w="836"/>
      </w:tblGrid>
      <w:tr>
        <w:trPr/>
        <w:tc>
          <w:tcPr>
            <w:tcW w:w="2481" w:type="dxa"/>
            <w:tcBorders/>
            <w:vAlign w:val="center"/>
          </w:tcPr>
          <w:p>
            <w:pPr>
              <w:pStyle w:val="TableContents"/>
              <w:bidi w:val="0"/>
              <w:spacing w:before="0" w:after="283"/>
              <w:jc w:val="left"/>
              <w:rPr>
                <w:sz w:val="4"/>
                <w:szCs w:val="4"/>
              </w:rPr>
            </w:pPr>
            <w:r>
              <w:rPr>
                <w:sz w:val="4"/>
                <w:szCs w:val="4"/>
              </w:rPr>
            </w:r>
          </w:p>
        </w:tc>
        <w:tc>
          <w:tcPr>
            <w:tcW w:w="2148" w:type="dxa"/>
            <w:tcBorders/>
            <w:vAlign w:val="center"/>
          </w:tcPr>
          <w:p>
            <w:pPr>
              <w:pStyle w:val="TableContents"/>
              <w:bidi w:val="0"/>
              <w:spacing w:before="0" w:after="283"/>
              <w:jc w:val="left"/>
              <w:rPr>
                <w:sz w:val="4"/>
                <w:szCs w:val="4"/>
              </w:rPr>
            </w:pPr>
            <w:r>
              <w:rPr>
                <w:sz w:val="4"/>
                <w:szCs w:val="4"/>
              </w:rPr>
            </w:r>
          </w:p>
        </w:tc>
        <w:tc>
          <w:tcPr>
            <w:tcW w:w="2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6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June 30, 2026</w:t>
            </w:r>
          </w:p>
        </w:tc>
      </w:tr>
      <w:tr>
        <w:trPr/>
        <w:tc>
          <w:tcPr>
            <w:tcW w:w="678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(units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OpCo Units</w:t>
            </w:r>
          </w:p>
        </w:tc>
        <w:tc>
          <w:tcPr>
            <w:tcW w:w="375"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Ownership %</w:t>
            </w:r>
          </w:p>
        </w:tc>
      </w:tr>
      <w:tr>
        <w:trPr/>
        <w:tc>
          <w:tcPr>
            <w:tcW w:w="678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Dutch Bros OpCo Class A common units held by Dutch Bros Inc.</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137,893 </w:t>
            </w:r>
          </w:p>
        </w:tc>
        <w:tc>
          <w:tcPr>
            <w:tcW w:w="37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77.6 </w:t>
            </w:r>
          </w:p>
        </w:tc>
        <w:tc>
          <w:tcPr>
            <w:tcW w:w="83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w:t>
            </w:r>
          </w:p>
        </w:tc>
      </w:tr>
      <w:tr>
        <w:trPr/>
        <w:tc>
          <w:tcPr>
            <w:tcW w:w="67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131E29"/>
                <w:sz w:val="20"/>
              </w:rPr>
              <w:t>Dutch Bros OpCo Class A common units held by non-controlling interest holders</w:t>
            </w:r>
            <w:r>
              <w:rPr>
                <w:rFonts w:ascii="Arial;sans-serif" w:hAnsi="Arial;sans-serif"/>
                <w:b w:val="false"/>
                <w:color w:val="131E29"/>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39,843 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22.4 </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w:t>
            </w:r>
          </w:p>
        </w:tc>
      </w:tr>
      <w:tr>
        <w:trPr/>
        <w:tc>
          <w:tcPr>
            <w:tcW w:w="678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Total Dutch Bros OpCo Class A common units outstanding</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177,736</w:t>
            </w:r>
            <w:r>
              <w:rPr>
                <w:color w:val="006098"/>
              </w:rPr>
              <w:t> </w:t>
            </w:r>
          </w:p>
        </w:tc>
        <w:tc>
          <w:tcPr>
            <w:tcW w:w="37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100.0</w:t>
            </w:r>
            <w:r>
              <w:rPr>
                <w:color w:val="006098"/>
              </w:rPr>
              <w:t> </w:t>
            </w:r>
          </w:p>
        </w:tc>
        <w:tc>
          <w:tcPr>
            <w:tcW w:w="83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6098"/>
                <w:sz w:val="20"/>
              </w:rPr>
            </w:pPr>
            <w:r>
              <w:rPr>
                <w:rFonts w:ascii="Arial;sans-serif" w:hAnsi="Arial;sans-serif"/>
                <w:b/>
                <w:color w:val="006098"/>
                <w:sz w:val="20"/>
              </w:rPr>
              <w:t>%</w:t>
            </w:r>
          </w:p>
        </w:tc>
      </w:tr>
    </w:tbl>
    <w:p>
      <w:pPr>
        <w:pStyle w:val="TextBody"/>
        <w:bidi w:val="0"/>
        <w:spacing w:lineRule="auto" w:line="288" w:before="0" w:after="0"/>
        <w:ind w:left="0" w:right="0" w:hanging="180"/>
        <w:jc w:val="both"/>
        <w:rPr>
          <w:rFonts w:ascii="Arial;sans-serif" w:hAnsi="Arial;sans-serif"/>
          <w:b w:val="false"/>
          <w:color w:val="131E29"/>
          <w:sz w:val="20"/>
        </w:rPr>
      </w:pPr>
      <w:r>
        <w:rPr>
          <w:rFonts w:ascii="Arial;sans-serif" w:hAnsi="Arial;sans-serif"/>
          <w:b w:val="false"/>
          <w:color w:val="131E29"/>
          <w:sz w:val="20"/>
        </w:rPr>
        <w:t>_______________</w:t>
      </w:r>
    </w:p>
    <w:p>
      <w:pPr>
        <w:pStyle w:val="TextBody"/>
        <w:bidi w:val="0"/>
        <w:spacing w:lineRule="auto" w:line="288" w:before="0" w:after="60"/>
        <w:ind w:left="0" w:right="0" w:hanging="180"/>
        <w:jc w:val="both"/>
        <w:rPr/>
      </w:pPr>
      <w:r>
        <w:rPr>
          <w:rFonts w:ascii="Arial;sans-serif" w:hAnsi="Arial;sans-serif"/>
          <w:b w:val="false"/>
          <w:color w:val="131E29"/>
          <w:sz w:val="10"/>
        </w:rPr>
        <w:t>1    </w:t>
      </w:r>
      <w:r>
        <w:rPr>
          <w:rFonts w:ascii="Arial;sans-serif" w:hAnsi="Arial;sans-serif"/>
          <w:b w:val="false"/>
          <w:color w:val="131E29"/>
          <w:sz w:val="16"/>
        </w:rPr>
        <w:t>Non-controlling interest ownership includes approximately 3.1 million Class A common units that were decoupled from Class B common stock; these units can be converted on a one-for-one basis to Class A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63220"/>
                <wp:effectExtent l="0" t="0" r="0" b="0"/>
                <wp:wrapNone/>
                <wp:docPr id="71" name="Frame25"/>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72"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25" descr=""/>
                                          <pic:cNvPicPr>
                                            <a:picLocks noChangeAspect="1" noChangeArrowheads="1"/>
                                          </pic:cNvPicPr>
                                        </pic:nvPicPr>
                                        <pic:blipFill>
                                          <a:blip r:embed="rId48"/>
                                          <a:stretch>
                                            <a:fillRect/>
                                          </a:stretch>
                                        </pic:blipFill>
                                        <pic:spPr bwMode="auto">
                                          <a:xfrm>
                                            <a:off x="0" y="0"/>
                                            <a:ext cx="190500" cy="266700"/>
                                          </a:xfrm>
                                          <a:prstGeom prst="rect">
                                            <a:avLst/>
                                          </a:prstGeom>
                                        </pic:spPr>
                                      </pic:pic>
                                    </a:graphicData>
                                  </a:graphic>
                                </wp:inline>
                              </w:drawing>
                            </w:r>
                            <w:bookmarkStart w:id="46" w:name="i-25"/>
                            <w:bookmarkEnd w:id="46"/>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73"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25" descr=""/>
                                    <pic:cNvPicPr>
                                      <a:picLocks noChangeAspect="1" noChangeArrowheads="1"/>
                                    </pic:cNvPicPr>
                                  </pic:nvPicPr>
                                  <pic:blipFill>
                                    <a:blip r:embed="rId49"/>
                                    <a:stretch>
                                      <a:fillRect/>
                                    </a:stretch>
                                  </pic:blipFill>
                                  <pic:spPr bwMode="auto">
                                    <a:xfrm>
                                      <a:off x="0" y="0"/>
                                      <a:ext cx="190500" cy="266700"/>
                                    </a:xfrm>
                                    <a:prstGeom prst="rect">
                                      <a:avLst/>
                                    </a:prstGeom>
                                  </pic:spPr>
                                </pic:pic>
                              </a:graphicData>
                            </a:graphic>
                          </wp:inline>
                        </w:drawing>
                      </w:r>
                      <w:bookmarkStart w:id="47" w:name="i-25"/>
                      <w:bookmarkEnd w:id="47"/>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23</w:t>
                      </w:r>
                    </w:p>
                  </w:txbxContent>
                </v:textbox>
                <w10:wrap type="none"/>
              </v:rect>
            </w:pict>
          </mc:Fallback>
        </mc:AlternateContent>
      </w:r>
    </w:p>
    <w:p>
      <w:pPr>
        <w:pStyle w:val="TextBody"/>
        <w:bidi w:val="0"/>
        <w:spacing w:lineRule="auto" w:line="288" w:before="0" w:after="180"/>
        <w:jc w:val="both"/>
        <w:rPr/>
      </w:pPr>
      <w:hyperlink w:anchor="i901a725797c944a19267b6f140f14c09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20"/>
        <w:jc w:val="left"/>
        <w:rPr>
          <w:rFonts w:ascii="Arial;sans-serif" w:hAnsi="Arial;sans-serif"/>
          <w:b w:val="false"/>
          <w:color w:val="131E29"/>
          <w:sz w:val="20"/>
        </w:rPr>
      </w:pPr>
      <w:r>
        <w:rPr>
          <w:rFonts w:ascii="Arial;sans-serif" w:hAnsi="Arial;sans-serif"/>
          <w:b w:val="false"/>
          <w:color w:val="131E29"/>
          <w:sz w:val="20"/>
        </w:rPr>
        <w:t>The following table summarizes the effect of changes in ownership of Dutch Bros OpCo on our equity for the periods presented:</w:t>
      </w:r>
    </w:p>
    <w:tbl>
      <w:tblPr>
        <w:tblW w:w="10205" w:type="dxa"/>
        <w:jc w:val="left"/>
        <w:tblInd w:w="0" w:type="dxa"/>
        <w:tblLayout w:type="fixed"/>
        <w:tblCellMar>
          <w:top w:w="28" w:type="dxa"/>
          <w:left w:w="28" w:type="dxa"/>
          <w:bottom w:w="28" w:type="dxa"/>
          <w:right w:w="28" w:type="dxa"/>
        </w:tblCellMar>
      </w:tblPr>
      <w:tblGrid>
        <w:gridCol w:w="1603"/>
        <w:gridCol w:w="1241"/>
        <w:gridCol w:w="1251"/>
        <w:gridCol w:w="109"/>
        <w:gridCol w:w="109"/>
        <w:gridCol w:w="109"/>
        <w:gridCol w:w="221"/>
        <w:gridCol w:w="788"/>
        <w:gridCol w:w="114"/>
        <w:gridCol w:w="114"/>
        <w:gridCol w:w="114"/>
        <w:gridCol w:w="114"/>
        <w:gridCol w:w="221"/>
        <w:gridCol w:w="788"/>
        <w:gridCol w:w="114"/>
        <w:gridCol w:w="109"/>
        <w:gridCol w:w="109"/>
        <w:gridCol w:w="109"/>
        <w:gridCol w:w="212"/>
        <w:gridCol w:w="864"/>
        <w:gridCol w:w="109"/>
        <w:gridCol w:w="109"/>
        <w:gridCol w:w="109"/>
        <w:gridCol w:w="109"/>
        <w:gridCol w:w="212"/>
        <w:gridCol w:w="757"/>
        <w:gridCol w:w="109"/>
        <w:gridCol w:w="109"/>
        <w:gridCol w:w="169"/>
      </w:tblGrid>
      <w:tr>
        <w:trPr/>
        <w:tc>
          <w:tcPr>
            <w:tcW w:w="1603"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Six Months Ended June 30,</w:t>
            </w:r>
          </w:p>
        </w:tc>
        <w:tc>
          <w:tcPr>
            <w:tcW w:w="278" w:type="dxa"/>
            <w:gridSpan w:val="2"/>
            <w:tcBorders/>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342"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Net income attributable to Dutch Bros Inc.</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788"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37,410</w:t>
            </w:r>
            <w:r>
              <w:rPr>
                <w:color w:val="006098"/>
              </w:rPr>
              <w:t> </w:t>
            </w:r>
          </w:p>
        </w:tc>
        <w:tc>
          <w:tcPr>
            <w:tcW w:w="114"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788"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25,624</w:t>
            </w:r>
            <w:r>
              <w:rPr>
                <w:color w:val="131E29"/>
              </w:rPr>
              <w:t> </w:t>
            </w:r>
          </w:p>
        </w:tc>
        <w:tc>
          <w:tcPr>
            <w:tcW w:w="114"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864"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53,507</w:t>
            </w:r>
            <w:r>
              <w:rPr>
                <w:color w:val="006098"/>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757"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40,977</w:t>
            </w: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Unrealized loss on derivative securities, effective portion, net of income tax impacts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(19)</w:t>
            </w:r>
          </w:p>
        </w:tc>
        <w:tc>
          <w:tcPr>
            <w:tcW w:w="11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(154)</w:t>
            </w:r>
          </w:p>
        </w:tc>
        <w:tc>
          <w:tcPr>
            <w:tcW w:w="11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(344)</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Increase as a result of equity-based compensation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5,324 </w:t>
            </w:r>
          </w:p>
        </w:tc>
        <w:tc>
          <w:tcPr>
            <w:tcW w:w="11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3,341 </w:t>
            </w:r>
          </w:p>
        </w:tc>
        <w:tc>
          <w:tcPr>
            <w:tcW w:w="11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9,103 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6,241 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Decrease as a result of common stock issuances pursuant to vesting of equity awards, net of stock withheld for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(128)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(4,549)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(7,771)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Increase as a result of the acquisition of Dutch Bros OpCo Class A common units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45,556 </w:t>
            </w:r>
          </w:p>
        </w:tc>
        <w:tc>
          <w:tcPr>
            <w:tcW w:w="11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6,592 </w:t>
            </w:r>
          </w:p>
        </w:tc>
        <w:tc>
          <w:tcPr>
            <w:tcW w:w="11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45,846 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40,859 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Total effect of changes in ownership interest on equity attributable to Dutch Bros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7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88,143</w:t>
            </w:r>
            <w:r>
              <w:rPr>
                <w:color w:val="006098"/>
              </w:rPr>
              <w:t>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7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35,403</w:t>
            </w:r>
            <w:r>
              <w:rPr>
                <w:color w:val="131E29"/>
              </w:rPr>
              <w:t>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8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103,906</w:t>
            </w:r>
            <w:r>
              <w:rPr>
                <w:color w:val="006098"/>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79,962</w:t>
            </w:r>
            <w:r>
              <w:rPr>
                <w:color w:val="131E29"/>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weighted-average ownership percentage for the applicable reporting period is used to attribute net income to Dutch Bros Inc. and the non-controlling interest holders. The non-controlling interest holders’ weighted-average ownership percentage were as follows for the periods presented:</w:t>
      </w:r>
    </w:p>
    <w:tbl>
      <w:tblPr>
        <w:tblW w:w="10205" w:type="dxa"/>
        <w:jc w:val="left"/>
        <w:tblInd w:w="0" w:type="dxa"/>
        <w:tblLayout w:type="fixed"/>
        <w:tblCellMar>
          <w:top w:w="28" w:type="dxa"/>
          <w:left w:w="28" w:type="dxa"/>
          <w:bottom w:w="28" w:type="dxa"/>
          <w:right w:w="28" w:type="dxa"/>
        </w:tblCellMar>
      </w:tblPr>
      <w:tblGrid>
        <w:gridCol w:w="1556"/>
        <w:gridCol w:w="1367"/>
        <w:gridCol w:w="1372"/>
        <w:gridCol w:w="109"/>
        <w:gridCol w:w="109"/>
        <w:gridCol w:w="109"/>
        <w:gridCol w:w="295"/>
        <w:gridCol w:w="246"/>
        <w:gridCol w:w="463"/>
        <w:gridCol w:w="176"/>
        <w:gridCol w:w="176"/>
        <w:gridCol w:w="176"/>
        <w:gridCol w:w="295"/>
        <w:gridCol w:w="246"/>
        <w:gridCol w:w="463"/>
        <w:gridCol w:w="109"/>
        <w:gridCol w:w="109"/>
        <w:gridCol w:w="109"/>
        <w:gridCol w:w="295"/>
        <w:gridCol w:w="246"/>
        <w:gridCol w:w="437"/>
        <w:gridCol w:w="166"/>
        <w:gridCol w:w="166"/>
        <w:gridCol w:w="166"/>
        <w:gridCol w:w="295"/>
        <w:gridCol w:w="246"/>
        <w:gridCol w:w="437"/>
        <w:gridCol w:w="109"/>
        <w:gridCol w:w="157"/>
      </w:tblGrid>
      <w:tr>
        <w:trPr/>
        <w:tc>
          <w:tcPr>
            <w:tcW w:w="1556"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Six Months Ended June 30,</w:t>
            </w:r>
          </w:p>
        </w:tc>
        <w:tc>
          <w:tcPr>
            <w:tcW w:w="266" w:type="dxa"/>
            <w:gridSpan w:val="2"/>
            <w:tcBorders/>
          </w:tcPr>
          <w:p>
            <w:pPr>
              <w:pStyle w:val="TableContents"/>
              <w:bidi w:val="0"/>
              <w:spacing w:before="0" w:after="283"/>
              <w:jc w:val="left"/>
              <w:rPr>
                <w:sz w:val="4"/>
                <w:szCs w:val="4"/>
              </w:rPr>
            </w:pPr>
            <w:r>
              <w:rPr>
                <w:sz w:val="4"/>
                <w:szCs w:val="4"/>
              </w:rPr>
            </w:r>
          </w:p>
        </w:tc>
      </w:tr>
      <w:tr>
        <w:trPr/>
        <w:tc>
          <w:tcPr>
            <w:tcW w:w="4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528"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498"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295"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Weighted-average ownership percentage of non-controlling interest holders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24.3 </w:t>
            </w:r>
          </w:p>
        </w:tc>
        <w:tc>
          <w:tcPr>
            <w:tcW w:w="463"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w:t>
            </w:r>
          </w:p>
        </w:tc>
        <w:tc>
          <w:tcPr>
            <w:tcW w:w="52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28.8 </w:t>
            </w:r>
          </w:p>
        </w:tc>
        <w:tc>
          <w:tcPr>
            <w:tcW w:w="463"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26.4 </w:t>
            </w:r>
          </w:p>
        </w:tc>
        <w:tc>
          <w:tcPr>
            <w:tcW w:w="437"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w:t>
            </w:r>
          </w:p>
        </w:tc>
        <w:tc>
          <w:tcPr>
            <w:tcW w:w="49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30.3 </w:t>
            </w:r>
          </w:p>
        </w:tc>
        <w:tc>
          <w:tcPr>
            <w:tcW w:w="437"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Under the OpCo LLC Agreement, Dutch Bros OpCo is required to make certain distributions to its members with regard to tax obligations. Such distributions paid to members were as follows for the periods presented, and no amounts were payable as of the periods then ended.</w:t>
      </w:r>
    </w:p>
    <w:tbl>
      <w:tblPr>
        <w:tblW w:w="10205" w:type="dxa"/>
        <w:jc w:val="left"/>
        <w:tblInd w:w="0" w:type="dxa"/>
        <w:tblLayout w:type="fixed"/>
        <w:tblCellMar>
          <w:top w:w="28" w:type="dxa"/>
          <w:left w:w="28" w:type="dxa"/>
          <w:bottom w:w="28" w:type="dxa"/>
          <w:right w:w="28" w:type="dxa"/>
        </w:tblCellMar>
      </w:tblPr>
      <w:tblGrid>
        <w:gridCol w:w="1400"/>
        <w:gridCol w:w="1229"/>
        <w:gridCol w:w="1238"/>
        <w:gridCol w:w="109"/>
        <w:gridCol w:w="109"/>
        <w:gridCol w:w="109"/>
        <w:gridCol w:w="250"/>
        <w:gridCol w:w="892"/>
        <w:gridCol w:w="128"/>
        <w:gridCol w:w="128"/>
        <w:gridCol w:w="128"/>
        <w:gridCol w:w="128"/>
        <w:gridCol w:w="250"/>
        <w:gridCol w:w="767"/>
        <w:gridCol w:w="128"/>
        <w:gridCol w:w="109"/>
        <w:gridCol w:w="109"/>
        <w:gridCol w:w="109"/>
        <w:gridCol w:w="233"/>
        <w:gridCol w:w="830"/>
        <w:gridCol w:w="120"/>
        <w:gridCol w:w="120"/>
        <w:gridCol w:w="120"/>
        <w:gridCol w:w="120"/>
        <w:gridCol w:w="233"/>
        <w:gridCol w:w="714"/>
        <w:gridCol w:w="120"/>
        <w:gridCol w:w="109"/>
        <w:gridCol w:w="166"/>
      </w:tblGrid>
      <w:tr>
        <w:trPr/>
        <w:tc>
          <w:tcPr>
            <w:tcW w:w="1400"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867" w:type="dxa"/>
            <w:gridSpan w:val="3"/>
            <w:tcBorders/>
            <w:tcMar>
              <w:top w:w="0" w:type="dxa"/>
              <w:left w:w="0" w:type="dxa"/>
              <w:bottom w:w="0" w:type="dxa"/>
              <w:right w:w="0" w:type="dxa"/>
            </w:tcMar>
            <w:vAlign w:val="center"/>
          </w:tcPr>
          <w:p>
            <w:pPr>
              <w:pStyle w:val="TableContents"/>
              <w:bidi w:val="0"/>
              <w:spacing w:lineRule="auto" w:line="288" w:before="0" w:after="0"/>
              <w:jc w:val="left"/>
              <w:rPr>
                <w:color w:val="131E29"/>
              </w:rPr>
            </w:pPr>
            <w:r>
              <w:rPr>
                <w:color w:val="131E29"/>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Six Months Ended June 30,</w:t>
            </w:r>
          </w:p>
        </w:tc>
        <w:tc>
          <w:tcPr>
            <w:tcW w:w="275" w:type="dxa"/>
            <w:gridSpan w:val="2"/>
            <w:tcBorders/>
          </w:tcPr>
          <w:p>
            <w:pPr>
              <w:pStyle w:val="TableContents"/>
              <w:bidi w:val="0"/>
              <w:spacing w:before="0" w:after="283"/>
              <w:jc w:val="left"/>
              <w:rPr>
                <w:sz w:val="4"/>
                <w:szCs w:val="4"/>
              </w:rPr>
            </w:pPr>
            <w:r>
              <w:rPr>
                <w:sz w:val="4"/>
                <w:szCs w:val="4"/>
              </w:rPr>
            </w:r>
          </w:p>
        </w:tc>
      </w:tr>
      <w:tr>
        <w:trPr/>
        <w:tc>
          <w:tcPr>
            <w:tcW w:w="38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384"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360"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867"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Amounts paid to non-controlling interest holders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892"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16,854 </w:t>
            </w:r>
          </w:p>
        </w:tc>
        <w:tc>
          <w:tcPr>
            <w:tcW w:w="128"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67"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6,867 </w:t>
            </w:r>
          </w:p>
        </w:tc>
        <w:tc>
          <w:tcPr>
            <w:tcW w:w="128"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830"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16,854 </w:t>
            </w:r>
          </w:p>
        </w:tc>
        <w:tc>
          <w:tcPr>
            <w:tcW w:w="120"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14"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6,867 </w:t>
            </w:r>
          </w:p>
        </w:tc>
        <w:tc>
          <w:tcPr>
            <w:tcW w:w="120"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63220"/>
                <wp:effectExtent l="0" t="0" r="0" b="0"/>
                <wp:wrapNone/>
                <wp:docPr id="74" name="Frame26"/>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75"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26" descr=""/>
                                          <pic:cNvPicPr>
                                            <a:picLocks noChangeAspect="1" noChangeArrowheads="1"/>
                                          </pic:cNvPicPr>
                                        </pic:nvPicPr>
                                        <pic:blipFill>
                                          <a:blip r:embed="rId50"/>
                                          <a:stretch>
                                            <a:fillRect/>
                                          </a:stretch>
                                        </pic:blipFill>
                                        <pic:spPr bwMode="auto">
                                          <a:xfrm>
                                            <a:off x="0" y="0"/>
                                            <a:ext cx="190500" cy="266700"/>
                                          </a:xfrm>
                                          <a:prstGeom prst="rect">
                                            <a:avLst/>
                                          </a:prstGeom>
                                        </pic:spPr>
                                      </pic:pic>
                                    </a:graphicData>
                                  </a:graphic>
                                </wp:inline>
                              </w:drawing>
                            </w:r>
                            <w:bookmarkStart w:id="48" w:name="i-26"/>
                            <w:bookmarkEnd w:id="48"/>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7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26" descr=""/>
                                    <pic:cNvPicPr>
                                      <a:picLocks noChangeAspect="1" noChangeArrowheads="1"/>
                                    </pic:cNvPicPr>
                                  </pic:nvPicPr>
                                  <pic:blipFill>
                                    <a:blip r:embed="rId51"/>
                                    <a:stretch>
                                      <a:fillRect/>
                                    </a:stretch>
                                  </pic:blipFill>
                                  <pic:spPr bwMode="auto">
                                    <a:xfrm>
                                      <a:off x="0" y="0"/>
                                      <a:ext cx="190500" cy="266700"/>
                                    </a:xfrm>
                                    <a:prstGeom prst="rect">
                                      <a:avLst/>
                                    </a:prstGeom>
                                  </pic:spPr>
                                </pic:pic>
                              </a:graphicData>
                            </a:graphic>
                          </wp:inline>
                        </w:drawing>
                      </w:r>
                      <w:bookmarkStart w:id="49" w:name="i-26"/>
                      <w:bookmarkEnd w:id="49"/>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24</w:t>
                      </w:r>
                    </w:p>
                  </w:txbxContent>
                </v:textbox>
                <w10:wrap type="none"/>
              </v:rect>
            </w:pict>
          </mc:Fallback>
        </mc:AlternateContent>
      </w:r>
    </w:p>
    <w:p>
      <w:pPr>
        <w:pStyle w:val="TextBody"/>
        <w:bidi w:val="0"/>
        <w:spacing w:lineRule="auto" w:line="288" w:before="0" w:after="180"/>
        <w:jc w:val="both"/>
        <w:rPr/>
      </w:pPr>
      <w:hyperlink w:anchor="i901a725797c944a19267b6f140f14c09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left"/>
        <w:rPr/>
      </w:pPr>
      <w:r>
        <w:rPr>
          <w:rFonts w:ascii="Arial;sans-serif" w:hAnsi="Arial;sans-serif"/>
          <w:b/>
          <w:color w:val="00416B"/>
          <w:sz w:val="24"/>
        </w:rPr>
        <w:t>NOTE 14 — Income Per Share</w:t>
      </w:r>
      <w:r>
        <w:rPr>
          <w:color w:val="EE2724"/>
        </w:rPr>
        <w:t xml:space="preserve">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following tables set forth the numerators and denominators used to compute basic and diluted net income per share of Class A common stock for the periods presented:</w:t>
      </w:r>
    </w:p>
    <w:tbl>
      <w:tblPr>
        <w:tblW w:w="10205" w:type="dxa"/>
        <w:jc w:val="left"/>
        <w:tblInd w:w="0" w:type="dxa"/>
        <w:tblLayout w:type="fixed"/>
        <w:tblCellMar>
          <w:top w:w="28" w:type="dxa"/>
          <w:left w:w="28" w:type="dxa"/>
          <w:bottom w:w="28" w:type="dxa"/>
          <w:right w:w="28" w:type="dxa"/>
        </w:tblCellMar>
      </w:tblPr>
      <w:tblGrid>
        <w:gridCol w:w="1464"/>
        <w:gridCol w:w="1230"/>
        <w:gridCol w:w="1240"/>
        <w:gridCol w:w="109"/>
        <w:gridCol w:w="109"/>
        <w:gridCol w:w="109"/>
        <w:gridCol w:w="235"/>
        <w:gridCol w:w="838"/>
        <w:gridCol w:w="121"/>
        <w:gridCol w:w="121"/>
        <w:gridCol w:w="121"/>
        <w:gridCol w:w="121"/>
        <w:gridCol w:w="235"/>
        <w:gridCol w:w="838"/>
        <w:gridCol w:w="121"/>
        <w:gridCol w:w="109"/>
        <w:gridCol w:w="109"/>
        <w:gridCol w:w="109"/>
        <w:gridCol w:w="221"/>
        <w:gridCol w:w="790"/>
        <w:gridCol w:w="114"/>
        <w:gridCol w:w="114"/>
        <w:gridCol w:w="114"/>
        <w:gridCol w:w="114"/>
        <w:gridCol w:w="221"/>
        <w:gridCol w:w="790"/>
        <w:gridCol w:w="114"/>
        <w:gridCol w:w="109"/>
        <w:gridCol w:w="165"/>
      </w:tblGrid>
      <w:tr>
        <w:trPr/>
        <w:tc>
          <w:tcPr>
            <w:tcW w:w="1464"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Six Months Ended June 30,</w:t>
            </w:r>
          </w:p>
        </w:tc>
        <w:tc>
          <w:tcPr>
            <w:tcW w:w="274" w:type="dxa"/>
            <w:gridSpan w:val="2"/>
            <w:tcBorders/>
          </w:tcPr>
          <w:p>
            <w:pPr>
              <w:pStyle w:val="TableContents"/>
              <w:bidi w:val="0"/>
              <w:spacing w:before="0" w:after="283"/>
              <w:jc w:val="left"/>
              <w:rPr>
                <w:sz w:val="4"/>
                <w:szCs w:val="4"/>
              </w:rPr>
            </w:pPr>
            <w:r>
              <w:rPr>
                <w:sz w:val="4"/>
                <w:szCs w:val="4"/>
              </w:rPr>
            </w:r>
          </w:p>
        </w:tc>
      </w:tr>
      <w:tr>
        <w:trPr/>
        <w:tc>
          <w:tcPr>
            <w:tcW w:w="39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363"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342"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934"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Net income attributable to Dutch Bros Inc.</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 xml:space="preserve">Net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51,605 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38,357 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75,269 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60,837 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934"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Less: Net income attributable to non-controlling interests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14,195 </w:t>
            </w:r>
          </w:p>
        </w:tc>
        <w:tc>
          <w:tcPr>
            <w:tcW w:w="12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12,733 </w:t>
            </w:r>
          </w:p>
        </w:tc>
        <w:tc>
          <w:tcPr>
            <w:tcW w:w="12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21,762 </w:t>
            </w:r>
          </w:p>
        </w:tc>
        <w:tc>
          <w:tcPr>
            <w:tcW w:w="11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19,860 </w:t>
            </w:r>
          </w:p>
        </w:tc>
        <w:tc>
          <w:tcPr>
            <w:tcW w:w="11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9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Net income attributable to Dutch Bros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8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37,410</w:t>
            </w:r>
            <w:r>
              <w:rPr>
                <w:color w:val="006098"/>
              </w:rPr>
              <w:t>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8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25,624</w:t>
            </w:r>
            <w:r>
              <w:rPr>
                <w:color w:val="131E29"/>
              </w:rPr>
              <w:t>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53,507</w:t>
            </w:r>
            <w:r>
              <w:rPr>
                <w:color w:val="006098"/>
              </w:rPr>
              <w:t>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40,977</w:t>
            </w:r>
            <w:r>
              <w:rPr>
                <w:color w:val="131E29"/>
              </w:rPr>
              <w:t>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757"/>
        <w:gridCol w:w="1165"/>
        <w:gridCol w:w="1174"/>
        <w:gridCol w:w="109"/>
        <w:gridCol w:w="109"/>
        <w:gridCol w:w="109"/>
        <w:gridCol w:w="225"/>
        <w:gridCol w:w="804"/>
        <w:gridCol w:w="116"/>
        <w:gridCol w:w="116"/>
        <w:gridCol w:w="116"/>
        <w:gridCol w:w="116"/>
        <w:gridCol w:w="225"/>
        <w:gridCol w:w="804"/>
        <w:gridCol w:w="116"/>
        <w:gridCol w:w="109"/>
        <w:gridCol w:w="109"/>
        <w:gridCol w:w="109"/>
        <w:gridCol w:w="217"/>
        <w:gridCol w:w="774"/>
        <w:gridCol w:w="112"/>
        <w:gridCol w:w="112"/>
        <w:gridCol w:w="112"/>
        <w:gridCol w:w="112"/>
        <w:gridCol w:w="217"/>
        <w:gridCol w:w="774"/>
        <w:gridCol w:w="112"/>
        <w:gridCol w:w="109"/>
        <w:gridCol w:w="166"/>
      </w:tblGrid>
      <w:tr>
        <w:trPr/>
        <w:tc>
          <w:tcPr>
            <w:tcW w:w="175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Six Months Ended June 30,</w:t>
            </w:r>
          </w:p>
        </w:tc>
        <w:tc>
          <w:tcPr>
            <w:tcW w:w="275" w:type="dxa"/>
            <w:gridSpan w:val="2"/>
            <w:tcBorders/>
          </w:tcPr>
          <w:p>
            <w:pPr>
              <w:pStyle w:val="TableContents"/>
              <w:bidi w:val="0"/>
              <w:spacing w:before="0" w:after="283"/>
              <w:jc w:val="left"/>
              <w:rPr>
                <w:sz w:val="4"/>
                <w:szCs w:val="4"/>
              </w:rPr>
            </w:pPr>
            <w:r>
              <w:rPr>
                <w:sz w:val="4"/>
                <w:szCs w:val="4"/>
              </w:rPr>
            </w:r>
          </w:p>
        </w:tc>
      </w:tr>
      <w:tr>
        <w:trPr/>
        <w:tc>
          <w:tcPr>
            <w:tcW w:w="40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348"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336"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09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Basic net income per share attributable to common stockholders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Numerator: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09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Net income attributable to Dutch Bros Inc.</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D2DC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804" w:type="dxa"/>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37,410 </w:t>
            </w:r>
          </w:p>
        </w:tc>
        <w:tc>
          <w:tcPr>
            <w:tcW w:w="11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D2DC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31E29"/>
                <w:sz w:val="20"/>
              </w:rPr>
            </w:pPr>
            <w:r>
              <w:rPr>
                <w:rFonts w:ascii="Arial;sans-serif" w:hAnsi="Arial;sans-serif"/>
                <w:b w:val="false"/>
                <w:color w:val="131E29"/>
                <w:sz w:val="20"/>
              </w:rPr>
              <w:t>$</w:t>
            </w:r>
          </w:p>
        </w:tc>
        <w:tc>
          <w:tcPr>
            <w:tcW w:w="804" w:type="dxa"/>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25,624 </w:t>
            </w:r>
          </w:p>
        </w:tc>
        <w:tc>
          <w:tcPr>
            <w:tcW w:w="11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D2DC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774" w:type="dxa"/>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53,507 </w:t>
            </w:r>
          </w:p>
        </w:tc>
        <w:tc>
          <w:tcPr>
            <w:tcW w:w="11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D2DC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31E29"/>
                <w:sz w:val="20"/>
              </w:rPr>
            </w:pPr>
            <w:r>
              <w:rPr>
                <w:rFonts w:ascii="Arial;sans-serif" w:hAnsi="Arial;sans-serif"/>
                <w:b w:val="false"/>
                <w:color w:val="131E29"/>
                <w:sz w:val="20"/>
              </w:rPr>
              <w:t>$</w:t>
            </w:r>
          </w:p>
        </w:tc>
        <w:tc>
          <w:tcPr>
            <w:tcW w:w="774" w:type="dxa"/>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40,977 </w:t>
            </w:r>
          </w:p>
        </w:tc>
        <w:tc>
          <w:tcPr>
            <w:tcW w:w="11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Denominator: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09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 xml:space="preserve">Weighted-average number of shares of Class A common stock outstanding - basic </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134,494 </w:t>
            </w:r>
          </w:p>
        </w:tc>
        <w:tc>
          <w:tcPr>
            <w:tcW w:w="11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126,390 </w:t>
            </w:r>
          </w:p>
        </w:tc>
        <w:tc>
          <w:tcPr>
            <w:tcW w:w="11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130,837 </w:t>
            </w:r>
          </w:p>
        </w:tc>
        <w:tc>
          <w:tcPr>
            <w:tcW w:w="11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123,615 </w:t>
            </w:r>
          </w:p>
        </w:tc>
        <w:tc>
          <w:tcPr>
            <w:tcW w:w="11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Basic net income per share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8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0.28</w:t>
            </w:r>
            <w:r>
              <w:rPr>
                <w:color w:val="006098"/>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131E29"/>
                <w:sz w:val="20"/>
              </w:rPr>
            </w:pPr>
            <w:r>
              <w:rPr>
                <w:rFonts w:ascii="Arial;sans-serif" w:hAnsi="Arial;sans-serif"/>
                <w:b/>
                <w:color w:val="131E29"/>
                <w:sz w:val="20"/>
              </w:rPr>
              <w:t>$</w:t>
            </w:r>
          </w:p>
        </w:tc>
        <w:tc>
          <w:tcPr>
            <w:tcW w:w="8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131E29"/>
                <w:sz w:val="20"/>
              </w:rPr>
              <w:t>0.20</w:t>
            </w:r>
            <w:r>
              <w:rPr>
                <w:color w:val="131E29"/>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7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0.41</w:t>
            </w:r>
            <w:r>
              <w:rPr>
                <w:color w:val="006098"/>
              </w:rPr>
              <w:t>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131E29"/>
                <w:sz w:val="20"/>
              </w:rPr>
            </w:pPr>
            <w:r>
              <w:rPr>
                <w:rFonts w:ascii="Arial;sans-serif" w:hAnsi="Arial;sans-serif"/>
                <w:b/>
                <w:color w:val="131E29"/>
                <w:sz w:val="20"/>
              </w:rPr>
              <w:t>$</w:t>
            </w:r>
          </w:p>
        </w:tc>
        <w:tc>
          <w:tcPr>
            <w:tcW w:w="7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131E29"/>
                <w:sz w:val="20"/>
              </w:rPr>
              <w:t>0.33</w:t>
            </w:r>
            <w:r>
              <w:rPr>
                <w:color w:val="131E29"/>
              </w:rPr>
              <w:t>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60"/>
        <w:ind w:left="0" w:right="0" w:hanging="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63220"/>
                <wp:effectExtent l="0" t="0" r="0" b="0"/>
                <wp:wrapNone/>
                <wp:docPr id="77" name="Frame27"/>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78"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27" descr=""/>
                                          <pic:cNvPicPr>
                                            <a:picLocks noChangeAspect="1" noChangeArrowheads="1"/>
                                          </pic:cNvPicPr>
                                        </pic:nvPicPr>
                                        <pic:blipFill>
                                          <a:blip r:embed="rId52"/>
                                          <a:stretch>
                                            <a:fillRect/>
                                          </a:stretch>
                                        </pic:blipFill>
                                        <pic:spPr bwMode="auto">
                                          <a:xfrm>
                                            <a:off x="0" y="0"/>
                                            <a:ext cx="190500" cy="266700"/>
                                          </a:xfrm>
                                          <a:prstGeom prst="rect">
                                            <a:avLst/>
                                          </a:prstGeom>
                                        </pic:spPr>
                                      </pic:pic>
                                    </a:graphicData>
                                  </a:graphic>
                                </wp:inline>
                              </w:drawing>
                            </w:r>
                            <w:bookmarkStart w:id="50" w:name="i-27"/>
                            <w:bookmarkEnd w:id="50"/>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79"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27" descr=""/>
                                    <pic:cNvPicPr>
                                      <a:picLocks noChangeAspect="1" noChangeArrowheads="1"/>
                                    </pic:cNvPicPr>
                                  </pic:nvPicPr>
                                  <pic:blipFill>
                                    <a:blip r:embed="rId53"/>
                                    <a:stretch>
                                      <a:fillRect/>
                                    </a:stretch>
                                  </pic:blipFill>
                                  <pic:spPr bwMode="auto">
                                    <a:xfrm>
                                      <a:off x="0" y="0"/>
                                      <a:ext cx="190500" cy="266700"/>
                                    </a:xfrm>
                                    <a:prstGeom prst="rect">
                                      <a:avLst/>
                                    </a:prstGeom>
                                  </pic:spPr>
                                </pic:pic>
                              </a:graphicData>
                            </a:graphic>
                          </wp:inline>
                        </w:drawing>
                      </w:r>
                      <w:bookmarkStart w:id="51" w:name="i-27"/>
                      <w:bookmarkEnd w:id="51"/>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25</w:t>
                      </w:r>
                    </w:p>
                  </w:txbxContent>
                </v:textbox>
                <w10:wrap type="none"/>
              </v:rect>
            </w:pict>
          </mc:Fallback>
        </mc:AlternateContent>
      </w:r>
    </w:p>
    <w:p>
      <w:pPr>
        <w:pStyle w:val="TextBody"/>
        <w:bidi w:val="0"/>
        <w:spacing w:lineRule="auto" w:line="288" w:before="0" w:after="180"/>
        <w:jc w:val="both"/>
        <w:rPr/>
      </w:pPr>
      <w:hyperlink w:anchor="i901a725797c944a19267b6f140f14c09_16">
        <w:r>
          <w:rPr>
            <w:rStyle w:val="InternetLink"/>
            <w:rFonts w:ascii="Arial;sans-serif" w:hAnsi="Arial;sans-serif"/>
            <w:b w:val="false"/>
            <w:color w:val="006098"/>
            <w:sz w:val="16"/>
            <w:u w:val="single"/>
          </w:rPr>
          <w:t>Table of Contents</w:t>
        </w:r>
      </w:hyperlink>
      <w:r>
        <w:rPr>
          <w:color w:val="006098"/>
        </w:rPr>
        <w:t xml:space="preserve"> </w:t>
      </w:r>
    </w:p>
    <w:tbl>
      <w:tblPr>
        <w:tblW w:w="10205" w:type="dxa"/>
        <w:jc w:val="left"/>
        <w:tblInd w:w="0" w:type="dxa"/>
        <w:tblLayout w:type="fixed"/>
        <w:tblCellMar>
          <w:top w:w="28" w:type="dxa"/>
          <w:left w:w="28" w:type="dxa"/>
          <w:bottom w:w="28" w:type="dxa"/>
          <w:right w:w="28" w:type="dxa"/>
        </w:tblCellMar>
      </w:tblPr>
      <w:tblGrid>
        <w:gridCol w:w="1860"/>
        <w:gridCol w:w="1158"/>
        <w:gridCol w:w="1166"/>
        <w:gridCol w:w="109"/>
        <w:gridCol w:w="109"/>
        <w:gridCol w:w="109"/>
        <w:gridCol w:w="220"/>
        <w:gridCol w:w="785"/>
        <w:gridCol w:w="113"/>
        <w:gridCol w:w="113"/>
        <w:gridCol w:w="113"/>
        <w:gridCol w:w="113"/>
        <w:gridCol w:w="220"/>
        <w:gridCol w:w="785"/>
        <w:gridCol w:w="113"/>
        <w:gridCol w:w="109"/>
        <w:gridCol w:w="109"/>
        <w:gridCol w:w="109"/>
        <w:gridCol w:w="215"/>
        <w:gridCol w:w="766"/>
        <w:gridCol w:w="111"/>
        <w:gridCol w:w="111"/>
        <w:gridCol w:w="111"/>
        <w:gridCol w:w="111"/>
        <w:gridCol w:w="215"/>
        <w:gridCol w:w="766"/>
        <w:gridCol w:w="111"/>
        <w:gridCol w:w="109"/>
        <w:gridCol w:w="166"/>
      </w:tblGrid>
      <w:tr>
        <w:trPr/>
        <w:tc>
          <w:tcPr>
            <w:tcW w:w="1860"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Six Months Ended June 30,</w:t>
            </w:r>
          </w:p>
        </w:tc>
        <w:tc>
          <w:tcPr>
            <w:tcW w:w="275" w:type="dxa"/>
            <w:gridSpan w:val="2"/>
            <w:tcBorders/>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339"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333"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Diluted net income per share attributable to common stockholders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Numerator: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Undistributed net income for basic computation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D2DC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785" w:type="dxa"/>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37,410 </w:t>
            </w:r>
          </w:p>
        </w:tc>
        <w:tc>
          <w:tcPr>
            <w:tcW w:w="113"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D2DC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31E29"/>
                <w:sz w:val="20"/>
              </w:rPr>
            </w:pPr>
            <w:r>
              <w:rPr>
                <w:rFonts w:ascii="Arial;sans-serif" w:hAnsi="Arial;sans-serif"/>
                <w:b w:val="false"/>
                <w:color w:val="131E29"/>
                <w:sz w:val="20"/>
              </w:rPr>
              <w:t>$</w:t>
            </w:r>
          </w:p>
        </w:tc>
        <w:tc>
          <w:tcPr>
            <w:tcW w:w="785" w:type="dxa"/>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25,624 </w:t>
            </w:r>
          </w:p>
        </w:tc>
        <w:tc>
          <w:tcPr>
            <w:tcW w:w="113"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D2DC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766" w:type="dxa"/>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53,507 </w:t>
            </w:r>
          </w:p>
        </w:tc>
        <w:tc>
          <w:tcPr>
            <w:tcW w:w="1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D2DC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31E29"/>
                <w:sz w:val="20"/>
              </w:rPr>
            </w:pPr>
            <w:r>
              <w:rPr>
                <w:rFonts w:ascii="Arial;sans-serif" w:hAnsi="Arial;sans-serif"/>
                <w:b w:val="false"/>
                <w:color w:val="131E29"/>
                <w:sz w:val="20"/>
              </w:rPr>
              <w:t>$</w:t>
            </w:r>
          </w:p>
        </w:tc>
        <w:tc>
          <w:tcPr>
            <w:tcW w:w="766" w:type="dxa"/>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40,977 </w:t>
            </w:r>
          </w:p>
        </w:tc>
        <w:tc>
          <w:tcPr>
            <w:tcW w:w="1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Increase in net income attributable to common stockholders upon conversion of potentially dilutive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31 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52 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63 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 xml:space="preserve">Allocation of undistributed net income </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785"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37,432</w:t>
            </w:r>
            <w:r>
              <w:rPr>
                <w:color w:val="006098"/>
              </w:rPr>
              <w:t> </w:t>
            </w:r>
          </w:p>
        </w:tc>
        <w:tc>
          <w:tcPr>
            <w:tcW w:w="113"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1E29"/>
                <w:sz w:val="20"/>
              </w:rPr>
            </w:pPr>
            <w:r>
              <w:rPr>
                <w:rFonts w:ascii="Arial;sans-serif" w:hAnsi="Arial;sans-serif"/>
                <w:b/>
                <w:color w:val="131E29"/>
                <w:sz w:val="20"/>
              </w:rPr>
              <w:t>$</w:t>
            </w:r>
          </w:p>
        </w:tc>
        <w:tc>
          <w:tcPr>
            <w:tcW w:w="785"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1E29"/>
                <w:sz w:val="20"/>
              </w:rPr>
              <w:t>25,655</w:t>
            </w:r>
            <w:r>
              <w:rPr>
                <w:color w:val="131E29"/>
              </w:rPr>
              <w:t> </w:t>
            </w:r>
          </w:p>
        </w:tc>
        <w:tc>
          <w:tcPr>
            <w:tcW w:w="113"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76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53,559</w:t>
            </w:r>
            <w:r>
              <w:rPr>
                <w:color w:val="006098"/>
              </w:rPr>
              <w:t> </w:t>
            </w:r>
          </w:p>
        </w:tc>
        <w:tc>
          <w:tcPr>
            <w:tcW w:w="111"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1E29"/>
                <w:sz w:val="20"/>
              </w:rPr>
            </w:pPr>
            <w:r>
              <w:rPr>
                <w:rFonts w:ascii="Arial;sans-serif" w:hAnsi="Arial;sans-serif"/>
                <w:b/>
                <w:color w:val="131E29"/>
                <w:sz w:val="20"/>
              </w:rPr>
              <w:t>$</w:t>
            </w:r>
          </w:p>
        </w:tc>
        <w:tc>
          <w:tcPr>
            <w:tcW w:w="76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1E29"/>
                <w:sz w:val="20"/>
              </w:rPr>
              <w:t>41,040</w:t>
            </w:r>
            <w:r>
              <w:rPr>
                <w:color w:val="131E29"/>
              </w:rPr>
              <w:t> </w:t>
            </w:r>
          </w:p>
        </w:tc>
        <w:tc>
          <w:tcPr>
            <w:tcW w:w="111"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Denominator: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Number of shares used in basic computation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134,494 </w:t>
            </w:r>
          </w:p>
        </w:tc>
        <w:tc>
          <w:tcPr>
            <w:tcW w:w="113"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126,390 </w:t>
            </w:r>
          </w:p>
        </w:tc>
        <w:tc>
          <w:tcPr>
            <w:tcW w:w="113"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130,837 </w:t>
            </w:r>
          </w:p>
        </w:tc>
        <w:tc>
          <w:tcPr>
            <w:tcW w:w="1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123,615 </w:t>
            </w:r>
          </w:p>
        </w:tc>
        <w:tc>
          <w:tcPr>
            <w:tcW w:w="1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Add: weighted-average effect of dilutive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RSUs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271 </w:t>
            </w:r>
          </w:p>
        </w:tc>
        <w:tc>
          <w:tcPr>
            <w:tcW w:w="113"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440 </w:t>
            </w:r>
          </w:p>
        </w:tc>
        <w:tc>
          <w:tcPr>
            <w:tcW w:w="113"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426 </w:t>
            </w:r>
          </w:p>
        </w:tc>
        <w:tc>
          <w:tcPr>
            <w:tcW w:w="1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563 </w:t>
            </w:r>
          </w:p>
        </w:tc>
        <w:tc>
          <w:tcPr>
            <w:tcW w:w="1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Weighted-average number of shares of Class A common stock outstanding used to calculate diluted net income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134,765 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126,830 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131,263 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124,178 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Diluted net income per share attributable to common stockholders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785"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0.28</w:t>
            </w:r>
            <w:r>
              <w:rPr>
                <w:color w:val="006098"/>
              </w:rPr>
              <w:t> </w:t>
            </w:r>
          </w:p>
        </w:tc>
        <w:tc>
          <w:tcPr>
            <w:tcW w:w="113"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131E29"/>
                <w:sz w:val="20"/>
              </w:rPr>
            </w:pPr>
            <w:r>
              <w:rPr>
                <w:rFonts w:ascii="Arial;sans-serif" w:hAnsi="Arial;sans-serif"/>
                <w:b/>
                <w:color w:val="131E29"/>
                <w:sz w:val="20"/>
              </w:rPr>
              <w:t>$</w:t>
            </w:r>
          </w:p>
        </w:tc>
        <w:tc>
          <w:tcPr>
            <w:tcW w:w="785"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131E29"/>
                <w:sz w:val="20"/>
              </w:rPr>
              <w:t>0.20</w:t>
            </w:r>
            <w:r>
              <w:rPr>
                <w:color w:val="131E29"/>
              </w:rPr>
              <w:t> </w:t>
            </w:r>
          </w:p>
        </w:tc>
        <w:tc>
          <w:tcPr>
            <w:tcW w:w="113"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76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0.41</w:t>
            </w:r>
            <w:r>
              <w:rPr>
                <w:color w:val="006098"/>
              </w:rPr>
              <w:t> </w:t>
            </w:r>
          </w:p>
        </w:tc>
        <w:tc>
          <w:tcPr>
            <w:tcW w:w="1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131E29"/>
                <w:sz w:val="20"/>
              </w:rPr>
            </w:pPr>
            <w:r>
              <w:rPr>
                <w:rFonts w:ascii="Arial;sans-serif" w:hAnsi="Arial;sans-serif"/>
                <w:b/>
                <w:color w:val="131E29"/>
                <w:sz w:val="20"/>
              </w:rPr>
              <w:t>$</w:t>
            </w:r>
          </w:p>
        </w:tc>
        <w:tc>
          <w:tcPr>
            <w:tcW w:w="76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131E29"/>
                <w:sz w:val="20"/>
              </w:rPr>
              <w:t>0.33</w:t>
            </w:r>
            <w:r>
              <w:rPr>
                <w:color w:val="131E29"/>
              </w:rPr>
              <w:t> </w:t>
            </w:r>
          </w:p>
        </w:tc>
        <w:tc>
          <w:tcPr>
            <w:tcW w:w="1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60"/>
        <w:ind w:left="0" w:right="0" w:hanging="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following Class A common stock equivalents were excluded from diluted net income per share in the periods presented because they were anti-dilutive:</w:t>
      </w:r>
    </w:p>
    <w:tbl>
      <w:tblPr>
        <w:tblW w:w="9152" w:type="dxa"/>
        <w:jc w:val="left"/>
        <w:tblInd w:w="0" w:type="dxa"/>
        <w:tblLayout w:type="fixed"/>
        <w:tblCellMar>
          <w:top w:w="28" w:type="dxa"/>
          <w:left w:w="28" w:type="dxa"/>
          <w:bottom w:w="28" w:type="dxa"/>
          <w:right w:w="28" w:type="dxa"/>
        </w:tblCellMar>
      </w:tblPr>
      <w:tblGrid>
        <w:gridCol w:w="977"/>
        <w:gridCol w:w="859"/>
        <w:gridCol w:w="864"/>
        <w:gridCol w:w="109"/>
        <w:gridCol w:w="109"/>
        <w:gridCol w:w="109"/>
        <w:gridCol w:w="320"/>
        <w:gridCol w:w="320"/>
        <w:gridCol w:w="320"/>
        <w:gridCol w:w="320"/>
        <w:gridCol w:w="320"/>
        <w:gridCol w:w="320"/>
        <w:gridCol w:w="320"/>
        <w:gridCol w:w="320"/>
        <w:gridCol w:w="320"/>
        <w:gridCol w:w="109"/>
        <w:gridCol w:w="109"/>
        <w:gridCol w:w="109"/>
        <w:gridCol w:w="295"/>
        <w:gridCol w:w="295"/>
        <w:gridCol w:w="295"/>
        <w:gridCol w:w="295"/>
        <w:gridCol w:w="295"/>
        <w:gridCol w:w="295"/>
        <w:gridCol w:w="295"/>
        <w:gridCol w:w="295"/>
        <w:gridCol w:w="295"/>
        <w:gridCol w:w="109"/>
        <w:gridCol w:w="154"/>
      </w:tblGrid>
      <w:tr>
        <w:trPr/>
        <w:tc>
          <w:tcPr>
            <w:tcW w:w="97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960"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885"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RSUs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164 </w:t>
            </w:r>
          </w:p>
        </w:tc>
        <w:tc>
          <w:tcPr>
            <w:tcW w:w="320"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243 </w:t>
            </w:r>
          </w:p>
        </w:tc>
        <w:tc>
          <w:tcPr>
            <w:tcW w:w="320"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173 </w:t>
            </w:r>
          </w:p>
        </w:tc>
        <w:tc>
          <w:tcPr>
            <w:tcW w:w="295"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172 </w:t>
            </w:r>
          </w:p>
        </w:tc>
        <w:tc>
          <w:tcPr>
            <w:tcW w:w="295"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PSUs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311 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63 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230 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46 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Total anti-dilutive securities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475</w:t>
            </w:r>
            <w:r>
              <w:rPr>
                <w:color w:val="006098"/>
              </w:rPr>
              <w:t> </w:t>
            </w:r>
          </w:p>
        </w:tc>
        <w:tc>
          <w:tcPr>
            <w:tcW w:w="32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131E29"/>
                <w:sz w:val="20"/>
              </w:rPr>
              <w:t>306</w:t>
            </w:r>
            <w:r>
              <w:rPr>
                <w:color w:val="131E29"/>
              </w:rPr>
              <w:t> </w:t>
            </w:r>
          </w:p>
        </w:tc>
        <w:tc>
          <w:tcPr>
            <w:tcW w:w="32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403</w:t>
            </w:r>
            <w:r>
              <w:rPr>
                <w:color w:val="006098"/>
              </w:rPr>
              <w:t> </w:t>
            </w:r>
          </w:p>
        </w:tc>
        <w:tc>
          <w:tcPr>
            <w:tcW w:w="295"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131E29"/>
                <w:sz w:val="20"/>
              </w:rPr>
              <w:t>218</w:t>
            </w:r>
            <w:r>
              <w:rPr>
                <w:color w:val="131E29"/>
              </w:rPr>
              <w:t> </w:t>
            </w:r>
          </w:p>
        </w:tc>
        <w:tc>
          <w:tcPr>
            <w:tcW w:w="295"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NOTE 15 — Commitments and Contingencies</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Purchase Obligations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enter into fixed-price and price-to-be-fixed green coffee purchase commitments. For both fixed-price and price-to-be-fixed purchase commitments, we expect to take delivery of green coffee and to utilize the coffee in a reasonable period of time in the ordinary course of business. Such contracts are used for the normal purchases of green coffee and not for speculative purposes. We do not enter into futures contracts or other derivative instruments related to our green coffee purchase commitments.</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Guarantees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periodically provide guarantees to franchise partners for lease payments. As of June 30, 2026 and December 31, 2025, we had guaranteed approximately $7.6 million and $7.8 million, respectively, in franchise partners’ lease payments and have not established a liability for these guarantees as any liability arising from the guarantees is not material to the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63220"/>
                <wp:effectExtent l="0" t="0" r="0" b="0"/>
                <wp:wrapNone/>
                <wp:docPr id="80" name="Frame28"/>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8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28" descr=""/>
                                          <pic:cNvPicPr>
                                            <a:picLocks noChangeAspect="1" noChangeArrowheads="1"/>
                                          </pic:cNvPicPr>
                                        </pic:nvPicPr>
                                        <pic:blipFill>
                                          <a:blip r:embed="rId54"/>
                                          <a:stretch>
                                            <a:fillRect/>
                                          </a:stretch>
                                        </pic:blipFill>
                                        <pic:spPr bwMode="auto">
                                          <a:xfrm>
                                            <a:off x="0" y="0"/>
                                            <a:ext cx="190500" cy="266700"/>
                                          </a:xfrm>
                                          <a:prstGeom prst="rect">
                                            <a:avLst/>
                                          </a:prstGeom>
                                        </pic:spPr>
                                      </pic:pic>
                                    </a:graphicData>
                                  </a:graphic>
                                </wp:inline>
                              </w:drawing>
                            </w:r>
                            <w:bookmarkStart w:id="52" w:name="i-28"/>
                            <w:bookmarkEnd w:id="52"/>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82"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28" descr=""/>
                                    <pic:cNvPicPr>
                                      <a:picLocks noChangeAspect="1" noChangeArrowheads="1"/>
                                    </pic:cNvPicPr>
                                  </pic:nvPicPr>
                                  <pic:blipFill>
                                    <a:blip r:embed="rId55"/>
                                    <a:stretch>
                                      <a:fillRect/>
                                    </a:stretch>
                                  </pic:blipFill>
                                  <pic:spPr bwMode="auto">
                                    <a:xfrm>
                                      <a:off x="0" y="0"/>
                                      <a:ext cx="190500" cy="266700"/>
                                    </a:xfrm>
                                    <a:prstGeom prst="rect">
                                      <a:avLst/>
                                    </a:prstGeom>
                                  </pic:spPr>
                                </pic:pic>
                              </a:graphicData>
                            </a:graphic>
                          </wp:inline>
                        </w:drawing>
                      </w:r>
                      <w:bookmarkStart w:id="53" w:name="i-28"/>
                      <w:bookmarkEnd w:id="53"/>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26</w:t>
                      </w:r>
                    </w:p>
                  </w:txbxContent>
                </v:textbox>
                <w10:wrap type="none"/>
              </v:rect>
            </w:pict>
          </mc:Fallback>
        </mc:AlternateContent>
      </w:r>
    </w:p>
    <w:p>
      <w:pPr>
        <w:pStyle w:val="TextBody"/>
        <w:bidi w:val="0"/>
        <w:spacing w:lineRule="auto" w:line="288" w:before="0" w:after="180"/>
        <w:jc w:val="both"/>
        <w:rPr/>
      </w:pPr>
      <w:hyperlink w:anchor="i901a725797c944a19267b6f140f14c09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Legal Proceedings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Company is a party to routine legal actions arising in the ordinary course of and incidental to its business. These claims, legal proceedings, and litigation principally arise from alleged casualty, employment, and other disputes.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In determining loss contingencies, the Company considers the likelihood of loss as well as the ability to reasonably estimate the amount of such loss or liability. An estimated loss is recognized when it is considered probable that a liability has been incurred and when the amount of loss can be reasonably estimated.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Because litigation is inherently unpredictable, assessing contingencies is highly subjective and requires judgments about future events. When evaluating litigation contingencies, we may be unable to provide a meaningful estimate due to a number of factors, including the procedural status of the matter in question, developments in legislation or regulations that affect the validity of certain claims and defenses, the availability of appellate remedies, insurance coverage related to the claim or claims in question, the presence of complex or novel legal theories, and/or the ongoing discovery and development of information important to the matter.</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Any claim, proceeding, or litigation has an element of uncertainty, and an unfavorable outcome may have a material adverse effect on the Company’s financial condition,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Liabilities Under Tax Receivable Agreements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Under the TRAs, Dutch Bros Inc. is contractually committed to pay the non-controlling interest holders 85% of the amount of any tax benefits that Dutch Bros Inc. actually realizes, or in some cases is deemed to realize, as a result of certain transactions. As of June 30, 2026, Dutch Bros Inc. recognized $973.0 million of liabilities related to its obligations under the TRAs. Refer to NOTE 11 — Income Taxes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NOTE 16 — Related Party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Related party transactions were as follows for the periods presented:</w:t>
      </w:r>
    </w:p>
    <w:tbl>
      <w:tblPr>
        <w:tblW w:w="10205" w:type="dxa"/>
        <w:jc w:val="left"/>
        <w:tblInd w:w="0" w:type="dxa"/>
        <w:tblLayout w:type="fixed"/>
        <w:tblCellMar>
          <w:top w:w="28" w:type="dxa"/>
          <w:left w:w="28" w:type="dxa"/>
          <w:bottom w:w="28" w:type="dxa"/>
          <w:right w:w="28" w:type="dxa"/>
        </w:tblCellMar>
      </w:tblPr>
      <w:tblGrid>
        <w:gridCol w:w="1437"/>
        <w:gridCol w:w="1262"/>
        <w:gridCol w:w="1269"/>
        <w:gridCol w:w="109"/>
        <w:gridCol w:w="109"/>
        <w:gridCol w:w="109"/>
        <w:gridCol w:w="233"/>
        <w:gridCol w:w="831"/>
        <w:gridCol w:w="120"/>
        <w:gridCol w:w="120"/>
        <w:gridCol w:w="120"/>
        <w:gridCol w:w="120"/>
        <w:gridCol w:w="233"/>
        <w:gridCol w:w="831"/>
        <w:gridCol w:w="120"/>
        <w:gridCol w:w="109"/>
        <w:gridCol w:w="109"/>
        <w:gridCol w:w="109"/>
        <w:gridCol w:w="220"/>
        <w:gridCol w:w="787"/>
        <w:gridCol w:w="114"/>
        <w:gridCol w:w="114"/>
        <w:gridCol w:w="114"/>
        <w:gridCol w:w="114"/>
        <w:gridCol w:w="220"/>
        <w:gridCol w:w="787"/>
        <w:gridCol w:w="114"/>
        <w:gridCol w:w="109"/>
        <w:gridCol w:w="162"/>
      </w:tblGrid>
      <w:tr>
        <w:trPr/>
        <w:tc>
          <w:tcPr>
            <w:tcW w:w="1437"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Six Months Ended June 30,</w:t>
            </w:r>
          </w:p>
        </w:tc>
        <w:tc>
          <w:tcPr>
            <w:tcW w:w="271" w:type="dxa"/>
            <w:gridSpan w:val="2"/>
            <w:tcBorders/>
          </w:tcPr>
          <w:p>
            <w:pPr>
              <w:pStyle w:val="TableContents"/>
              <w:bidi w:val="0"/>
              <w:spacing w:before="0" w:after="283"/>
              <w:jc w:val="left"/>
              <w:rPr>
                <w:sz w:val="4"/>
                <w:szCs w:val="4"/>
              </w:rPr>
            </w:pPr>
            <w:r>
              <w:rPr>
                <w:sz w:val="4"/>
                <w:szCs w:val="4"/>
              </w:rPr>
            </w:r>
          </w:p>
        </w:tc>
      </w:tr>
      <w:tr>
        <w:trPr/>
        <w:tc>
          <w:tcPr>
            <w:tcW w:w="39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360"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342"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968"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Distributions and TRA payments to Co-Founder and Sponsor ¹</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83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29,886 </w:t>
            </w:r>
          </w:p>
        </w:tc>
        <w:tc>
          <w:tcPr>
            <w:tcW w:w="120"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3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11,494 </w:t>
            </w:r>
          </w:p>
        </w:tc>
        <w:tc>
          <w:tcPr>
            <w:tcW w:w="120"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787"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30,807 </w:t>
            </w:r>
          </w:p>
        </w:tc>
        <w:tc>
          <w:tcPr>
            <w:tcW w:w="114"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87"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11,565 </w:t>
            </w:r>
          </w:p>
        </w:tc>
        <w:tc>
          <w:tcPr>
            <w:tcW w:w="114"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9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Donations to Dutch Bros Foundation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2,062 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2,125 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2,125 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rFonts w:ascii="Arial;sans-serif" w:hAnsi="Arial;sans-serif"/>
          <w:b w:val="false"/>
          <w:color w:val="131E29"/>
          <w:sz w:val="20"/>
        </w:rPr>
      </w:pPr>
      <w:r>
        <w:rPr>
          <w:rFonts w:ascii="Arial;sans-serif" w:hAnsi="Arial;sans-serif"/>
          <w:b w:val="false"/>
          <w:color w:val="131E29"/>
          <w:sz w:val="20"/>
        </w:rPr>
        <w:t>_______________</w:t>
      </w:r>
    </w:p>
    <w:p>
      <w:pPr>
        <w:pStyle w:val="TextBody"/>
        <w:bidi w:val="0"/>
        <w:spacing w:lineRule="auto" w:line="288" w:before="0" w:after="180"/>
        <w:ind w:left="0" w:right="0" w:hanging="180"/>
        <w:jc w:val="both"/>
        <w:rPr/>
      </w:pPr>
      <w:r>
        <w:rPr>
          <w:rFonts w:ascii="Arial;sans-serif" w:hAnsi="Arial;sans-serif"/>
          <w:b w:val="false"/>
          <w:color w:val="000000"/>
          <w:sz w:val="10"/>
        </w:rPr>
        <w:t>1    </w:t>
      </w:r>
      <w:r>
        <w:rPr>
          <w:rFonts w:ascii="Arial;sans-serif" w:hAnsi="Arial;sans-serif"/>
          <w:b w:val="false"/>
          <w:color w:val="000000"/>
          <w:sz w:val="16"/>
        </w:rPr>
        <w:t>See NOTE 11 — Income Taxes for further information.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Dutch Bros Foundation is a not-for-profit organization founded by our Company that provides grants to other not-for-profit organizations throughout the communities we serve. Our Vice Chair, Chief Financial Officer, Chief People Officer, Chief Legal Officer, and SVP of Brand Marketing serve on the board of directors, our Vice Chair serves as the President, and our Chief Legal Officer serves as the Secretary-Treasurer.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63220"/>
                <wp:effectExtent l="0" t="0" r="0" b="0"/>
                <wp:wrapNone/>
                <wp:docPr id="83" name="Frame29"/>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84"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29" descr=""/>
                                          <pic:cNvPicPr>
                                            <a:picLocks noChangeAspect="1" noChangeArrowheads="1"/>
                                          </pic:cNvPicPr>
                                        </pic:nvPicPr>
                                        <pic:blipFill>
                                          <a:blip r:embed="rId56"/>
                                          <a:stretch>
                                            <a:fillRect/>
                                          </a:stretch>
                                        </pic:blipFill>
                                        <pic:spPr bwMode="auto">
                                          <a:xfrm>
                                            <a:off x="0" y="0"/>
                                            <a:ext cx="190500" cy="266700"/>
                                          </a:xfrm>
                                          <a:prstGeom prst="rect">
                                            <a:avLst/>
                                          </a:prstGeom>
                                        </pic:spPr>
                                      </pic:pic>
                                    </a:graphicData>
                                  </a:graphic>
                                </wp:inline>
                              </w:drawing>
                            </w:r>
                            <w:bookmarkStart w:id="54" w:name="i-29"/>
                            <w:bookmarkEnd w:id="54"/>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85"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29" descr=""/>
                                    <pic:cNvPicPr>
                                      <a:picLocks noChangeAspect="1" noChangeArrowheads="1"/>
                                    </pic:cNvPicPr>
                                  </pic:nvPicPr>
                                  <pic:blipFill>
                                    <a:blip r:embed="rId57"/>
                                    <a:stretch>
                                      <a:fillRect/>
                                    </a:stretch>
                                  </pic:blipFill>
                                  <pic:spPr bwMode="auto">
                                    <a:xfrm>
                                      <a:off x="0" y="0"/>
                                      <a:ext cx="190500" cy="266700"/>
                                    </a:xfrm>
                                    <a:prstGeom prst="rect">
                                      <a:avLst/>
                                    </a:prstGeom>
                                  </pic:spPr>
                                </pic:pic>
                              </a:graphicData>
                            </a:graphic>
                          </wp:inline>
                        </w:drawing>
                      </w:r>
                      <w:bookmarkStart w:id="55" w:name="i-29"/>
                      <w:bookmarkEnd w:id="55"/>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27</w:t>
                      </w:r>
                    </w:p>
                  </w:txbxContent>
                </v:textbox>
                <w10:wrap type="none"/>
              </v:rect>
            </w:pict>
          </mc:Fallback>
        </mc:AlternateContent>
      </w:r>
    </w:p>
    <w:p>
      <w:pPr>
        <w:pStyle w:val="TextBody"/>
        <w:bidi w:val="0"/>
        <w:spacing w:lineRule="auto" w:line="288" w:before="0" w:after="180"/>
        <w:jc w:val="both"/>
        <w:rPr/>
      </w:pPr>
      <w:hyperlink w:anchor="i901a725797c944a19267b6f140f14c09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NOTE 17 — Segment Reporting</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Segment information is prepared on the same basis that our CEO, who is the CODM, manages the segments, evaluates financial results and makes key operating decisions. Our CEO evaluates financial performance based on two operating segments, which offer distinct products and services to different customers: Company-operated shops and Franchising and other. The Company-operated shops segment includes retail beverage shop sales to end consumers. The Franchising and other segment includes bean and product sales to franchise partners, initial franchise fees, royalties, and marketing fees related to the franchise partners, as well as sales of products through our website.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CODM reviews segment performance and allocates resources based upon segment contribution, which is defined as segment gross profit before depreciation and amortization. Segment contribution is used to monitor and assess segment results compared to prior periods, forecasted results, and our annual operating plan.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All segment revenue is earned in the United States. All intercompany sales amongst the Dutch Bros entities are fully eliminated in consolidation. Further, there are no intersegment revenues. The CODM does not evaluate operating segments using discrete asset information.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Selling, general and administrative expenses primarily consist of unallocated corporate expenses. Unallocated corporate expenses include corporate administrative functions that support the segments but are not directly attributable to or managed by any segment and are not included in the reported financial results of the segments.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No changes have been made to our segments during the three and six months ended June 30, 2026. In addition, no customer represented 10% or more of total revenue for the three and six months ended June 30, 2026 and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63220"/>
                <wp:effectExtent l="0" t="0" r="0" b="0"/>
                <wp:wrapNone/>
                <wp:docPr id="86" name="Frame30"/>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87"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30" descr=""/>
                                          <pic:cNvPicPr>
                                            <a:picLocks noChangeAspect="1" noChangeArrowheads="1"/>
                                          </pic:cNvPicPr>
                                        </pic:nvPicPr>
                                        <pic:blipFill>
                                          <a:blip r:embed="rId58"/>
                                          <a:stretch>
                                            <a:fillRect/>
                                          </a:stretch>
                                        </pic:blipFill>
                                        <pic:spPr bwMode="auto">
                                          <a:xfrm>
                                            <a:off x="0" y="0"/>
                                            <a:ext cx="190500" cy="266700"/>
                                          </a:xfrm>
                                          <a:prstGeom prst="rect">
                                            <a:avLst/>
                                          </a:prstGeom>
                                        </pic:spPr>
                                      </pic:pic>
                                    </a:graphicData>
                                  </a:graphic>
                                </wp:inline>
                              </w:drawing>
                            </w:r>
                            <w:bookmarkStart w:id="56" w:name="i-30"/>
                            <w:bookmarkEnd w:id="56"/>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88"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30" descr=""/>
                                    <pic:cNvPicPr>
                                      <a:picLocks noChangeAspect="1" noChangeArrowheads="1"/>
                                    </pic:cNvPicPr>
                                  </pic:nvPicPr>
                                  <pic:blipFill>
                                    <a:blip r:embed="rId59"/>
                                    <a:stretch>
                                      <a:fillRect/>
                                    </a:stretch>
                                  </pic:blipFill>
                                  <pic:spPr bwMode="auto">
                                    <a:xfrm>
                                      <a:off x="0" y="0"/>
                                      <a:ext cx="190500" cy="266700"/>
                                    </a:xfrm>
                                    <a:prstGeom prst="rect">
                                      <a:avLst/>
                                    </a:prstGeom>
                                  </pic:spPr>
                                </pic:pic>
                              </a:graphicData>
                            </a:graphic>
                          </wp:inline>
                        </w:drawing>
                      </w:r>
                      <w:bookmarkStart w:id="57" w:name="i-30"/>
                      <w:bookmarkEnd w:id="57"/>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28</w:t>
                      </w:r>
                    </w:p>
                  </w:txbxContent>
                </v:textbox>
                <w10:wrap type="none"/>
              </v:rect>
            </w:pict>
          </mc:Fallback>
        </mc:AlternateContent>
      </w:r>
    </w:p>
    <w:p>
      <w:pPr>
        <w:pStyle w:val="TextBody"/>
        <w:bidi w:val="0"/>
        <w:spacing w:lineRule="auto" w:line="288" w:before="0" w:after="180"/>
        <w:jc w:val="both"/>
        <w:rPr/>
      </w:pPr>
      <w:hyperlink w:anchor="i901a725797c944a19267b6f140f14c09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Financial information for our reportable segments was as follows for the periods presented:</w:t>
      </w:r>
    </w:p>
    <w:tbl>
      <w:tblPr>
        <w:tblW w:w="9982" w:type="dxa"/>
        <w:jc w:val="left"/>
        <w:tblInd w:w="0" w:type="dxa"/>
        <w:tblLayout w:type="fixed"/>
        <w:tblCellMar>
          <w:top w:w="28" w:type="dxa"/>
          <w:left w:w="28" w:type="dxa"/>
          <w:bottom w:w="28" w:type="dxa"/>
          <w:right w:w="28" w:type="dxa"/>
        </w:tblCellMar>
      </w:tblPr>
      <w:tblGrid>
        <w:gridCol w:w="1458"/>
        <w:gridCol w:w="1078"/>
        <w:gridCol w:w="973"/>
        <w:gridCol w:w="109"/>
        <w:gridCol w:w="109"/>
        <w:gridCol w:w="109"/>
        <w:gridCol w:w="226"/>
        <w:gridCol w:w="920"/>
        <w:gridCol w:w="117"/>
        <w:gridCol w:w="117"/>
        <w:gridCol w:w="117"/>
        <w:gridCol w:w="117"/>
        <w:gridCol w:w="226"/>
        <w:gridCol w:w="920"/>
        <w:gridCol w:w="117"/>
        <w:gridCol w:w="109"/>
        <w:gridCol w:w="109"/>
        <w:gridCol w:w="109"/>
        <w:gridCol w:w="211"/>
        <w:gridCol w:w="856"/>
        <w:gridCol w:w="109"/>
        <w:gridCol w:w="109"/>
        <w:gridCol w:w="109"/>
        <w:gridCol w:w="109"/>
        <w:gridCol w:w="211"/>
        <w:gridCol w:w="856"/>
        <w:gridCol w:w="109"/>
        <w:gridCol w:w="109"/>
        <w:gridCol w:w="154"/>
      </w:tblGrid>
      <w:tr>
        <w:trPr/>
        <w:tc>
          <w:tcPr>
            <w:tcW w:w="1458"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EE2724"/>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351" w:type="dxa"/>
            <w:gridSpan w:val="3"/>
            <w:tcBorders>
              <w:top w:val="single" w:sz="8" w:space="0" w:color="EE272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EE2724"/>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 xml:space="preserve">2025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EE2724"/>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327" w:type="dxa"/>
            <w:gridSpan w:val="3"/>
            <w:tcBorders>
              <w:top w:val="single" w:sz="8" w:space="0" w:color="EE272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EE2724"/>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 xml:space="preserve">2025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Revenues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 shops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510,031 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31E29"/>
                <w:sz w:val="20"/>
              </w:rPr>
            </w:pPr>
            <w:r>
              <w:rPr>
                <w:rFonts w:ascii="Arial;sans-serif" w:hAnsi="Arial;sans-serif"/>
                <w:b w:val="false"/>
                <w:color w:val="131E29"/>
                <w:sz w:val="20"/>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380,500 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939,088 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706,921 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Franchising and other</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40,820 </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35,313 </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76,175 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64,044 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550,851 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415,813 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1,015,263 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770,965 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Cost of sales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 shops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Beverage, food &amp; packaging</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133,108 </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96,468 </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245,430 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177,847 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Labor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129,460 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101,270 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241,765 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190,709 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Occupancy &amp; other costs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83,085 </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59,984 </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159,870 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113,911 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Pre-opening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8,408 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4,542 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14,749 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10,153 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Franchising and other</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11,909 </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6,429 </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24,267 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15,204 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131E29"/>
                <w:sz w:val="20"/>
              </w:rPr>
              <w:t>Segment cost of sales</w:t>
            </w:r>
            <w:r>
              <w:rPr>
                <w:rFonts w:ascii="Arial;sans-serif" w:hAnsi="Arial;sans-serif"/>
                <w:b w:val="false"/>
                <w:color w:val="131E29"/>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365,970 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268,693 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686,081 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507,824 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Segment contribution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 shops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155,970 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118,236 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277,274 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214,301 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Franchising and other</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28,911 </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28,884 </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51,908 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48,840 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Total segment contribution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9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184,881</w:t>
            </w:r>
            <w:r>
              <w:rPr>
                <w:color w:val="006098"/>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1E29"/>
                <w:sz w:val="20"/>
              </w:rPr>
            </w:pPr>
            <w:r>
              <w:rPr>
                <w:rFonts w:ascii="Arial;sans-serif" w:hAnsi="Arial;sans-serif"/>
                <w:b/>
                <w:color w:val="131E29"/>
                <w:sz w:val="20"/>
              </w:rPr>
              <w:t>$</w:t>
            </w:r>
          </w:p>
        </w:tc>
        <w:tc>
          <w:tcPr>
            <w:tcW w:w="9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1E29"/>
                <w:sz w:val="20"/>
              </w:rPr>
              <w:t>147,120</w:t>
            </w:r>
            <w:r>
              <w:rPr>
                <w:color w:val="131E29"/>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329,182</w:t>
            </w:r>
            <w:r>
              <w:rPr>
                <w:color w:val="006098"/>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1E29"/>
                <w:sz w:val="20"/>
              </w:rPr>
            </w:pPr>
            <w:r>
              <w:rPr>
                <w:rFonts w:ascii="Arial;sans-serif" w:hAnsi="Arial;sans-serif"/>
                <w:b/>
                <w:color w:val="131E29"/>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1E29"/>
                <w:sz w:val="20"/>
              </w:rPr>
              <w:t>263,141</w:t>
            </w:r>
            <w:r>
              <w:rPr>
                <w:color w:val="131E29"/>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Segment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(33,825)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(27,076)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(70,650)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(53,104)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(80,651)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(65,385)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(153,827)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(124,306)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Interest expense, net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(7,038)</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(7,076)</w:t>
            </w:r>
          </w:p>
        </w:tc>
        <w:tc>
          <w:tcPr>
            <w:tcW w:w="11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(14,258)</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(14,191)</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861 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(1,983)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Income before income taxes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92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64,228</w:t>
            </w:r>
            <w:r>
              <w:rPr>
                <w:color w:val="006098"/>
              </w:rPr>
              <w:t> </w:t>
            </w:r>
          </w:p>
        </w:tc>
        <w:tc>
          <w:tcPr>
            <w:tcW w:w="11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131E29"/>
                <w:sz w:val="20"/>
              </w:rPr>
            </w:pPr>
            <w:r>
              <w:rPr>
                <w:rFonts w:ascii="Arial;sans-serif" w:hAnsi="Arial;sans-serif"/>
                <w:b/>
                <w:color w:val="131E29"/>
                <w:sz w:val="20"/>
              </w:rPr>
              <w:t>$</w:t>
            </w:r>
          </w:p>
        </w:tc>
        <w:tc>
          <w:tcPr>
            <w:tcW w:w="92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131E29"/>
                <w:sz w:val="20"/>
              </w:rPr>
              <w:t>45,600</w:t>
            </w:r>
            <w:r>
              <w:rPr>
                <w:color w:val="131E29"/>
              </w:rPr>
              <w:t> </w:t>
            </w:r>
          </w:p>
        </w:tc>
        <w:tc>
          <w:tcPr>
            <w:tcW w:w="11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85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91,233</w:t>
            </w:r>
            <w:r>
              <w:rPr>
                <w:color w:val="006098"/>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131E29"/>
                <w:sz w:val="20"/>
              </w:rPr>
            </w:pPr>
            <w:r>
              <w:rPr>
                <w:rFonts w:ascii="Arial;sans-serif" w:hAnsi="Arial;sans-serif"/>
                <w:b/>
                <w:color w:val="131E29"/>
                <w:sz w:val="20"/>
              </w:rPr>
              <w:t>$</w:t>
            </w:r>
          </w:p>
        </w:tc>
        <w:tc>
          <w:tcPr>
            <w:tcW w:w="85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131E29"/>
                <w:sz w:val="20"/>
              </w:rPr>
              <w:t>69,539</w:t>
            </w:r>
            <w:r>
              <w:rPr>
                <w:color w:val="131E29"/>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__________________</w:t>
      </w:r>
    </w:p>
    <w:p>
      <w:pPr>
        <w:pStyle w:val="TextBody"/>
        <w:bidi w:val="0"/>
        <w:spacing w:lineRule="auto" w:line="288" w:before="0" w:after="180"/>
        <w:ind w:left="0" w:right="0" w:hanging="180"/>
        <w:jc w:val="both"/>
        <w:rPr/>
      </w:pPr>
      <w:r>
        <w:rPr>
          <w:rFonts w:ascii="Arial;sans-serif" w:hAnsi="Arial;sans-serif"/>
          <w:b w:val="false"/>
          <w:color w:val="000000"/>
          <w:sz w:val="10"/>
        </w:rPr>
        <w:t>1    </w:t>
      </w:r>
      <w:r>
        <w:rPr>
          <w:rFonts w:ascii="Arial;sans-serif" w:hAnsi="Arial;sans-serif"/>
          <w:b w:val="false"/>
          <w:color w:val="000000"/>
          <w:sz w:val="16"/>
        </w:rPr>
        <w:t>Segment cost of sales for this presentation excludes the impact of depreciation and amortization.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NOTE 18 — Subsequent Events</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Business Combination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On July 27, 2026, the Company purchased the franchise rights and assets of 31 locations in Arizona from a franchisee for approximately $63.5 million. The purchase was funded with cash on hand. The Company expects to account for the transaction as a business combination. The allocation of the purchase price consideration to the estimated fair values of assets acquired and liabilities assumed is not yet finalized. </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Asset Purchase Agreement</w:t>
      </w:r>
    </w:p>
    <w:p>
      <w:pPr>
        <w:pStyle w:val="TextBody"/>
        <w:bidi w:val="0"/>
        <w:spacing w:lineRule="auto" w:line="288" w:before="0" w:after="180"/>
        <w:jc w:val="both"/>
        <w:rPr/>
      </w:pPr>
      <w:r>
        <w:rPr>
          <w:rFonts w:ascii="Arial;sans-serif" w:hAnsi="Arial;sans-serif"/>
          <w:b w:val="false"/>
          <w:color w:val="131E29"/>
          <w:sz w:val="20"/>
        </w:rPr>
        <w:t>On August 4, 2026, the Company entered into an agreement to acquire the real estate and related site assets of up to 65 Salad and Go</w:t>
      </w:r>
      <w:r>
        <w:rPr>
          <w:rFonts w:ascii="Arial;sans-serif" w:hAnsi="Arial;sans-serif"/>
          <w:b w:val="false"/>
          <w:color w:val="131E29"/>
          <w:sz w:val="13"/>
        </w:rPr>
        <w:t>TM</w:t>
      </w:r>
      <w:r>
        <w:rPr>
          <w:color w:val="131E29"/>
        </w:rPr>
        <w:t xml:space="preserve"> </w:t>
      </w:r>
      <w:r>
        <w:rPr>
          <w:rFonts w:ascii="Arial;sans-serif" w:hAnsi="Arial;sans-serif"/>
          <w:b w:val="false"/>
          <w:color w:val="131E29"/>
          <w:sz w:val="20"/>
        </w:rPr>
        <w:t xml:space="preserve">locations across Arizona, Nevada, Oklahoma and Texas. The closing is expected to occur in the third quarter of 2026 and is subject to applicable approvals and other customary closing conditions.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63220"/>
                <wp:effectExtent l="0" t="0" r="0" b="0"/>
                <wp:wrapNone/>
                <wp:docPr id="89" name="Frame31"/>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90"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31" descr=""/>
                                          <pic:cNvPicPr>
                                            <a:picLocks noChangeAspect="1" noChangeArrowheads="1"/>
                                          </pic:cNvPicPr>
                                        </pic:nvPicPr>
                                        <pic:blipFill>
                                          <a:blip r:embed="rId60"/>
                                          <a:stretch>
                                            <a:fillRect/>
                                          </a:stretch>
                                        </pic:blipFill>
                                        <pic:spPr bwMode="auto">
                                          <a:xfrm>
                                            <a:off x="0" y="0"/>
                                            <a:ext cx="190500" cy="266700"/>
                                          </a:xfrm>
                                          <a:prstGeom prst="rect">
                                            <a:avLst/>
                                          </a:prstGeom>
                                        </pic:spPr>
                                      </pic:pic>
                                    </a:graphicData>
                                  </a:graphic>
                                </wp:inline>
                              </w:drawing>
                            </w:r>
                            <w:bookmarkStart w:id="58" w:name="i-31"/>
                            <w:bookmarkEnd w:id="58"/>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9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31" descr=""/>
                                    <pic:cNvPicPr>
                                      <a:picLocks noChangeAspect="1" noChangeArrowheads="1"/>
                                    </pic:cNvPicPr>
                                  </pic:nvPicPr>
                                  <pic:blipFill>
                                    <a:blip r:embed="rId61"/>
                                    <a:stretch>
                                      <a:fillRect/>
                                    </a:stretch>
                                  </pic:blipFill>
                                  <pic:spPr bwMode="auto">
                                    <a:xfrm>
                                      <a:off x="0" y="0"/>
                                      <a:ext cx="190500" cy="266700"/>
                                    </a:xfrm>
                                    <a:prstGeom prst="rect">
                                      <a:avLst/>
                                    </a:prstGeom>
                                  </pic:spPr>
                                </pic:pic>
                              </a:graphicData>
                            </a:graphic>
                          </wp:inline>
                        </w:drawing>
                      </w:r>
                      <w:bookmarkStart w:id="59" w:name="i-31"/>
                      <w:bookmarkEnd w:id="59"/>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29</w:t>
                      </w:r>
                    </w:p>
                  </w:txbxContent>
                </v:textbox>
                <w10:wrap type="none"/>
              </v:rect>
            </w:pict>
          </mc:Fallback>
        </mc:AlternateContent>
      </w:r>
    </w:p>
    <w:p>
      <w:pPr>
        <w:pStyle w:val="TextBody"/>
        <w:bidi w:val="0"/>
        <w:spacing w:lineRule="auto" w:line="288" w:before="0" w:after="180"/>
        <w:jc w:val="both"/>
        <w:rPr/>
      </w:pPr>
      <w:hyperlink w:anchor="i901a725797c944a19267b6f140f14c09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left"/>
        <w:rPr>
          <w:rFonts w:ascii="Arial;sans-serif" w:hAnsi="Arial;sans-serif"/>
          <w:b/>
          <w:color w:val="D7282F"/>
          <w:sz w:val="28"/>
        </w:rPr>
      </w:pPr>
      <w:r>
        <w:rPr>
          <w:rFonts w:ascii="Arial;sans-serif" w:hAnsi="Arial;sans-serif"/>
          <w:b/>
          <w:color w:val="D7282F"/>
          <w:sz w:val="28"/>
        </w:rPr>
        <w:t>ITEM 2. MANAGEMENT’S DISCUSSION AND ANALYSIS OF FINANCIAL CONDITION AND RESULTS OF OPERATIONS</w:t>
      </w:r>
    </w:p>
    <w:p>
      <w:pPr>
        <w:pStyle w:val="TextBody"/>
        <w:bidi w:val="0"/>
        <w:spacing w:lineRule="auto" w:line="288" w:before="0" w:after="180"/>
        <w:jc w:val="both"/>
        <w:rPr>
          <w:rFonts w:ascii="Arial;sans-serif" w:hAnsi="Arial;sans-serif"/>
          <w:b w:val="false"/>
          <w:i/>
          <w:color w:val="131E29"/>
          <w:sz w:val="16"/>
        </w:rPr>
      </w:pPr>
      <w:r>
        <w:rPr>
          <w:rFonts w:ascii="Arial;sans-serif" w:hAnsi="Arial;sans-serif"/>
          <w:b w:val="false"/>
          <w:i/>
          <w:color w:val="131E29"/>
          <w:sz w:val="16"/>
        </w:rPr>
        <w:t>Reconciliation of GAAP to non-GAAP results is provided in the section “Non-GAAP Financial Measures” in Part I, Item 2 “Management’s Discussion and Analysis of Financial Condition and Results of Operations”. Non-GAAP financial measures included herein are segment contribution, EBITDA, adjusted EBITDA, and adjusted selling, general and administrative.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center"/>
        <w:rPr>
          <w:rFonts w:ascii="Arial;sans-serif" w:hAnsi="Arial;sans-serif"/>
          <w:b/>
          <w:color w:val="00416B"/>
          <w:sz w:val="28"/>
        </w:rPr>
      </w:pPr>
      <w:r>
        <w:rPr>
          <w:rFonts w:ascii="Arial;sans-serif" w:hAnsi="Arial;sans-serif"/>
          <w:b/>
          <w:color w:val="00416B"/>
          <w:sz w:val="28"/>
        </w:rPr>
        <w:t>Index to Management’s Discussion and Analysis of Financial Condition and Results of Operations</w:t>
      </w:r>
    </w:p>
    <w:tbl>
      <w:tblPr>
        <w:tblW w:w="4993" w:type="dxa"/>
        <w:jc w:val="left"/>
        <w:tblInd w:w="0" w:type="dxa"/>
        <w:tblLayout w:type="fixed"/>
        <w:tblCellMar>
          <w:top w:w="28" w:type="dxa"/>
          <w:left w:w="28" w:type="dxa"/>
          <w:bottom w:w="28" w:type="dxa"/>
          <w:right w:w="28" w:type="dxa"/>
        </w:tblCellMar>
      </w:tblPr>
      <w:tblGrid>
        <w:gridCol w:w="1467"/>
        <w:gridCol w:w="1287"/>
        <w:gridCol w:w="1296"/>
        <w:gridCol w:w="109"/>
        <w:gridCol w:w="109"/>
        <w:gridCol w:w="109"/>
        <w:gridCol w:w="180"/>
        <w:gridCol w:w="180"/>
        <w:gridCol w:w="256"/>
      </w:tblGrid>
      <w:tr>
        <w:trPr/>
        <w:tc>
          <w:tcPr>
            <w:tcW w:w="146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6098"/>
                <w:sz w:val="20"/>
              </w:rPr>
            </w:pPr>
            <w:r>
              <w:rPr>
                <w:rFonts w:ascii="Arial;sans-serif" w:hAnsi="Arial;sans-serif"/>
                <w:b/>
                <w:color w:val="006098"/>
                <w:sz w:val="20"/>
              </w:rPr>
              <w:t>Section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6098"/>
                <w:sz w:val="20"/>
              </w:rPr>
            </w:pPr>
            <w:r>
              <w:rPr>
                <w:rFonts w:ascii="Arial;sans-serif" w:hAnsi="Arial;sans-serif"/>
                <w:b/>
                <w:color w:val="006098"/>
                <w:sz w:val="20"/>
              </w:rPr>
              <w:t>Page</w:t>
            </w:r>
          </w:p>
        </w:tc>
      </w:tr>
      <w:tr>
        <w:trPr/>
        <w:tc>
          <w:tcPr>
            <w:tcW w:w="4050"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left"/>
              <w:rPr/>
            </w:pPr>
            <w:hyperlink w:anchor="i901a725797c944a19267b6f140f14c09_436">
              <w:r>
                <w:rPr>
                  <w:rStyle w:val="InternetLink"/>
                  <w:rFonts w:ascii="Arial;sans-serif" w:hAnsi="Arial;sans-serif"/>
                  <w:b w:val="false"/>
                  <w:strike w:val="false"/>
                  <w:dstrike w:val="false"/>
                  <w:color w:val="000000"/>
                  <w:sz w:val="20"/>
                  <w:u w:val="none"/>
                  <w:effect w:val="none"/>
                </w:rPr>
                <w:t>Overview</w:t>
              </w:r>
            </w:hyperlink>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center"/>
              <w:rPr/>
            </w:pPr>
            <w:hyperlink w:anchor="i901a725797c944a19267b6f140f14c09_436">
              <w:r>
                <w:rPr>
                  <w:rStyle w:val="InternetLink"/>
                  <w:rFonts w:ascii="Arial;sans-serif" w:hAnsi="Arial;sans-serif"/>
                  <w:b w:val="false"/>
                  <w:strike w:val="false"/>
                  <w:dstrike w:val="false"/>
                  <w:color w:val="000000"/>
                  <w:sz w:val="20"/>
                  <w:u w:val="none"/>
                  <w:effect w:val="none"/>
                </w:rPr>
                <w:t>31</w:t>
              </w:r>
            </w:hyperlink>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901a725797c944a19267b6f140f14c09_442">
              <w:r>
                <w:rPr>
                  <w:rStyle w:val="InternetLink"/>
                  <w:rFonts w:ascii="Arial;sans-serif" w:hAnsi="Arial;sans-serif"/>
                  <w:b w:val="false"/>
                  <w:strike w:val="false"/>
                  <w:dstrike w:val="false"/>
                  <w:color w:val="000000"/>
                  <w:sz w:val="20"/>
                  <w:u w:val="none"/>
                  <w:effect w:val="none"/>
                </w:rPr>
                <w:t>Impact of Global Events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901a725797c944a19267b6f140f14c09_442">
              <w:r>
                <w:rPr>
                  <w:rStyle w:val="InternetLink"/>
                  <w:rFonts w:ascii="Arial;sans-serif" w:hAnsi="Arial;sans-serif"/>
                  <w:b w:val="false"/>
                  <w:strike w:val="false"/>
                  <w:dstrike w:val="false"/>
                  <w:color w:val="000000"/>
                  <w:sz w:val="20"/>
                  <w:u w:val="none"/>
                  <w:effect w:val="none"/>
                </w:rPr>
                <w:t>31</w:t>
              </w:r>
            </w:hyperlink>
          </w:p>
        </w:tc>
      </w:tr>
      <w:tr>
        <w:trPr/>
        <w:tc>
          <w:tcPr>
            <w:tcW w:w="4050"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pPr>
            <w:hyperlink w:anchor="i901a725797c944a19267b6f140f14c09_448">
              <w:r>
                <w:rPr>
                  <w:rStyle w:val="InternetLink"/>
                  <w:rFonts w:ascii="Arial;sans-serif" w:hAnsi="Arial;sans-serif"/>
                  <w:b w:val="false"/>
                  <w:strike w:val="false"/>
                  <w:dstrike w:val="false"/>
                  <w:color w:val="000000"/>
                  <w:sz w:val="20"/>
                  <w:u w:val="none"/>
                  <w:effect w:val="none"/>
                </w:rPr>
                <w:t>Results of Operations</w:t>
              </w:r>
            </w:hyperlink>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rPr/>
            </w:pPr>
            <w:hyperlink w:anchor="i901a725797c944a19267b6f140f14c09_448">
              <w:r>
                <w:rPr>
                  <w:rStyle w:val="InternetLink"/>
                  <w:rFonts w:ascii="Arial;sans-serif" w:hAnsi="Arial;sans-serif"/>
                  <w:b w:val="false"/>
                  <w:strike w:val="false"/>
                  <w:dstrike w:val="false"/>
                  <w:color w:val="000000"/>
                  <w:sz w:val="20"/>
                  <w:u w:val="none"/>
                  <w:effect w:val="none"/>
                </w:rPr>
                <w:t>32</w:t>
              </w:r>
            </w:hyperlink>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901a725797c944a19267b6f140f14c09_451">
              <w:r>
                <w:rPr>
                  <w:rStyle w:val="InternetLink"/>
                  <w:rFonts w:ascii="Arial;sans-serif" w:hAnsi="Arial;sans-serif"/>
                  <w:b w:val="false"/>
                  <w:strike w:val="false"/>
                  <w:dstrike w:val="false"/>
                  <w:color w:val="000000"/>
                  <w:sz w:val="20"/>
                  <w:u w:val="none"/>
                  <w:effect w:val="none"/>
                </w:rPr>
                <w:t>Key Performance Indicators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901a725797c944a19267b6f140f14c09_451">
              <w:r>
                <w:rPr>
                  <w:rStyle w:val="InternetLink"/>
                  <w:rFonts w:ascii="Arial;sans-serif" w:hAnsi="Arial;sans-serif"/>
                  <w:b w:val="false"/>
                  <w:strike w:val="false"/>
                  <w:dstrike w:val="false"/>
                  <w:color w:val="000000"/>
                  <w:sz w:val="20"/>
                  <w:u w:val="none"/>
                  <w:effect w:val="none"/>
                </w:rPr>
                <w:t>33</w:t>
              </w:r>
            </w:hyperlink>
          </w:p>
        </w:tc>
      </w:tr>
      <w:tr>
        <w:trPr/>
        <w:tc>
          <w:tcPr>
            <w:tcW w:w="4050"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pPr>
            <w:hyperlink w:anchor="i901a725797c944a19267b6f140f14c09_454">
              <w:r>
                <w:rPr>
                  <w:rStyle w:val="InternetLink"/>
                  <w:rFonts w:ascii="Arial;sans-serif" w:hAnsi="Arial;sans-serif"/>
                  <w:b w:val="false"/>
                  <w:strike w:val="false"/>
                  <w:dstrike w:val="false"/>
                  <w:color w:val="000000"/>
                  <w:sz w:val="20"/>
                  <w:u w:val="none"/>
                  <w:effect w:val="none"/>
                </w:rPr>
                <w:t>Company-operated Shops Results</w:t>
              </w:r>
            </w:hyperlink>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rPr/>
            </w:pPr>
            <w:hyperlink w:anchor="i901a725797c944a19267b6f140f14c09_454">
              <w:r>
                <w:rPr>
                  <w:rStyle w:val="InternetLink"/>
                  <w:rFonts w:ascii="Arial;sans-serif" w:hAnsi="Arial;sans-serif"/>
                  <w:b w:val="false"/>
                  <w:strike w:val="false"/>
                  <w:dstrike w:val="false"/>
                  <w:color w:val="000000"/>
                  <w:sz w:val="20"/>
                  <w:u w:val="none"/>
                  <w:effect w:val="none"/>
                </w:rPr>
                <w:t>35</w:t>
              </w:r>
            </w:hyperlink>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901a725797c944a19267b6f140f14c09_535">
              <w:r>
                <w:rPr>
                  <w:rStyle w:val="InternetLink"/>
                  <w:rFonts w:ascii="Arial;sans-serif" w:hAnsi="Arial;sans-serif"/>
                  <w:b w:val="false"/>
                  <w:strike w:val="false"/>
                  <w:dstrike w:val="false"/>
                  <w:color w:val="000000"/>
                  <w:sz w:val="20"/>
                  <w:u w:val="none"/>
                  <w:effect w:val="none"/>
                </w:rPr>
                <w:t>Franchising and Other Segment Performance</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901a725797c944a19267b6f140f14c09_535">
              <w:r>
                <w:rPr>
                  <w:rStyle w:val="InternetLink"/>
                  <w:rFonts w:ascii="Arial;sans-serif" w:hAnsi="Arial;sans-serif"/>
                  <w:b w:val="false"/>
                  <w:strike w:val="false"/>
                  <w:dstrike w:val="false"/>
                  <w:color w:val="000000"/>
                  <w:sz w:val="20"/>
                  <w:u w:val="none"/>
                  <w:effect w:val="none"/>
                </w:rPr>
                <w:t>37</w:t>
              </w:r>
            </w:hyperlink>
          </w:p>
        </w:tc>
      </w:tr>
      <w:tr>
        <w:trPr/>
        <w:tc>
          <w:tcPr>
            <w:tcW w:w="4050"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pPr>
            <w:hyperlink w:anchor="i901a725797c944a19267b6f140f14c09_550">
              <w:r>
                <w:rPr>
                  <w:rStyle w:val="InternetLink"/>
                  <w:rFonts w:ascii="Arial;sans-serif" w:hAnsi="Arial;sans-serif"/>
                  <w:b w:val="false"/>
                  <w:strike w:val="false"/>
                  <w:dstrike w:val="false"/>
                  <w:color w:val="000000"/>
                  <w:sz w:val="20"/>
                  <w:u w:val="none"/>
                  <w:effect w:val="none"/>
                </w:rPr>
                <w:t>Selling, General, and Administrative</w:t>
              </w:r>
            </w:hyperlink>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rPr/>
            </w:pPr>
            <w:hyperlink w:anchor="i901a725797c944a19267b6f140f14c09_550">
              <w:r>
                <w:rPr>
                  <w:rStyle w:val="InternetLink"/>
                  <w:rFonts w:ascii="Arial;sans-serif" w:hAnsi="Arial;sans-serif"/>
                  <w:b w:val="false"/>
                  <w:strike w:val="false"/>
                  <w:dstrike w:val="false"/>
                  <w:color w:val="000000"/>
                  <w:sz w:val="20"/>
                  <w:u w:val="none"/>
                  <w:effect w:val="none"/>
                </w:rPr>
                <w:t>38</w:t>
              </w:r>
            </w:hyperlink>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901a725797c944a19267b6f140f14c09_559">
              <w:r>
                <w:rPr>
                  <w:rStyle w:val="InternetLink"/>
                  <w:rFonts w:ascii="Arial;sans-serif" w:hAnsi="Arial;sans-serif"/>
                  <w:b w:val="false"/>
                  <w:strike w:val="false"/>
                  <w:dstrike w:val="false"/>
                  <w:color w:val="000000"/>
                  <w:sz w:val="20"/>
                  <w:u w:val="none"/>
                  <w:effect w:val="none"/>
                </w:rPr>
                <w:t>Other Expense</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901a725797c944a19267b6f140f14c09_559">
              <w:r>
                <w:rPr>
                  <w:rStyle w:val="InternetLink"/>
                  <w:rFonts w:ascii="Arial;sans-serif" w:hAnsi="Arial;sans-serif"/>
                  <w:b w:val="false"/>
                  <w:strike w:val="false"/>
                  <w:dstrike w:val="false"/>
                  <w:color w:val="000000"/>
                  <w:sz w:val="20"/>
                  <w:u w:val="none"/>
                  <w:effect w:val="none"/>
                </w:rPr>
                <w:t>38</w:t>
              </w:r>
            </w:hyperlink>
          </w:p>
        </w:tc>
      </w:tr>
      <w:tr>
        <w:trPr/>
        <w:tc>
          <w:tcPr>
            <w:tcW w:w="4050"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pPr>
            <w:hyperlink w:anchor="i901a725797c944a19267b6f140f14c09_571">
              <w:r>
                <w:rPr>
                  <w:rStyle w:val="InternetLink"/>
                  <w:rFonts w:ascii="Arial;sans-serif" w:hAnsi="Arial;sans-serif"/>
                  <w:b w:val="false"/>
                  <w:strike w:val="false"/>
                  <w:dstrike w:val="false"/>
                  <w:color w:val="000000"/>
                  <w:sz w:val="20"/>
                  <w:u w:val="none"/>
                  <w:effect w:val="none"/>
                </w:rPr>
                <w:t>Income Tax Expense</w:t>
              </w:r>
            </w:hyperlink>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rPr/>
            </w:pPr>
            <w:hyperlink w:anchor="i901a725797c944a19267b6f140f14c09_571">
              <w:r>
                <w:rPr>
                  <w:rStyle w:val="InternetLink"/>
                  <w:rFonts w:ascii="Arial;sans-serif" w:hAnsi="Arial;sans-serif"/>
                  <w:b w:val="false"/>
                  <w:strike w:val="false"/>
                  <w:dstrike w:val="false"/>
                  <w:color w:val="000000"/>
                  <w:sz w:val="20"/>
                  <w:u w:val="none"/>
                  <w:effect w:val="none"/>
                </w:rPr>
                <w:t>38</w:t>
              </w:r>
            </w:hyperlink>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901a725797c944a19267b6f140f14c09_583">
              <w:r>
                <w:rPr>
                  <w:rStyle w:val="InternetLink"/>
                  <w:rFonts w:ascii="Arial;sans-serif" w:hAnsi="Arial;sans-serif"/>
                  <w:b w:val="false"/>
                  <w:strike w:val="false"/>
                  <w:dstrike w:val="false"/>
                  <w:color w:val="000000"/>
                  <w:sz w:val="20"/>
                  <w:u w:val="none"/>
                  <w:effect w:val="none"/>
                </w:rPr>
                <w:t>Liquidity and Capital Resources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901a725797c944a19267b6f140f14c09_583">
              <w:r>
                <w:rPr>
                  <w:rStyle w:val="InternetLink"/>
                  <w:rFonts w:ascii="Arial;sans-serif" w:hAnsi="Arial;sans-serif"/>
                  <w:b w:val="false"/>
                  <w:strike w:val="false"/>
                  <w:dstrike w:val="false"/>
                  <w:color w:val="000000"/>
                  <w:sz w:val="20"/>
                  <w:u w:val="none"/>
                  <w:effect w:val="none"/>
                </w:rPr>
                <w:t>39</w:t>
              </w:r>
            </w:hyperlink>
          </w:p>
        </w:tc>
      </w:tr>
      <w:tr>
        <w:trPr/>
        <w:tc>
          <w:tcPr>
            <w:tcW w:w="4050"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pPr>
            <w:hyperlink w:anchor="i901a725797c944a19267b6f140f14c09_625">
              <w:r>
                <w:rPr>
                  <w:rStyle w:val="InternetLink"/>
                  <w:rFonts w:ascii="Arial;sans-serif" w:hAnsi="Arial;sans-serif"/>
                  <w:b w:val="false"/>
                  <w:strike w:val="false"/>
                  <w:dstrike w:val="false"/>
                  <w:color w:val="000000"/>
                  <w:sz w:val="20"/>
                  <w:u w:val="none"/>
                  <w:effect w:val="none"/>
                </w:rPr>
                <w:t>Non-GAAP Financial Measures</w:t>
              </w:r>
            </w:hyperlink>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rPr/>
            </w:pPr>
            <w:hyperlink w:anchor="i901a725797c944a19267b6f140f14c09_625">
              <w:r>
                <w:rPr>
                  <w:rStyle w:val="InternetLink"/>
                  <w:rFonts w:ascii="Arial;sans-serif" w:hAnsi="Arial;sans-serif"/>
                  <w:b w:val="false"/>
                  <w:strike w:val="false"/>
                  <w:dstrike w:val="false"/>
                  <w:color w:val="000000"/>
                  <w:sz w:val="20"/>
                  <w:u w:val="none"/>
                  <w:effect w:val="none"/>
                </w:rPr>
                <w:t>40</w:t>
              </w:r>
            </w:hyperlink>
          </w:p>
        </w:tc>
      </w:tr>
    </w:tbl>
    <w:p>
      <w:pPr>
        <w:pStyle w:val="TextBody"/>
        <w:bidi w:val="0"/>
        <w:spacing w:before="0" w:after="180"/>
        <w:jc w:val="both"/>
        <w:rPr/>
      </w:pPr>
      <w:r>
        <w:rPr/>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63220"/>
                <wp:effectExtent l="0" t="0" r="0" b="0"/>
                <wp:wrapNone/>
                <wp:docPr id="92" name="Frame32"/>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93"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32" descr=""/>
                                          <pic:cNvPicPr>
                                            <a:picLocks noChangeAspect="1" noChangeArrowheads="1"/>
                                          </pic:cNvPicPr>
                                        </pic:nvPicPr>
                                        <pic:blipFill>
                                          <a:blip r:embed="rId62"/>
                                          <a:stretch>
                                            <a:fillRect/>
                                          </a:stretch>
                                        </pic:blipFill>
                                        <pic:spPr bwMode="auto">
                                          <a:xfrm>
                                            <a:off x="0" y="0"/>
                                            <a:ext cx="190500" cy="266700"/>
                                          </a:xfrm>
                                          <a:prstGeom prst="rect">
                                            <a:avLst/>
                                          </a:prstGeom>
                                        </pic:spPr>
                                      </pic:pic>
                                    </a:graphicData>
                                  </a:graphic>
                                </wp:inline>
                              </w:drawing>
                            </w:r>
                            <w:bookmarkStart w:id="60" w:name="i-32"/>
                            <w:bookmarkEnd w:id="60"/>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94"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32" descr=""/>
                                    <pic:cNvPicPr>
                                      <a:picLocks noChangeAspect="1" noChangeArrowheads="1"/>
                                    </pic:cNvPicPr>
                                  </pic:nvPicPr>
                                  <pic:blipFill>
                                    <a:blip r:embed="rId63"/>
                                    <a:stretch>
                                      <a:fillRect/>
                                    </a:stretch>
                                  </pic:blipFill>
                                  <pic:spPr bwMode="auto">
                                    <a:xfrm>
                                      <a:off x="0" y="0"/>
                                      <a:ext cx="190500" cy="266700"/>
                                    </a:xfrm>
                                    <a:prstGeom prst="rect">
                                      <a:avLst/>
                                    </a:prstGeom>
                                  </pic:spPr>
                                </pic:pic>
                              </a:graphicData>
                            </a:graphic>
                          </wp:inline>
                        </w:drawing>
                      </w:r>
                      <w:bookmarkStart w:id="61" w:name="i-32"/>
                      <w:bookmarkEnd w:id="61"/>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30</w:t>
                      </w:r>
                    </w:p>
                  </w:txbxContent>
                </v:textbox>
                <w10:wrap type="none"/>
              </v:rect>
            </w:pict>
          </mc:Fallback>
        </mc:AlternateContent>
      </w:r>
    </w:p>
    <w:p>
      <w:pPr>
        <w:pStyle w:val="TextBody"/>
        <w:bidi w:val="0"/>
        <w:spacing w:lineRule="auto" w:line="288" w:before="0" w:after="180"/>
        <w:jc w:val="both"/>
        <w:rPr/>
      </w:pPr>
      <w:hyperlink w:anchor="i901a725797c944a19267b6f140f14c09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Overview</w:t>
      </w:r>
    </w:p>
    <w:p>
      <w:pPr>
        <w:pStyle w:val="TextBody"/>
        <w:bidi w:val="0"/>
        <w:spacing w:lineRule="auto" w:line="288" w:before="0" w:after="180"/>
        <w:jc w:val="both"/>
        <w:rPr/>
      </w:pPr>
      <w:r>
        <w:rPr>
          <w:rFonts w:ascii="Arial;sans-serif" w:hAnsi="Arial;sans-serif"/>
          <w:b w:val="false"/>
          <w:color w:val="131E29"/>
          <w:sz w:val="20"/>
        </w:rPr>
        <w:t>Dutch Bros Inc. (NYSE: BROS) is a fun-loving, mind-blowing drive-thru specialty beverage leader dedicated to making a massive difference, one cup at a time. It was founded in Grants Pass, Oregon, in 1992 and now shares its vibrant culture and fully customizable drinks at 1,225 locations as of June 30, 2026. Dutch Bros serves a wide variety of unique, handcrafted beverages such as its exclusive Dutch Bros Rebel</w:t>
      </w:r>
      <w:r>
        <w:rPr>
          <w:rFonts w:ascii="Arial;sans-serif" w:hAnsi="Arial;sans-serif"/>
          <w:b w:val="false"/>
          <w:color w:val="131E29"/>
          <w:sz w:val="13"/>
        </w:rPr>
        <w:t xml:space="preserve">® </w:t>
      </w:r>
      <w:r>
        <w:rPr>
          <w:rFonts w:ascii="Arial;sans-serif" w:hAnsi="Arial;sans-serif"/>
          <w:b w:val="false"/>
          <w:color w:val="131E29"/>
          <w:sz w:val="20"/>
        </w:rPr>
        <w:t>energy drink, Myst Energy Refresher</w:t>
      </w:r>
      <w:r>
        <w:rPr>
          <w:rFonts w:ascii="Arial;sans-serif" w:hAnsi="Arial;sans-serif"/>
          <w:b w:val="false"/>
          <w:color w:val="131E29"/>
          <w:sz w:val="13"/>
        </w:rPr>
        <w:t>TM</w:t>
      </w:r>
      <w:r>
        <w:rPr>
          <w:rFonts w:ascii="Arial;sans-serif" w:hAnsi="Arial;sans-serif"/>
          <w:b w:val="false"/>
          <w:color w:val="131E29"/>
          <w:sz w:val="20"/>
        </w:rPr>
        <w:t>, specialty coffee, nitrogen-infused cold brew, tea, lemonade, soda and more.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 xml:space="preserve">Impact of Global Events </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 xml:space="preserve">General Macroeconomic Uncertainties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a retailer that is dependent upon consumer discretionary spending, our results of operations are sensitive to changes in macroeconomic conditions. Inflation or consumer recession concerns, coupled with a rise in the U.S. unemployment rate, may have a material adverse effect on our business, financial condition or results of operations. Our customers may have or in the future may have less money available for discretionary purchases and may reduce or stop purchasing our products.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On a macro level, conditions, including changes in tariffs, tax laws, interest rates, inflation, commodity costs, geopolitical conflicts, and significant weather events, have created significant uncertainty in the global economy. While we are not able to fully predict the potential impacts of these conditions, we do not currently believe any potential impacts of these macroeconomic conditions would be material to our business. </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Minimum Wage Increases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expect pressures from minimum wage increases to continue to affect our operating results in the foreseeable future. Several states that we operate in have increased their minimum wage requirements in recent years. While these pressures have impacted our operating results, we have taken measures to gradually increase our menu prices, adjust our Dutch Rewards loyalty program, and make operating adjustments that increase productivity to help offset them. Menu price increases may lead to decreases in consumer demand. We will continue to evaluate further pricing actions to protect our operating results, however, if there is a time lag between increasing costs and our ability to increase menu prices or take other action in response, or if we choose not to pass on the cost increases by increasing menu prices, our operating results could be negatively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63220"/>
                <wp:effectExtent l="0" t="0" r="0" b="0"/>
                <wp:wrapNone/>
                <wp:docPr id="95" name="Frame33"/>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9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33" descr=""/>
                                          <pic:cNvPicPr>
                                            <a:picLocks noChangeAspect="1" noChangeArrowheads="1"/>
                                          </pic:cNvPicPr>
                                        </pic:nvPicPr>
                                        <pic:blipFill>
                                          <a:blip r:embed="rId64"/>
                                          <a:stretch>
                                            <a:fillRect/>
                                          </a:stretch>
                                        </pic:blipFill>
                                        <pic:spPr bwMode="auto">
                                          <a:xfrm>
                                            <a:off x="0" y="0"/>
                                            <a:ext cx="190500" cy="266700"/>
                                          </a:xfrm>
                                          <a:prstGeom prst="rect">
                                            <a:avLst/>
                                          </a:prstGeom>
                                        </pic:spPr>
                                      </pic:pic>
                                    </a:graphicData>
                                  </a:graphic>
                                </wp:inline>
                              </w:drawing>
                            </w:r>
                            <w:bookmarkStart w:id="62" w:name="i-33"/>
                            <w:bookmarkEnd w:id="62"/>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97"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33" descr=""/>
                                    <pic:cNvPicPr>
                                      <a:picLocks noChangeAspect="1" noChangeArrowheads="1"/>
                                    </pic:cNvPicPr>
                                  </pic:nvPicPr>
                                  <pic:blipFill>
                                    <a:blip r:embed="rId65"/>
                                    <a:stretch>
                                      <a:fillRect/>
                                    </a:stretch>
                                  </pic:blipFill>
                                  <pic:spPr bwMode="auto">
                                    <a:xfrm>
                                      <a:off x="0" y="0"/>
                                      <a:ext cx="190500" cy="266700"/>
                                    </a:xfrm>
                                    <a:prstGeom prst="rect">
                                      <a:avLst/>
                                    </a:prstGeom>
                                  </pic:spPr>
                                </pic:pic>
                              </a:graphicData>
                            </a:graphic>
                          </wp:inline>
                        </w:drawing>
                      </w:r>
                      <w:bookmarkStart w:id="63" w:name="i-33"/>
                      <w:bookmarkEnd w:id="63"/>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31</w:t>
                      </w:r>
                    </w:p>
                  </w:txbxContent>
                </v:textbox>
                <w10:wrap type="none"/>
              </v:rect>
            </w:pict>
          </mc:Fallback>
        </mc:AlternateContent>
      </w:r>
    </w:p>
    <w:p>
      <w:pPr>
        <w:pStyle w:val="TextBody"/>
        <w:bidi w:val="0"/>
        <w:spacing w:lineRule="auto" w:line="288" w:before="0" w:after="180"/>
        <w:jc w:val="both"/>
        <w:rPr/>
      </w:pPr>
      <w:hyperlink w:anchor="i901a725797c944a19267b6f140f14c09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Results of Operations</w:t>
      </w:r>
    </w:p>
    <w:p>
      <w:pPr>
        <w:pStyle w:val="TextBody"/>
        <w:bidi w:val="0"/>
        <w:spacing w:lineRule="auto" w:line="288" w:before="0" w:after="120"/>
        <w:jc w:val="both"/>
        <w:rPr>
          <w:rFonts w:ascii="Arial;sans-serif" w:hAnsi="Arial;sans-serif"/>
          <w:b w:val="false"/>
          <w:color w:val="131E29"/>
          <w:sz w:val="20"/>
        </w:rPr>
      </w:pPr>
      <w:r>
        <w:rPr>
          <w:rFonts w:ascii="Arial;sans-serif" w:hAnsi="Arial;sans-serif"/>
          <w:b w:val="false"/>
          <w:color w:val="131E29"/>
          <w:sz w:val="20"/>
        </w:rPr>
        <w:t xml:space="preserve">As of June 30, 2026, we had 1,225 systemwide shops in 25 states, an increase of approximately 17.4% from the same period in the prior year. For the six months ended June 30, 2026, we generated $1,015.3 million of revenue, $75.3 million of net income, and $0.41 of income per diluted share. We have two reportable operating segments: Company-operated shops and Franchising and other. </w:t>
      </w:r>
    </w:p>
    <w:p>
      <w:pPr>
        <w:pStyle w:val="TextBody"/>
        <w:bidi w:val="0"/>
        <w:spacing w:before="0" w:after="0"/>
        <w:jc w:val="center"/>
        <w:rPr/>
      </w:pPr>
      <w:r>
        <w:rPr/>
        <w:drawing>
          <wp:inline distT="0" distB="0" distL="0" distR="0">
            <wp:extent cx="1905000" cy="2743200"/>
            <wp:effectExtent l="0" t="0" r="0" b="0"/>
            <wp:docPr id="98"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34" descr=""/>
                    <pic:cNvPicPr>
                      <a:picLocks noChangeAspect="1" noChangeArrowheads="1"/>
                    </pic:cNvPicPr>
                  </pic:nvPicPr>
                  <pic:blipFill>
                    <a:blip r:embed="rId66"/>
                    <a:stretch>
                      <a:fillRect/>
                    </a:stretch>
                  </pic:blipFill>
                  <pic:spPr bwMode="auto">
                    <a:xfrm>
                      <a:off x="0" y="0"/>
                      <a:ext cx="1905000" cy="2743200"/>
                    </a:xfrm>
                    <a:prstGeom prst="rect">
                      <a:avLst/>
                    </a:prstGeom>
                  </pic:spPr>
                </pic:pic>
              </a:graphicData>
            </a:graphic>
          </wp:inline>
        </w:drawing>
      </w:r>
      <w:bookmarkStart w:id="64" w:name="i-34"/>
      <w:bookmarkEnd w:id="64"/>
      <w:r>
        <w:rPr/>
        <w:drawing>
          <wp:inline distT="0" distB="0" distL="0" distR="0">
            <wp:extent cx="1905000" cy="2743200"/>
            <wp:effectExtent l="0" t="0" r="0" b="0"/>
            <wp:docPr id="99"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35" descr=""/>
                    <pic:cNvPicPr>
                      <a:picLocks noChangeAspect="1" noChangeArrowheads="1"/>
                    </pic:cNvPicPr>
                  </pic:nvPicPr>
                  <pic:blipFill>
                    <a:blip r:embed="rId67"/>
                    <a:stretch>
                      <a:fillRect/>
                    </a:stretch>
                  </pic:blipFill>
                  <pic:spPr bwMode="auto">
                    <a:xfrm>
                      <a:off x="0" y="0"/>
                      <a:ext cx="1905000" cy="2743200"/>
                    </a:xfrm>
                    <a:prstGeom prst="rect">
                      <a:avLst/>
                    </a:prstGeom>
                  </pic:spPr>
                </pic:pic>
              </a:graphicData>
            </a:graphic>
          </wp:inline>
        </w:drawing>
      </w:r>
      <w:bookmarkStart w:id="65" w:name="i-35"/>
      <w:bookmarkEnd w:id="65"/>
      <w:r>
        <w:rPr/>
        <w:drawing>
          <wp:inline distT="0" distB="0" distL="0" distR="0">
            <wp:extent cx="1905000" cy="2743200"/>
            <wp:effectExtent l="0" t="0" r="0" b="0"/>
            <wp:docPr id="100"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36" descr=""/>
                    <pic:cNvPicPr>
                      <a:picLocks noChangeAspect="1" noChangeArrowheads="1"/>
                    </pic:cNvPicPr>
                  </pic:nvPicPr>
                  <pic:blipFill>
                    <a:blip r:embed="rId68"/>
                    <a:stretch>
                      <a:fillRect/>
                    </a:stretch>
                  </pic:blipFill>
                  <pic:spPr bwMode="auto">
                    <a:xfrm>
                      <a:off x="0" y="0"/>
                      <a:ext cx="1905000" cy="2743200"/>
                    </a:xfrm>
                    <a:prstGeom prst="rect">
                      <a:avLst/>
                    </a:prstGeom>
                  </pic:spPr>
                </pic:pic>
              </a:graphicData>
            </a:graphic>
          </wp:inline>
        </w:drawing>
      </w:r>
      <w:bookmarkStart w:id="66" w:name="i-36"/>
      <w:bookmarkEnd w:id="66"/>
    </w:p>
    <w:p>
      <w:pPr>
        <w:pStyle w:val="TextBody"/>
        <w:bidi w:val="0"/>
        <w:spacing w:before="0" w:after="180"/>
        <w:jc w:val="center"/>
        <w:rPr/>
      </w:pPr>
      <w:r>
        <w:rPr/>
        <w:drawing>
          <wp:inline distT="0" distB="0" distL="0" distR="0">
            <wp:extent cx="2466975" cy="2552700"/>
            <wp:effectExtent l="0" t="0" r="0" b="0"/>
            <wp:docPr id="101"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37" descr=""/>
                    <pic:cNvPicPr>
                      <a:picLocks noChangeAspect="1" noChangeArrowheads="1"/>
                    </pic:cNvPicPr>
                  </pic:nvPicPr>
                  <pic:blipFill>
                    <a:blip r:embed="rId69"/>
                    <a:stretch>
                      <a:fillRect/>
                    </a:stretch>
                  </pic:blipFill>
                  <pic:spPr bwMode="auto">
                    <a:xfrm>
                      <a:off x="0" y="0"/>
                      <a:ext cx="2466975" cy="2552700"/>
                    </a:xfrm>
                    <a:prstGeom prst="rect">
                      <a:avLst/>
                    </a:prstGeom>
                  </pic:spPr>
                </pic:pic>
              </a:graphicData>
            </a:graphic>
          </wp:inline>
        </w:drawing>
      </w:r>
      <w:bookmarkStart w:id="67" w:name="i-37"/>
      <w:bookmarkEnd w:id="67"/>
      <w:r>
        <w:rPr/>
        <w:drawing>
          <wp:inline distT="0" distB="0" distL="0" distR="0">
            <wp:extent cx="2466975" cy="2552700"/>
            <wp:effectExtent l="0" t="0" r="0" b="0"/>
            <wp:docPr id="102"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38" descr=""/>
                    <pic:cNvPicPr>
                      <a:picLocks noChangeAspect="1" noChangeArrowheads="1"/>
                    </pic:cNvPicPr>
                  </pic:nvPicPr>
                  <pic:blipFill>
                    <a:blip r:embed="rId70"/>
                    <a:stretch>
                      <a:fillRect/>
                    </a:stretch>
                  </pic:blipFill>
                  <pic:spPr bwMode="auto">
                    <a:xfrm>
                      <a:off x="0" y="0"/>
                      <a:ext cx="2466975" cy="2552700"/>
                    </a:xfrm>
                    <a:prstGeom prst="rect">
                      <a:avLst/>
                    </a:prstGeom>
                  </pic:spPr>
                </pic:pic>
              </a:graphicData>
            </a:graphic>
          </wp:inline>
        </w:drawing>
      </w:r>
      <w:bookmarkStart w:id="68" w:name="i-38"/>
      <w:bookmarkEnd w:id="68"/>
    </w:p>
    <w:p>
      <w:pPr>
        <w:pStyle w:val="TextBody"/>
        <w:bidi w:val="0"/>
        <w:spacing w:before="0" w:after="60"/>
        <w:jc w:val="left"/>
        <w:rPr/>
      </w:pPr>
      <w:r>
        <w:rPr/>
      </w:r>
    </w:p>
    <w:tbl>
      <w:tblPr>
        <w:tblW w:w="4457"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274"/>
        <w:gridCol w:w="274"/>
        <w:gridCol w:w="727"/>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 vs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Increase in total shops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17.4 </w:t>
            </w:r>
          </w:p>
        </w:tc>
        <w:tc>
          <w:tcPr>
            <w:tcW w:w="727"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Increase in 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31.7 </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63220"/>
                <wp:effectExtent l="0" t="0" r="0" b="0"/>
                <wp:wrapNone/>
                <wp:docPr id="103" name="Frame34"/>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04"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39" descr=""/>
                                          <pic:cNvPicPr>
                                            <a:picLocks noChangeAspect="1" noChangeArrowheads="1"/>
                                          </pic:cNvPicPr>
                                        </pic:nvPicPr>
                                        <pic:blipFill>
                                          <a:blip r:embed="rId71"/>
                                          <a:stretch>
                                            <a:fillRect/>
                                          </a:stretch>
                                        </pic:blipFill>
                                        <pic:spPr bwMode="auto">
                                          <a:xfrm>
                                            <a:off x="0" y="0"/>
                                            <a:ext cx="190500" cy="266700"/>
                                          </a:xfrm>
                                          <a:prstGeom prst="rect">
                                            <a:avLst/>
                                          </a:prstGeom>
                                        </pic:spPr>
                                      </pic:pic>
                                    </a:graphicData>
                                  </a:graphic>
                                </wp:inline>
                              </w:drawing>
                            </w:r>
                            <w:bookmarkStart w:id="69" w:name="i-39"/>
                            <w:bookmarkEnd w:id="69"/>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05"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39" descr=""/>
                                    <pic:cNvPicPr>
                                      <a:picLocks noChangeAspect="1" noChangeArrowheads="1"/>
                                    </pic:cNvPicPr>
                                  </pic:nvPicPr>
                                  <pic:blipFill>
                                    <a:blip r:embed="rId72"/>
                                    <a:stretch>
                                      <a:fillRect/>
                                    </a:stretch>
                                  </pic:blipFill>
                                  <pic:spPr bwMode="auto">
                                    <a:xfrm>
                                      <a:off x="0" y="0"/>
                                      <a:ext cx="190500" cy="266700"/>
                                    </a:xfrm>
                                    <a:prstGeom prst="rect">
                                      <a:avLst/>
                                    </a:prstGeom>
                                  </pic:spPr>
                                </pic:pic>
                              </a:graphicData>
                            </a:graphic>
                          </wp:inline>
                        </w:drawing>
                      </w:r>
                      <w:bookmarkStart w:id="70" w:name="i-39"/>
                      <w:bookmarkEnd w:id="70"/>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32</w:t>
                      </w:r>
                    </w:p>
                  </w:txbxContent>
                </v:textbox>
                <w10:wrap type="none"/>
              </v:rect>
            </w:pict>
          </mc:Fallback>
        </mc:AlternateContent>
      </w:r>
    </w:p>
    <w:p>
      <w:pPr>
        <w:pStyle w:val="TextBody"/>
        <w:bidi w:val="0"/>
        <w:spacing w:lineRule="auto" w:line="288" w:before="0" w:after="180"/>
        <w:jc w:val="both"/>
        <w:rPr/>
      </w:pPr>
      <w:hyperlink w:anchor="i901a725797c944a19267b6f140f14c09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 xml:space="preserve">Key Performance Indicators </w:t>
      </w:r>
    </w:p>
    <w:p>
      <w:pPr>
        <w:pStyle w:val="TextBody"/>
        <w:bidi w:val="0"/>
        <w:spacing w:lineRule="auto" w:line="288" w:before="0" w:after="0"/>
        <w:jc w:val="both"/>
        <w:rPr>
          <w:rFonts w:ascii="Arial;sans-serif" w:hAnsi="Arial;sans-serif"/>
          <w:b w:val="false"/>
          <w:color w:val="131E29"/>
          <w:sz w:val="20"/>
        </w:rPr>
      </w:pPr>
      <w:r>
        <w:rPr>
          <w:rFonts w:ascii="Arial;sans-serif" w:hAnsi="Arial;sans-serif"/>
          <w:b w:val="false"/>
          <w:color w:val="131E29"/>
          <w:sz w:val="20"/>
        </w:rPr>
        <w:t>The key performance indicators that we use to effectively manage and evaluate our business are as follows:</w:t>
      </w:r>
    </w:p>
    <w:tbl>
      <w:tblPr>
        <w:tblW w:w="10205" w:type="dxa"/>
        <w:jc w:val="left"/>
        <w:tblInd w:w="0" w:type="dxa"/>
        <w:tblLayout w:type="fixed"/>
        <w:tblCellMar>
          <w:top w:w="28" w:type="dxa"/>
          <w:left w:w="28" w:type="dxa"/>
          <w:bottom w:w="28" w:type="dxa"/>
          <w:right w:w="28" w:type="dxa"/>
        </w:tblCellMar>
      </w:tblPr>
      <w:tblGrid>
        <w:gridCol w:w="1419"/>
        <w:gridCol w:w="739"/>
        <w:gridCol w:w="732"/>
        <w:gridCol w:w="109"/>
        <w:gridCol w:w="109"/>
        <w:gridCol w:w="109"/>
        <w:gridCol w:w="211"/>
        <w:gridCol w:w="856"/>
        <w:gridCol w:w="286"/>
        <w:gridCol w:w="109"/>
        <w:gridCol w:w="109"/>
        <w:gridCol w:w="109"/>
        <w:gridCol w:w="211"/>
        <w:gridCol w:w="856"/>
        <w:gridCol w:w="286"/>
        <w:gridCol w:w="109"/>
        <w:gridCol w:w="109"/>
        <w:gridCol w:w="109"/>
        <w:gridCol w:w="211"/>
        <w:gridCol w:w="1021"/>
        <w:gridCol w:w="286"/>
        <w:gridCol w:w="109"/>
        <w:gridCol w:w="109"/>
        <w:gridCol w:w="109"/>
        <w:gridCol w:w="211"/>
        <w:gridCol w:w="1021"/>
        <w:gridCol w:w="286"/>
        <w:gridCol w:w="109"/>
        <w:gridCol w:w="156"/>
      </w:tblGrid>
      <w:tr>
        <w:trPr/>
        <w:tc>
          <w:tcPr>
            <w:tcW w:w="141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Six Months Ended June 30,</w:t>
            </w:r>
          </w:p>
        </w:tc>
        <w:tc>
          <w:tcPr>
            <w:tcW w:w="265" w:type="dxa"/>
            <w:gridSpan w:val="2"/>
            <w:tcBorders/>
          </w:tcPr>
          <w:p>
            <w:pPr>
              <w:pStyle w:val="TableContents"/>
              <w:bidi w:val="0"/>
              <w:spacing w:before="0" w:after="283"/>
              <w:jc w:val="left"/>
              <w:rPr>
                <w:sz w:val="4"/>
                <w:szCs w:val="4"/>
              </w:rPr>
            </w:pPr>
            <w:r>
              <w:rPr>
                <w:sz w:val="4"/>
                <w:szCs w:val="4"/>
              </w:rPr>
            </w:r>
          </w:p>
        </w:tc>
      </w:tr>
      <w:tr>
        <w:trPr/>
        <w:tc>
          <w:tcPr>
            <w:tcW w:w="289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(dollars 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Shop count, beginning of period</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844 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695 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811 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670 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Franchised</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333 </w:t>
            </w:r>
          </w:p>
        </w:tc>
        <w:tc>
          <w:tcPr>
            <w:tcW w:w="28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317 </w:t>
            </w:r>
          </w:p>
        </w:tc>
        <w:tc>
          <w:tcPr>
            <w:tcW w:w="28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325 </w:t>
            </w:r>
          </w:p>
        </w:tc>
        <w:tc>
          <w:tcPr>
            <w:tcW w:w="28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312 </w:t>
            </w:r>
          </w:p>
        </w:tc>
        <w:tc>
          <w:tcPr>
            <w:tcW w:w="28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Total shop 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1,177</w:t>
            </w:r>
            <w:r>
              <w:rPr>
                <w:color w:val="006098"/>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1,012 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1,136</w:t>
            </w:r>
            <w:r>
              <w:rPr>
                <w:color w:val="006098"/>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1E29"/>
                <w:sz w:val="20"/>
              </w:rPr>
              <w:t>982</w:t>
            </w:r>
            <w:r>
              <w:rPr>
                <w:color w:val="131E29"/>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 new openings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30 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77 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55 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Franchised new openings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4 </w:t>
            </w:r>
          </w:p>
        </w:tc>
        <w:tc>
          <w:tcPr>
            <w:tcW w:w="28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1 </w:t>
            </w:r>
          </w:p>
        </w:tc>
        <w:tc>
          <w:tcPr>
            <w:tcW w:w="28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12 </w:t>
            </w:r>
          </w:p>
        </w:tc>
        <w:tc>
          <w:tcPr>
            <w:tcW w:w="28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6 </w:t>
            </w:r>
          </w:p>
        </w:tc>
        <w:tc>
          <w:tcPr>
            <w:tcW w:w="28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Shop count, end of period</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888 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725 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888 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725 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Franchised</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337 </w:t>
            </w:r>
          </w:p>
        </w:tc>
        <w:tc>
          <w:tcPr>
            <w:tcW w:w="28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318 </w:t>
            </w:r>
          </w:p>
        </w:tc>
        <w:tc>
          <w:tcPr>
            <w:tcW w:w="28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337 </w:t>
            </w:r>
          </w:p>
        </w:tc>
        <w:tc>
          <w:tcPr>
            <w:tcW w:w="28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318 </w:t>
            </w:r>
          </w:p>
        </w:tc>
        <w:tc>
          <w:tcPr>
            <w:tcW w:w="28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Total shop 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1,225</w:t>
            </w:r>
            <w:r>
              <w:rPr>
                <w:color w:val="006098"/>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1,043 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1,225</w:t>
            </w:r>
            <w:r>
              <w:rPr>
                <w:color w:val="006098"/>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1E29"/>
                <w:sz w:val="20"/>
              </w:rPr>
              <w:t>1,043</w:t>
            </w:r>
            <w:r>
              <w:rPr>
                <w:color w:val="131E29"/>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131E29"/>
                <w:sz w:val="20"/>
              </w:rPr>
              <w:t xml:space="preserve">Systemwide AUV </w:t>
            </w:r>
            <w:r>
              <w:rPr>
                <w:rFonts w:ascii="Arial;sans-serif" w:hAnsi="Arial;sans-serif"/>
                <w:b w:val="false"/>
                <w:color w:val="131E29"/>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2,193 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31E29"/>
                <w:sz w:val="20"/>
              </w:rPr>
            </w:pPr>
            <w:r>
              <w:rPr>
                <w:rFonts w:ascii="Arial;sans-serif" w:hAnsi="Arial;sans-serif"/>
                <w:b w:val="false"/>
                <w:color w:val="131E29"/>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2,053 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131E29"/>
                <w:sz w:val="20"/>
              </w:rPr>
              <w:t xml:space="preserve">Company-operated shops AUV </w:t>
            </w:r>
            <w:r>
              <w:rPr>
                <w:rFonts w:ascii="Arial;sans-serif" w:hAnsi="Arial;sans-serif"/>
                <w:b w:val="false"/>
                <w:color w:val="131E29"/>
                <w:sz w:val="13"/>
              </w:rPr>
              <w:t>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N/A</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N/A</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2DC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1021" w:type="dxa"/>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2,164 </w:t>
            </w:r>
          </w:p>
        </w:tc>
        <w:tc>
          <w:tcPr>
            <w:tcW w:w="28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2DC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31E29"/>
                <w:sz w:val="20"/>
              </w:rPr>
            </w:pPr>
            <w:r>
              <w:rPr>
                <w:rFonts w:ascii="Arial;sans-serif" w:hAnsi="Arial;sans-serif"/>
                <w:b w:val="false"/>
                <w:color w:val="131E29"/>
                <w:sz w:val="20"/>
              </w:rPr>
              <w:t>$</w:t>
            </w:r>
          </w:p>
        </w:tc>
        <w:tc>
          <w:tcPr>
            <w:tcW w:w="1021" w:type="dxa"/>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1,982 </w:t>
            </w:r>
          </w:p>
        </w:tc>
        <w:tc>
          <w:tcPr>
            <w:tcW w:w="28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131E29"/>
                <w:sz w:val="20"/>
              </w:rPr>
              <w:t xml:space="preserve">Systemwide same shop sales </w:t>
            </w:r>
            <w:r>
              <w:rPr>
                <w:rFonts w:ascii="Arial;sans-serif" w:hAnsi="Arial;sans-serif"/>
                <w:b w:val="false"/>
                <w:color w:val="131E29"/>
                <w:sz w:val="13"/>
              </w:rPr>
              <w:t>1, 2</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5.8 </w:t>
            </w:r>
          </w:p>
        </w:tc>
        <w:tc>
          <w:tcPr>
            <w:tcW w:w="286" w:type="dxa"/>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6.1 </w:t>
            </w:r>
          </w:p>
        </w:tc>
        <w:tc>
          <w:tcPr>
            <w:tcW w:w="286" w:type="dxa"/>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6.9 </w:t>
            </w:r>
          </w:p>
        </w:tc>
        <w:tc>
          <w:tcPr>
            <w:tcW w:w="286" w:type="dxa"/>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5.3 </w:t>
            </w:r>
          </w:p>
        </w:tc>
        <w:tc>
          <w:tcPr>
            <w:tcW w:w="286" w:type="dxa"/>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 xml:space="preserve">Ticket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2.4 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3.0 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 xml:space="preserve">Transactions </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1.7 </w:t>
            </w:r>
          </w:p>
        </w:tc>
        <w:tc>
          <w:tcPr>
            <w:tcW w:w="286" w:type="dxa"/>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3.7 </w:t>
            </w:r>
          </w:p>
        </w:tc>
        <w:tc>
          <w:tcPr>
            <w:tcW w:w="286" w:type="dxa"/>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3.3 </w:t>
            </w:r>
          </w:p>
        </w:tc>
        <w:tc>
          <w:tcPr>
            <w:tcW w:w="286" w:type="dxa"/>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2.3 </w:t>
            </w:r>
          </w:p>
        </w:tc>
        <w:tc>
          <w:tcPr>
            <w:tcW w:w="286" w:type="dxa"/>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131E29"/>
                <w:sz w:val="20"/>
              </w:rPr>
              <w:t xml:space="preserve">Company-operated same shop sales </w:t>
            </w:r>
            <w:r>
              <w:rPr>
                <w:rFonts w:ascii="Arial;sans-serif" w:hAnsi="Arial;sans-serif"/>
                <w:b w:val="false"/>
                <w:color w:val="131E29"/>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8.3 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7.8 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9.3 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7.2 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 xml:space="preserve">Ticket </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4.9 </w:t>
            </w:r>
          </w:p>
        </w:tc>
        <w:tc>
          <w:tcPr>
            <w:tcW w:w="286" w:type="dxa"/>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1.9 </w:t>
            </w:r>
          </w:p>
        </w:tc>
        <w:tc>
          <w:tcPr>
            <w:tcW w:w="286" w:type="dxa"/>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4.3 </w:t>
            </w:r>
          </w:p>
        </w:tc>
        <w:tc>
          <w:tcPr>
            <w:tcW w:w="286" w:type="dxa"/>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2.6 </w:t>
            </w:r>
          </w:p>
        </w:tc>
        <w:tc>
          <w:tcPr>
            <w:tcW w:w="286" w:type="dxa"/>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 xml:space="preserve">Transactions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3.4 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5.9 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5.0 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4.6 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131E29"/>
                <w:sz w:val="20"/>
              </w:rPr>
              <w:t xml:space="preserve">Systemwide sales </w:t>
            </w:r>
            <w:r>
              <w:rPr>
                <w:rFonts w:ascii="Arial;sans-serif" w:hAnsi="Arial;sans-serif"/>
                <w:b w:val="false"/>
                <w:color w:val="131E29"/>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703,320 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571,273 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1,312,919 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31E29"/>
                <w:sz w:val="20"/>
              </w:rPr>
            </w:pPr>
            <w:r>
              <w:rPr>
                <w:rFonts w:ascii="Arial;sans-serif" w:hAnsi="Arial;sans-serif"/>
                <w:b w:val="false"/>
                <w:color w:val="131E29"/>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1,060,945 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131E29"/>
                <w:sz w:val="20"/>
              </w:rPr>
              <w:t xml:space="preserve">Company-operated shops operating weeks </w:t>
            </w:r>
            <w:r>
              <w:rPr>
                <w:rFonts w:ascii="Arial;sans-serif" w:hAnsi="Arial;sans-serif"/>
                <w:b w:val="false"/>
                <w:color w:val="131E29"/>
                <w:sz w:val="13"/>
              </w:rPr>
              <w:t>3</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11,189 </w:t>
            </w:r>
          </w:p>
        </w:tc>
        <w:tc>
          <w:tcPr>
            <w:tcW w:w="28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9,184 </w:t>
            </w:r>
          </w:p>
        </w:tc>
        <w:tc>
          <w:tcPr>
            <w:tcW w:w="28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21,682 </w:t>
            </w:r>
          </w:p>
        </w:tc>
        <w:tc>
          <w:tcPr>
            <w:tcW w:w="28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17,921 </w:t>
            </w:r>
          </w:p>
        </w:tc>
        <w:tc>
          <w:tcPr>
            <w:tcW w:w="28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131E29"/>
                <w:sz w:val="20"/>
              </w:rPr>
              <w:t xml:space="preserve">Franchising shops operating weeks </w:t>
            </w:r>
            <w:r>
              <w:rPr>
                <w:rFonts w:ascii="Arial;sans-serif" w:hAnsi="Arial;sans-serif"/>
                <w:b w:val="false"/>
                <w:color w:val="131E29"/>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4,353 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4,119 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8,583 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8,130 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131E29"/>
                <w:sz w:val="20"/>
              </w:rPr>
              <w:t xml:space="preserve">Dutch Rewards transactions as a percentage of total transactions </w:t>
            </w:r>
            <w:r>
              <w:rPr>
                <w:rFonts w:ascii="Arial;sans-serif" w:hAnsi="Arial;sans-serif"/>
                <w:b w:val="false"/>
                <w:color w:val="131E29"/>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73 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72 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74 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72 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63220"/>
                <wp:effectExtent l="0" t="0" r="0" b="0"/>
                <wp:wrapNone/>
                <wp:docPr id="106" name="Frame35"/>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07"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40" descr=""/>
                                          <pic:cNvPicPr>
                                            <a:picLocks noChangeAspect="1" noChangeArrowheads="1"/>
                                          </pic:cNvPicPr>
                                        </pic:nvPicPr>
                                        <pic:blipFill>
                                          <a:blip r:embed="rId73"/>
                                          <a:stretch>
                                            <a:fillRect/>
                                          </a:stretch>
                                        </pic:blipFill>
                                        <pic:spPr bwMode="auto">
                                          <a:xfrm>
                                            <a:off x="0" y="0"/>
                                            <a:ext cx="190500" cy="266700"/>
                                          </a:xfrm>
                                          <a:prstGeom prst="rect">
                                            <a:avLst/>
                                          </a:prstGeom>
                                        </pic:spPr>
                                      </pic:pic>
                                    </a:graphicData>
                                  </a:graphic>
                                </wp:inline>
                              </w:drawing>
                            </w:r>
                            <w:bookmarkStart w:id="71" w:name="i-40"/>
                            <w:bookmarkEnd w:id="71"/>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08"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40" descr=""/>
                                    <pic:cNvPicPr>
                                      <a:picLocks noChangeAspect="1" noChangeArrowheads="1"/>
                                    </pic:cNvPicPr>
                                  </pic:nvPicPr>
                                  <pic:blipFill>
                                    <a:blip r:embed="rId74"/>
                                    <a:stretch>
                                      <a:fillRect/>
                                    </a:stretch>
                                  </pic:blipFill>
                                  <pic:spPr bwMode="auto">
                                    <a:xfrm>
                                      <a:off x="0" y="0"/>
                                      <a:ext cx="190500" cy="266700"/>
                                    </a:xfrm>
                                    <a:prstGeom prst="rect">
                                      <a:avLst/>
                                    </a:prstGeom>
                                  </pic:spPr>
                                </pic:pic>
                              </a:graphicData>
                            </a:graphic>
                          </wp:inline>
                        </w:drawing>
                      </w:r>
                      <w:bookmarkStart w:id="72" w:name="i-40"/>
                      <w:bookmarkEnd w:id="72"/>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33</w:t>
                      </w:r>
                    </w:p>
                  </w:txbxContent>
                </v:textbox>
                <w10:wrap type="none"/>
              </v:rect>
            </w:pict>
          </mc:Fallback>
        </mc:AlternateContent>
      </w:r>
    </w:p>
    <w:p>
      <w:pPr>
        <w:pStyle w:val="TextBody"/>
        <w:bidi w:val="0"/>
        <w:spacing w:lineRule="auto" w:line="288" w:before="0" w:after="180"/>
        <w:jc w:val="both"/>
        <w:rPr/>
      </w:pPr>
      <w:hyperlink w:anchor="i901a725797c944a19267b6f140f14c09_16">
        <w:r>
          <w:rPr>
            <w:rStyle w:val="InternetLink"/>
            <w:rFonts w:ascii="Arial;sans-serif" w:hAnsi="Arial;sans-serif"/>
            <w:b w:val="false"/>
            <w:color w:val="006098"/>
            <w:sz w:val="16"/>
            <w:u w:val="single"/>
          </w:rPr>
          <w:t>Table of Contents</w:t>
        </w:r>
      </w:hyperlink>
      <w:r>
        <w:rPr>
          <w:color w:val="006098"/>
        </w:rPr>
        <w:t xml:space="preserve"> </w:t>
      </w:r>
    </w:p>
    <w:tbl>
      <w:tblPr>
        <w:tblW w:w="11733" w:type="dxa"/>
        <w:jc w:val="left"/>
        <w:tblInd w:w="0" w:type="dxa"/>
        <w:tblLayout w:type="fixed"/>
        <w:tblCellMar>
          <w:top w:w="28" w:type="dxa"/>
          <w:left w:w="28" w:type="dxa"/>
          <w:bottom w:w="28" w:type="dxa"/>
          <w:right w:w="28" w:type="dxa"/>
        </w:tblCellMar>
      </w:tblPr>
      <w:tblGrid>
        <w:gridCol w:w="901"/>
        <w:gridCol w:w="557"/>
        <w:gridCol w:w="298"/>
        <w:gridCol w:w="109"/>
        <w:gridCol w:w="109"/>
        <w:gridCol w:w="109"/>
        <w:gridCol w:w="428"/>
        <w:gridCol w:w="428"/>
        <w:gridCol w:w="109"/>
        <w:gridCol w:w="109"/>
        <w:gridCol w:w="109"/>
        <w:gridCol w:w="109"/>
        <w:gridCol w:w="323"/>
        <w:gridCol w:w="323"/>
        <w:gridCol w:w="109"/>
        <w:gridCol w:w="109"/>
        <w:gridCol w:w="109"/>
        <w:gridCol w:w="109"/>
        <w:gridCol w:w="428"/>
        <w:gridCol w:w="428"/>
        <w:gridCol w:w="109"/>
        <w:gridCol w:w="109"/>
        <w:gridCol w:w="109"/>
        <w:gridCol w:w="109"/>
        <w:gridCol w:w="323"/>
        <w:gridCol w:w="323"/>
        <w:gridCol w:w="109"/>
        <w:gridCol w:w="109"/>
        <w:gridCol w:w="109"/>
        <w:gridCol w:w="109"/>
        <w:gridCol w:w="428"/>
        <w:gridCol w:w="428"/>
        <w:gridCol w:w="109"/>
        <w:gridCol w:w="109"/>
        <w:gridCol w:w="109"/>
        <w:gridCol w:w="109"/>
        <w:gridCol w:w="323"/>
        <w:gridCol w:w="323"/>
        <w:gridCol w:w="109"/>
        <w:gridCol w:w="109"/>
        <w:gridCol w:w="109"/>
        <w:gridCol w:w="109"/>
        <w:gridCol w:w="428"/>
        <w:gridCol w:w="428"/>
        <w:gridCol w:w="109"/>
        <w:gridCol w:w="109"/>
        <w:gridCol w:w="109"/>
        <w:gridCol w:w="109"/>
        <w:gridCol w:w="323"/>
        <w:gridCol w:w="323"/>
        <w:gridCol w:w="109"/>
        <w:gridCol w:w="109"/>
        <w:gridCol w:w="109"/>
        <w:gridCol w:w="109"/>
        <w:gridCol w:w="154"/>
      </w:tblGrid>
      <w:tr>
        <w:trPr/>
        <w:tc>
          <w:tcPr>
            <w:tcW w:w="901"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1" w:type="dxa"/>
            <w:gridSpan w:val="21"/>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1" w:type="dxa"/>
            <w:gridSpan w:val="21"/>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Six Months Ended June 30,</w:t>
            </w:r>
          </w:p>
        </w:tc>
        <w:tc>
          <w:tcPr>
            <w:tcW w:w="481" w:type="dxa"/>
            <w:gridSpan w:val="4"/>
            <w:tcBorders/>
          </w:tcPr>
          <w:p>
            <w:pPr>
              <w:pStyle w:val="TableContents"/>
              <w:bidi w:val="0"/>
              <w:spacing w:before="0" w:after="283"/>
              <w:jc w:val="left"/>
              <w:rPr>
                <w:sz w:val="4"/>
                <w:szCs w:val="4"/>
              </w:rPr>
            </w:pPr>
            <w:r>
              <w:rPr>
                <w:sz w:val="4"/>
                <w:szCs w:val="4"/>
              </w:rPr>
            </w:r>
          </w:p>
        </w:tc>
      </w:tr>
      <w:tr>
        <w:trPr/>
        <w:tc>
          <w:tcPr>
            <w:tcW w:w="1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 xml:space="preserve">2025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 xml:space="preserve">2025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7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(dollars 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 shops revenues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510,031 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100.0 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380,500 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100.0 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939,088 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100.0 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706,921 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100.0 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 shops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123,301 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92,552 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209,083 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164,050 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 shops contribution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155,970 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30.6 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118,236 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31.1 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277,274 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29.5 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214,301 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30.3 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80,651 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65,385 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153,827 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124,306 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Adjusted selling, general, and administrative expenses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72,491 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13.2 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58,709 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14.1 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138,003 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13.6 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112,206 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14.6 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 xml:space="preserve">Net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51,605 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38,357 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75,269 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60,837 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Adjusted EBITDA</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113,714 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20.6 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89,003 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21.4 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193,087 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19.0 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151,909 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19.7 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_________________</w:t>
      </w:r>
    </w:p>
    <w:p>
      <w:pPr>
        <w:pStyle w:val="TextBody"/>
        <w:bidi w:val="0"/>
        <w:spacing w:lineRule="auto" w:line="288" w:before="0" w:after="180"/>
        <w:ind w:left="0" w:right="0" w:hanging="180"/>
        <w:jc w:val="both"/>
        <w:rPr/>
      </w:pPr>
      <w:r>
        <w:rPr>
          <w:rFonts w:ascii="Arial;sans-serif" w:hAnsi="Arial;sans-serif"/>
          <w:b w:val="false"/>
          <w:color w:val="000000"/>
          <w:sz w:val="10"/>
        </w:rPr>
        <w:t>1    </w:t>
      </w:r>
      <w:r>
        <w:rPr>
          <w:rFonts w:ascii="Arial;sans-serif" w:hAnsi="Arial;sans-serif"/>
          <w:b w:val="false"/>
          <w:color w:val="000000"/>
          <w:sz w:val="16"/>
        </w:rPr>
        <w:t>Starting in 2026, AUVs are determined based on the net sales for any trailing twelve-month period for systemwide and company-operated shops, and same shop sales represent the percentage change in year-over-year sales, for the comparable shop base, that have been open at least 15 complete months as of the first day of the quarterly reporting period. Prior to 2026, AUVs were determined based on shops that had been open a minimum of 15 months, and same shop base was defined as shops open for 15 complete months or longer as of the first day of the reporting period. Prior period numbers have not been adjusted to conform to the new definition as the changes did not have a material impact. AUVs are calculated by dividing the systemwide and company-operated shops net sales by the total number of systemwide and company-operated shops, respectively. Management uses these metrics as an indicator of shop growth, expectations of mature locations, and future expansion strategy. The number of shops included in the systemwide and company-operated comparable bases for the respective periods are presented in the following table.</w:t>
      </w:r>
    </w:p>
    <w:tbl>
      <w:tblPr>
        <w:tblW w:w="8053" w:type="dxa"/>
        <w:jc w:val="left"/>
        <w:tblInd w:w="0" w:type="dxa"/>
        <w:tblLayout w:type="fixed"/>
        <w:tblCellMar>
          <w:top w:w="28" w:type="dxa"/>
          <w:left w:w="28" w:type="dxa"/>
          <w:bottom w:w="28" w:type="dxa"/>
          <w:right w:w="28" w:type="dxa"/>
        </w:tblCellMar>
      </w:tblPr>
      <w:tblGrid>
        <w:gridCol w:w="879"/>
        <w:gridCol w:w="772"/>
        <w:gridCol w:w="778"/>
        <w:gridCol w:w="109"/>
        <w:gridCol w:w="109"/>
        <w:gridCol w:w="109"/>
        <w:gridCol w:w="273"/>
        <w:gridCol w:w="273"/>
        <w:gridCol w:w="273"/>
        <w:gridCol w:w="273"/>
        <w:gridCol w:w="273"/>
        <w:gridCol w:w="273"/>
        <w:gridCol w:w="273"/>
        <w:gridCol w:w="273"/>
        <w:gridCol w:w="273"/>
        <w:gridCol w:w="109"/>
        <w:gridCol w:w="109"/>
        <w:gridCol w:w="109"/>
        <w:gridCol w:w="250"/>
        <w:gridCol w:w="250"/>
        <w:gridCol w:w="250"/>
        <w:gridCol w:w="250"/>
        <w:gridCol w:w="250"/>
        <w:gridCol w:w="250"/>
        <w:gridCol w:w="250"/>
        <w:gridCol w:w="250"/>
        <w:gridCol w:w="250"/>
        <w:gridCol w:w="109"/>
        <w:gridCol w:w="154"/>
      </w:tblGrid>
      <w:tr>
        <w:trPr/>
        <w:tc>
          <w:tcPr>
            <w:tcW w:w="87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2026</w:t>
            </w:r>
          </w:p>
        </w:tc>
        <w:tc>
          <w:tcPr>
            <w:tcW w:w="819"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2026</w:t>
            </w:r>
          </w:p>
        </w:tc>
        <w:tc>
          <w:tcPr>
            <w:tcW w:w="750"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Systemwide shop base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982</w:t>
            </w:r>
          </w:p>
        </w:tc>
        <w:tc>
          <w:tcPr>
            <w:tcW w:w="81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831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982</w:t>
            </w:r>
          </w:p>
        </w:tc>
        <w:tc>
          <w:tcPr>
            <w:tcW w:w="75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794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Company-operated shops base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670</w:t>
            </w:r>
          </w:p>
        </w:tc>
        <w:tc>
          <w:tcPr>
            <w:tcW w:w="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542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670</w:t>
            </w:r>
          </w:p>
        </w:tc>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510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Arial;sans-serif" w:hAnsi="Arial;sans-serif"/>
          <w:b w:val="false"/>
          <w:color w:val="000000"/>
          <w:sz w:val="10"/>
        </w:rPr>
        <w:t>2    </w:t>
      </w:r>
      <w:r>
        <w:rPr>
          <w:rFonts w:ascii="Arial;sans-serif" w:hAnsi="Arial;sans-serif"/>
          <w:b w:val="false"/>
          <w:color w:val="000000"/>
          <w:sz w:val="16"/>
        </w:rPr>
        <w:t xml:space="preserve">Systemwide sales and systemwide same shop sales are operating measures that include sales at company-operated shops and sales at franchised shops during the comparable periods presented. Franchise sales represent sales at all franchise shops and are revenues to our franchise partners. We do not record franchise sales as revenues; however, our royalty revenues and advertising fund contributions are calculated based on a percentage of franchise sales. As these metrics include sales reported to us by our non-consolidated franchise partners, these metrics should be considered as a supplement to, not a substitute for, our results as reported under GAAP. Management uses these metrics as indicators of our system’s overall financial health, growth and future expansion prospects. </w:t>
      </w:r>
    </w:p>
    <w:p>
      <w:pPr>
        <w:pStyle w:val="TextBody"/>
        <w:bidi w:val="0"/>
        <w:spacing w:lineRule="auto" w:line="288" w:before="0" w:after="0"/>
        <w:ind w:left="0" w:right="0" w:hanging="180"/>
        <w:jc w:val="both"/>
        <w:rPr/>
      </w:pPr>
      <w:r>
        <w:rPr>
          <w:rFonts w:ascii="Arial;sans-serif" w:hAnsi="Arial;sans-serif"/>
          <w:b w:val="false"/>
          <w:color w:val="000000"/>
          <w:sz w:val="10"/>
        </w:rPr>
        <w:t>3</w:t>
      </w:r>
      <w:r>
        <w:rPr>
          <w:color w:val="000000"/>
        </w:rPr>
        <w:t>    </w:t>
      </w:r>
      <w:r>
        <w:rPr>
          <w:rFonts w:ascii="Arial;sans-serif" w:hAnsi="Arial;sans-serif"/>
          <w:b w:val="false"/>
          <w:color w:val="000000"/>
          <w:sz w:val="16"/>
        </w:rPr>
        <w:t>Company-operated and franchise shops operating weeks are calculated based on the number of operating days for the shop base and dividing by 7. Our shop base is defined as shops opened as of the period end date. Management uses these metrics as indicators of our system’s overall financial health, growth and future expansion prospects.</w:t>
      </w:r>
    </w:p>
    <w:p>
      <w:pPr>
        <w:pStyle w:val="TextBody"/>
        <w:bidi w:val="0"/>
        <w:spacing w:lineRule="auto" w:line="288" w:before="0" w:after="180"/>
        <w:ind w:left="0" w:right="0" w:hanging="180"/>
        <w:jc w:val="both"/>
        <w:rPr/>
      </w:pPr>
      <w:r>
        <w:rPr>
          <w:rFonts w:ascii="Arial;sans-serif" w:hAnsi="Arial;sans-serif"/>
          <w:b w:val="false"/>
          <w:color w:val="000000"/>
          <w:sz w:val="10"/>
        </w:rPr>
        <w:t>4    </w:t>
      </w:r>
      <w:r>
        <w:rPr>
          <w:rFonts w:ascii="Arial;sans-serif" w:hAnsi="Arial;sans-serif"/>
          <w:b w:val="false"/>
          <w:color w:val="000000"/>
          <w:sz w:val="16"/>
        </w:rPr>
        <w:t xml:space="preserve">Dutch Rewards is our app-based digital loyalty program. Management uses this metric as an indicator of customer loyalty adoption of our Dutch Rewards app and future promotional plans. </w:t>
      </w:r>
    </w:p>
    <w:p>
      <w:pPr>
        <w:pStyle w:val="TextBody"/>
        <w:bidi w:val="0"/>
        <w:spacing w:before="0" w:after="180"/>
        <w:ind w:left="0" w:right="0" w:hanging="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63220"/>
                <wp:effectExtent l="0" t="0" r="0" b="0"/>
                <wp:wrapNone/>
                <wp:docPr id="109" name="Frame36"/>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10"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41" descr=""/>
                                          <pic:cNvPicPr>
                                            <a:picLocks noChangeAspect="1" noChangeArrowheads="1"/>
                                          </pic:cNvPicPr>
                                        </pic:nvPicPr>
                                        <pic:blipFill>
                                          <a:blip r:embed="rId75"/>
                                          <a:stretch>
                                            <a:fillRect/>
                                          </a:stretch>
                                        </pic:blipFill>
                                        <pic:spPr bwMode="auto">
                                          <a:xfrm>
                                            <a:off x="0" y="0"/>
                                            <a:ext cx="190500" cy="266700"/>
                                          </a:xfrm>
                                          <a:prstGeom prst="rect">
                                            <a:avLst/>
                                          </a:prstGeom>
                                        </pic:spPr>
                                      </pic:pic>
                                    </a:graphicData>
                                  </a:graphic>
                                </wp:inline>
                              </w:drawing>
                            </w:r>
                            <w:bookmarkStart w:id="73" w:name="i-41"/>
                            <w:bookmarkEnd w:id="73"/>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1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41" descr=""/>
                                    <pic:cNvPicPr>
                                      <a:picLocks noChangeAspect="1" noChangeArrowheads="1"/>
                                    </pic:cNvPicPr>
                                  </pic:nvPicPr>
                                  <pic:blipFill>
                                    <a:blip r:embed="rId76"/>
                                    <a:stretch>
                                      <a:fillRect/>
                                    </a:stretch>
                                  </pic:blipFill>
                                  <pic:spPr bwMode="auto">
                                    <a:xfrm>
                                      <a:off x="0" y="0"/>
                                      <a:ext cx="190500" cy="266700"/>
                                    </a:xfrm>
                                    <a:prstGeom prst="rect">
                                      <a:avLst/>
                                    </a:prstGeom>
                                  </pic:spPr>
                                </pic:pic>
                              </a:graphicData>
                            </a:graphic>
                          </wp:inline>
                        </w:drawing>
                      </w:r>
                      <w:bookmarkStart w:id="74" w:name="i-41"/>
                      <w:bookmarkEnd w:id="74"/>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34</w:t>
                      </w:r>
                    </w:p>
                  </w:txbxContent>
                </v:textbox>
                <w10:wrap type="none"/>
              </v:rect>
            </w:pict>
          </mc:Fallback>
        </mc:AlternateContent>
      </w:r>
    </w:p>
    <w:p>
      <w:pPr>
        <w:pStyle w:val="TextBody"/>
        <w:bidi w:val="0"/>
        <w:spacing w:lineRule="auto" w:line="288" w:before="0" w:after="180"/>
        <w:jc w:val="both"/>
        <w:rPr/>
      </w:pPr>
      <w:hyperlink w:anchor="i901a725797c944a19267b6f140f14c09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left"/>
        <w:rPr/>
      </w:pPr>
      <w:r>
        <w:rPr>
          <w:rFonts w:ascii="Arial;sans-serif" w:hAnsi="Arial;sans-serif"/>
          <w:b/>
          <w:color w:val="00416B"/>
          <w:sz w:val="24"/>
        </w:rPr>
        <w:t>Company-operated Sho</w:t>
      </w:r>
      <w:r>
        <w:rPr>
          <w:rFonts w:ascii="Arial;sans-serif" w:hAnsi="Arial;sans-serif"/>
          <w:b/>
          <w:color w:val="00497F"/>
          <w:sz w:val="24"/>
        </w:rPr>
        <w:t>ps</w:t>
      </w:r>
      <w:r>
        <w:rPr>
          <w:color w:val="00416B"/>
        </w:rPr>
        <w:t xml:space="preserve"> </w:t>
      </w:r>
      <w:r>
        <w:rPr>
          <w:rFonts w:ascii="Arial;sans-serif" w:hAnsi="Arial;sans-serif"/>
          <w:b/>
          <w:color w:val="00416B"/>
          <w:sz w:val="24"/>
        </w:rPr>
        <w:t>Results</w:t>
      </w:r>
    </w:p>
    <w:p>
      <w:pPr>
        <w:pStyle w:val="TextBody"/>
        <w:bidi w:val="0"/>
        <w:spacing w:lineRule="auto" w:line="288" w:before="0" w:after="120"/>
        <w:jc w:val="both"/>
        <w:rPr>
          <w:rFonts w:ascii="Arial;sans-serif" w:hAnsi="Arial;sans-serif"/>
          <w:b w:val="false"/>
          <w:color w:val="131E29"/>
          <w:sz w:val="20"/>
        </w:rPr>
      </w:pPr>
      <w:r>
        <w:rPr>
          <w:rFonts w:ascii="Arial;sans-serif" w:hAnsi="Arial;sans-serif"/>
          <w:b w:val="false"/>
          <w:color w:val="131E29"/>
          <w:sz w:val="20"/>
        </w:rPr>
        <w:t>Results for our company-operated shops segment were as follows:</w:t>
      </w:r>
    </w:p>
    <w:tbl>
      <w:tblPr>
        <w:tblW w:w="11853" w:type="dxa"/>
        <w:jc w:val="left"/>
        <w:tblInd w:w="0" w:type="dxa"/>
        <w:tblLayout w:type="fixed"/>
        <w:tblCellMar>
          <w:top w:w="28" w:type="dxa"/>
          <w:left w:w="28" w:type="dxa"/>
          <w:bottom w:w="28" w:type="dxa"/>
          <w:right w:w="28" w:type="dxa"/>
        </w:tblCellMar>
      </w:tblPr>
      <w:tblGrid>
        <w:gridCol w:w="901"/>
        <w:gridCol w:w="677"/>
        <w:gridCol w:w="298"/>
        <w:gridCol w:w="109"/>
        <w:gridCol w:w="109"/>
        <w:gridCol w:w="109"/>
        <w:gridCol w:w="428"/>
        <w:gridCol w:w="428"/>
        <w:gridCol w:w="109"/>
        <w:gridCol w:w="109"/>
        <w:gridCol w:w="109"/>
        <w:gridCol w:w="109"/>
        <w:gridCol w:w="323"/>
        <w:gridCol w:w="323"/>
        <w:gridCol w:w="109"/>
        <w:gridCol w:w="109"/>
        <w:gridCol w:w="109"/>
        <w:gridCol w:w="109"/>
        <w:gridCol w:w="428"/>
        <w:gridCol w:w="428"/>
        <w:gridCol w:w="109"/>
        <w:gridCol w:w="109"/>
        <w:gridCol w:w="109"/>
        <w:gridCol w:w="109"/>
        <w:gridCol w:w="323"/>
        <w:gridCol w:w="323"/>
        <w:gridCol w:w="109"/>
        <w:gridCol w:w="109"/>
        <w:gridCol w:w="109"/>
        <w:gridCol w:w="109"/>
        <w:gridCol w:w="428"/>
        <w:gridCol w:w="428"/>
        <w:gridCol w:w="109"/>
        <w:gridCol w:w="109"/>
        <w:gridCol w:w="109"/>
        <w:gridCol w:w="109"/>
        <w:gridCol w:w="323"/>
        <w:gridCol w:w="323"/>
        <w:gridCol w:w="109"/>
        <w:gridCol w:w="109"/>
        <w:gridCol w:w="109"/>
        <w:gridCol w:w="109"/>
        <w:gridCol w:w="428"/>
        <w:gridCol w:w="428"/>
        <w:gridCol w:w="109"/>
        <w:gridCol w:w="109"/>
        <w:gridCol w:w="109"/>
        <w:gridCol w:w="109"/>
        <w:gridCol w:w="323"/>
        <w:gridCol w:w="323"/>
        <w:gridCol w:w="109"/>
        <w:gridCol w:w="109"/>
        <w:gridCol w:w="109"/>
        <w:gridCol w:w="109"/>
        <w:gridCol w:w="154"/>
      </w:tblGrid>
      <w:tr>
        <w:trPr/>
        <w:tc>
          <w:tcPr>
            <w:tcW w:w="90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1" w:type="dxa"/>
            <w:gridSpan w:val="21"/>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1" w:type="dxa"/>
            <w:gridSpan w:val="21"/>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Six Months Ended June 30,</w:t>
            </w:r>
          </w:p>
        </w:tc>
        <w:tc>
          <w:tcPr>
            <w:tcW w:w="481" w:type="dxa"/>
            <w:gridSpan w:val="4"/>
            <w:tcBorders/>
          </w:tcPr>
          <w:p>
            <w:pPr>
              <w:pStyle w:val="TableContents"/>
              <w:bidi w:val="0"/>
              <w:spacing w:before="0" w:after="283"/>
              <w:jc w:val="left"/>
              <w:rPr>
                <w:sz w:val="4"/>
                <w:szCs w:val="4"/>
              </w:rPr>
            </w:pPr>
            <w:r>
              <w:rPr>
                <w:sz w:val="4"/>
                <w:szCs w:val="4"/>
              </w:rPr>
            </w:r>
          </w:p>
        </w:tc>
      </w:tr>
      <w:tr>
        <w:trPr/>
        <w:tc>
          <w:tcPr>
            <w:tcW w:w="1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87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(dollars 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Company-operated shops revenues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510,031</w:t>
            </w:r>
            <w:r>
              <w:rPr>
                <w:color w:val="006098"/>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100.0</w:t>
            </w:r>
            <w:r>
              <w:rPr>
                <w:color w:val="006098"/>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1E29"/>
                <w:sz w:val="20"/>
              </w:rPr>
              <w:t>380,500</w:t>
            </w: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1E29"/>
                <w:sz w:val="20"/>
              </w:rPr>
              <w:t>100.0</w:t>
            </w: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939,088</w:t>
            </w:r>
            <w:r>
              <w:rPr>
                <w:color w:val="006098"/>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100.0</w:t>
            </w:r>
            <w:r>
              <w:rPr>
                <w:color w:val="006098"/>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1E29"/>
                <w:sz w:val="20"/>
              </w:rPr>
              <w:t>706,921</w:t>
            </w: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1E29"/>
                <w:sz w:val="20"/>
              </w:rPr>
              <w:t>100.0</w:t>
            </w: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Beverage, food, and packaging costs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133,108 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26.1 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96,468 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25.3 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245,430 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26.1 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177,847 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25.2 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Labor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129,460 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101,270 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241,765 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190,709 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Occupancy and other costs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83,085 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16.3 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59,984 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15.8 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159,870 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17.0 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113,911 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16.1 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Pre-opening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8,408 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4,542 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14,749 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10,153 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Depreciation and amortization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32,669 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6.4 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25,684 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6.8 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68,191 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7.2 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50,251 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7.1 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 shops 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386,730 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75.8 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287,948 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75.7 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730,005 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77.7 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542,871 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76.8 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Company-operated shops gross profit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123,301</w:t>
            </w:r>
            <w:r>
              <w:rPr>
                <w:color w:val="006098"/>
              </w:rPr>
              <w:t>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24.2</w:t>
            </w:r>
            <w:r>
              <w:rPr>
                <w:color w:val="006098"/>
              </w:rPr>
              <w:t>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1E29"/>
                <w:sz w:val="20"/>
              </w:rPr>
              <w:t>92,552</w:t>
            </w:r>
            <w:r>
              <w:rPr>
                <w:color w:val="131E29"/>
              </w:rPr>
              <w:t>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1E29"/>
                <w:sz w:val="20"/>
              </w:rPr>
              <w:t>24.3</w:t>
            </w:r>
            <w:r>
              <w:rPr>
                <w:color w:val="131E29"/>
              </w:rPr>
              <w:t>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209,083</w:t>
            </w:r>
            <w:r>
              <w:rPr>
                <w:color w:val="006098"/>
              </w:rPr>
              <w:t>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22.3</w:t>
            </w:r>
            <w:r>
              <w:rPr>
                <w:color w:val="006098"/>
              </w:rPr>
              <w:t>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1E29"/>
                <w:sz w:val="20"/>
              </w:rPr>
              <w:t>164,050</w:t>
            </w:r>
            <w:r>
              <w:rPr>
                <w:color w:val="131E29"/>
              </w:rPr>
              <w:t>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1E29"/>
                <w:sz w:val="20"/>
              </w:rPr>
              <w:t>23.2</w:t>
            </w:r>
            <w:r>
              <w:rPr>
                <w:color w:val="131E29"/>
              </w:rPr>
              <w:t>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 shops contribution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155,970 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30.6 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118,236 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31.1 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277,274 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29.5 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214,301 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30.3 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Company-operated Shops Segment Performance</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Company-operated Shops Revenue</w:t>
      </w:r>
    </w:p>
    <w:tbl>
      <w:tblPr>
        <w:tblW w:w="11274" w:type="dxa"/>
        <w:jc w:val="left"/>
        <w:tblInd w:w="0" w:type="dxa"/>
        <w:tblLayout w:type="fixed"/>
        <w:tblCellMar>
          <w:top w:w="28" w:type="dxa"/>
          <w:left w:w="28" w:type="dxa"/>
          <w:bottom w:w="28" w:type="dxa"/>
          <w:right w:w="28" w:type="dxa"/>
        </w:tblCellMar>
      </w:tblPr>
      <w:tblGrid>
        <w:gridCol w:w="901"/>
        <w:gridCol w:w="512"/>
        <w:gridCol w:w="298"/>
        <w:gridCol w:w="109"/>
        <w:gridCol w:w="109"/>
        <w:gridCol w:w="109"/>
        <w:gridCol w:w="294"/>
        <w:gridCol w:w="294"/>
        <w:gridCol w:w="298"/>
        <w:gridCol w:w="109"/>
        <w:gridCol w:w="109"/>
        <w:gridCol w:w="109"/>
        <w:gridCol w:w="294"/>
        <w:gridCol w:w="294"/>
        <w:gridCol w:w="298"/>
        <w:gridCol w:w="109"/>
        <w:gridCol w:w="109"/>
        <w:gridCol w:w="109"/>
        <w:gridCol w:w="295"/>
        <w:gridCol w:w="295"/>
        <w:gridCol w:w="296"/>
        <w:gridCol w:w="109"/>
        <w:gridCol w:w="109"/>
        <w:gridCol w:w="109"/>
        <w:gridCol w:w="155"/>
        <w:gridCol w:w="155"/>
        <w:gridCol w:w="156"/>
        <w:gridCol w:w="109"/>
        <w:gridCol w:w="109"/>
        <w:gridCol w:w="109"/>
        <w:gridCol w:w="294"/>
        <w:gridCol w:w="294"/>
        <w:gridCol w:w="298"/>
        <w:gridCol w:w="109"/>
        <w:gridCol w:w="109"/>
        <w:gridCol w:w="109"/>
        <w:gridCol w:w="294"/>
        <w:gridCol w:w="294"/>
        <w:gridCol w:w="298"/>
        <w:gridCol w:w="109"/>
        <w:gridCol w:w="109"/>
        <w:gridCol w:w="109"/>
        <w:gridCol w:w="109"/>
        <w:gridCol w:w="109"/>
        <w:gridCol w:w="295"/>
        <w:gridCol w:w="295"/>
        <w:gridCol w:w="296"/>
        <w:gridCol w:w="109"/>
        <w:gridCol w:w="109"/>
        <w:gridCol w:w="109"/>
        <w:gridCol w:w="155"/>
        <w:gridCol w:w="155"/>
        <w:gridCol w:w="156"/>
        <w:gridCol w:w="109"/>
        <w:gridCol w:w="109"/>
        <w:gridCol w:w="109"/>
        <w:gridCol w:w="154"/>
      </w:tblGrid>
      <w:tr>
        <w:trPr/>
        <w:tc>
          <w:tcPr>
            <w:tcW w:w="90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5" w:type="dxa"/>
            <w:gridSpan w:val="21"/>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0" w:type="dxa"/>
            <w:gridSpan w:val="17"/>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Six Months Ended June 30,</w:t>
            </w:r>
          </w:p>
        </w:tc>
        <w:tc>
          <w:tcPr>
            <w:tcW w:w="1274" w:type="dxa"/>
            <w:gridSpan w:val="10"/>
            <w:tcBorders/>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(dollars 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2026</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2026 v.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2026</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2026 v.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71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Company-operated shops revenue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$510,031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$380,500</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$129,531</w:t>
            </w:r>
          </w:p>
        </w:tc>
        <w:tc>
          <w:tcPr>
            <w:tcW w:w="32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34.0%</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$939,088</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$706,921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$232,167</w:t>
            </w:r>
          </w:p>
        </w:tc>
        <w:tc>
          <w:tcPr>
            <w:tcW w:w="32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32.8%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Three Months Ended June 30, 2026 v. 2025</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Company-operated shops revenue increased $88.4 million from newly opened shops not yet in the comparable shop base and $41.2 million from an 8.3% increase in same shop sales.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Six Months Ended June 30, 2026 v. 2025</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Company-operated shops revenue increased $169.8 million from newly opened shops not yet in the comparable shop base and $62.3 million from a 9.3% increase in same shop sales.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Beverage, Food, and Packaging Costs</w:t>
      </w:r>
    </w:p>
    <w:tbl>
      <w:tblPr>
        <w:tblW w:w="10914" w:type="dxa"/>
        <w:jc w:val="left"/>
        <w:tblInd w:w="0" w:type="dxa"/>
        <w:tblLayout w:type="fixed"/>
        <w:tblCellMar>
          <w:top w:w="28" w:type="dxa"/>
          <w:left w:w="28" w:type="dxa"/>
          <w:bottom w:w="28" w:type="dxa"/>
          <w:right w:w="28" w:type="dxa"/>
        </w:tblCellMar>
      </w:tblPr>
      <w:tblGrid>
        <w:gridCol w:w="1072"/>
        <w:gridCol w:w="296"/>
        <w:gridCol w:w="298"/>
        <w:gridCol w:w="109"/>
        <w:gridCol w:w="109"/>
        <w:gridCol w:w="109"/>
        <w:gridCol w:w="294"/>
        <w:gridCol w:w="294"/>
        <w:gridCol w:w="298"/>
        <w:gridCol w:w="109"/>
        <w:gridCol w:w="109"/>
        <w:gridCol w:w="109"/>
        <w:gridCol w:w="259"/>
        <w:gridCol w:w="259"/>
        <w:gridCol w:w="263"/>
        <w:gridCol w:w="109"/>
        <w:gridCol w:w="109"/>
        <w:gridCol w:w="109"/>
        <w:gridCol w:w="260"/>
        <w:gridCol w:w="260"/>
        <w:gridCol w:w="261"/>
        <w:gridCol w:w="109"/>
        <w:gridCol w:w="109"/>
        <w:gridCol w:w="109"/>
        <w:gridCol w:w="155"/>
        <w:gridCol w:w="155"/>
        <w:gridCol w:w="156"/>
        <w:gridCol w:w="109"/>
        <w:gridCol w:w="109"/>
        <w:gridCol w:w="109"/>
        <w:gridCol w:w="294"/>
        <w:gridCol w:w="294"/>
        <w:gridCol w:w="298"/>
        <w:gridCol w:w="109"/>
        <w:gridCol w:w="109"/>
        <w:gridCol w:w="109"/>
        <w:gridCol w:w="294"/>
        <w:gridCol w:w="294"/>
        <w:gridCol w:w="298"/>
        <w:gridCol w:w="109"/>
        <w:gridCol w:w="109"/>
        <w:gridCol w:w="109"/>
        <w:gridCol w:w="109"/>
        <w:gridCol w:w="109"/>
        <w:gridCol w:w="260"/>
        <w:gridCol w:w="260"/>
        <w:gridCol w:w="261"/>
        <w:gridCol w:w="109"/>
        <w:gridCol w:w="109"/>
        <w:gridCol w:w="109"/>
        <w:gridCol w:w="155"/>
        <w:gridCol w:w="155"/>
        <w:gridCol w:w="156"/>
        <w:gridCol w:w="109"/>
        <w:gridCol w:w="109"/>
        <w:gridCol w:w="109"/>
        <w:gridCol w:w="154"/>
      </w:tblGrid>
      <w:tr>
        <w:trPr/>
        <w:tc>
          <w:tcPr>
            <w:tcW w:w="107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5" w:type="dxa"/>
            <w:gridSpan w:val="21"/>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5" w:type="dxa"/>
            <w:gridSpan w:val="17"/>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Six Months Ended June 30,</w:t>
            </w:r>
          </w:p>
        </w:tc>
        <w:tc>
          <w:tcPr>
            <w:tcW w:w="1274" w:type="dxa"/>
            <w:gridSpan w:val="10"/>
            <w:tcBorders/>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(dollars 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2026</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2026 v.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2026</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2026 v.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6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Beverage, food and packaging costs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$133,108</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$96,468</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$36,640</w:t>
            </w:r>
          </w:p>
        </w:tc>
        <w:tc>
          <w:tcPr>
            <w:tcW w:w="32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38.0%</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$245,430</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$177,847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$67,583</w:t>
            </w:r>
          </w:p>
        </w:tc>
        <w:tc>
          <w:tcPr>
            <w:tcW w:w="32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38.0%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131E29"/>
                <w:sz w:val="18"/>
              </w:rPr>
            </w:pPr>
            <w:r>
              <w:rPr>
                <w:rFonts w:ascii="Arial;sans-serif" w:hAnsi="Arial;sans-serif"/>
                <w:b w:val="false"/>
                <w:i/>
                <w:color w:val="131E29"/>
                <w:sz w:val="18"/>
              </w:rPr>
              <w:t>As a percentage of company-operated shops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26.1%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25.3%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80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26.1%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25.2%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90 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63220"/>
                <wp:effectExtent l="0" t="0" r="0" b="0"/>
                <wp:wrapNone/>
                <wp:docPr id="112" name="Frame37"/>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13"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42" descr=""/>
                                          <pic:cNvPicPr>
                                            <a:picLocks noChangeAspect="1" noChangeArrowheads="1"/>
                                          </pic:cNvPicPr>
                                        </pic:nvPicPr>
                                        <pic:blipFill>
                                          <a:blip r:embed="rId77"/>
                                          <a:stretch>
                                            <a:fillRect/>
                                          </a:stretch>
                                        </pic:blipFill>
                                        <pic:spPr bwMode="auto">
                                          <a:xfrm>
                                            <a:off x="0" y="0"/>
                                            <a:ext cx="190500" cy="266700"/>
                                          </a:xfrm>
                                          <a:prstGeom prst="rect">
                                            <a:avLst/>
                                          </a:prstGeom>
                                        </pic:spPr>
                                      </pic:pic>
                                    </a:graphicData>
                                  </a:graphic>
                                </wp:inline>
                              </w:drawing>
                            </w:r>
                            <w:bookmarkStart w:id="75" w:name="i-42"/>
                            <w:bookmarkEnd w:id="75"/>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14"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42" descr=""/>
                                    <pic:cNvPicPr>
                                      <a:picLocks noChangeAspect="1" noChangeArrowheads="1"/>
                                    </pic:cNvPicPr>
                                  </pic:nvPicPr>
                                  <pic:blipFill>
                                    <a:blip r:embed="rId78"/>
                                    <a:stretch>
                                      <a:fillRect/>
                                    </a:stretch>
                                  </pic:blipFill>
                                  <pic:spPr bwMode="auto">
                                    <a:xfrm>
                                      <a:off x="0" y="0"/>
                                      <a:ext cx="190500" cy="266700"/>
                                    </a:xfrm>
                                    <a:prstGeom prst="rect">
                                      <a:avLst/>
                                    </a:prstGeom>
                                  </pic:spPr>
                                </pic:pic>
                              </a:graphicData>
                            </a:graphic>
                          </wp:inline>
                        </w:drawing>
                      </w:r>
                      <w:bookmarkStart w:id="76" w:name="i-42"/>
                      <w:bookmarkEnd w:id="76"/>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35</w:t>
                      </w:r>
                    </w:p>
                  </w:txbxContent>
                </v:textbox>
                <w10:wrap type="none"/>
              </v:rect>
            </w:pict>
          </mc:Fallback>
        </mc:AlternateContent>
      </w:r>
    </w:p>
    <w:p>
      <w:pPr>
        <w:pStyle w:val="TextBody"/>
        <w:bidi w:val="0"/>
        <w:spacing w:lineRule="auto" w:line="288" w:before="0" w:after="180"/>
        <w:jc w:val="both"/>
        <w:rPr/>
      </w:pPr>
      <w:hyperlink w:anchor="i901a725797c944a19267b6f140f14c09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Three and Six Months Ended June 30, 2026 v. 2025</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a percentage of company-operated shops revenues, beverage, food and packaging costs increased by 80 basis points and 90 basis points for the three and six months ended June 30, 2026, respectively. These increases were primarily due to an increase in coffee costs and the costs associated with our new food program, which typically carry a higher cost margin than beverages.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Labor Costs</w:t>
      </w:r>
    </w:p>
    <w:tbl>
      <w:tblPr>
        <w:tblW w:w="11169" w:type="dxa"/>
        <w:jc w:val="left"/>
        <w:tblInd w:w="0" w:type="dxa"/>
        <w:tblLayout w:type="fixed"/>
        <w:tblCellMar>
          <w:top w:w="28" w:type="dxa"/>
          <w:left w:w="28" w:type="dxa"/>
          <w:bottom w:w="28" w:type="dxa"/>
          <w:right w:w="28" w:type="dxa"/>
        </w:tblCellMar>
      </w:tblPr>
      <w:tblGrid>
        <w:gridCol w:w="901"/>
        <w:gridCol w:w="467"/>
        <w:gridCol w:w="298"/>
        <w:gridCol w:w="109"/>
        <w:gridCol w:w="109"/>
        <w:gridCol w:w="109"/>
        <w:gridCol w:w="294"/>
        <w:gridCol w:w="294"/>
        <w:gridCol w:w="298"/>
        <w:gridCol w:w="109"/>
        <w:gridCol w:w="109"/>
        <w:gridCol w:w="109"/>
        <w:gridCol w:w="294"/>
        <w:gridCol w:w="294"/>
        <w:gridCol w:w="298"/>
        <w:gridCol w:w="109"/>
        <w:gridCol w:w="109"/>
        <w:gridCol w:w="109"/>
        <w:gridCol w:w="260"/>
        <w:gridCol w:w="260"/>
        <w:gridCol w:w="261"/>
        <w:gridCol w:w="109"/>
        <w:gridCol w:w="109"/>
        <w:gridCol w:w="109"/>
        <w:gridCol w:w="209"/>
        <w:gridCol w:w="176"/>
        <w:gridCol w:w="156"/>
        <w:gridCol w:w="109"/>
        <w:gridCol w:w="109"/>
        <w:gridCol w:w="109"/>
        <w:gridCol w:w="294"/>
        <w:gridCol w:w="294"/>
        <w:gridCol w:w="298"/>
        <w:gridCol w:w="109"/>
        <w:gridCol w:w="109"/>
        <w:gridCol w:w="109"/>
        <w:gridCol w:w="294"/>
        <w:gridCol w:w="294"/>
        <w:gridCol w:w="298"/>
        <w:gridCol w:w="109"/>
        <w:gridCol w:w="109"/>
        <w:gridCol w:w="109"/>
        <w:gridCol w:w="109"/>
        <w:gridCol w:w="109"/>
        <w:gridCol w:w="260"/>
        <w:gridCol w:w="260"/>
        <w:gridCol w:w="261"/>
        <w:gridCol w:w="109"/>
        <w:gridCol w:w="109"/>
        <w:gridCol w:w="109"/>
        <w:gridCol w:w="209"/>
        <w:gridCol w:w="176"/>
        <w:gridCol w:w="156"/>
        <w:gridCol w:w="109"/>
        <w:gridCol w:w="109"/>
        <w:gridCol w:w="109"/>
        <w:gridCol w:w="154"/>
      </w:tblGrid>
      <w:tr>
        <w:trPr/>
        <w:tc>
          <w:tcPr>
            <w:tcW w:w="90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5" w:type="dxa"/>
            <w:gridSpan w:val="21"/>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5" w:type="dxa"/>
            <w:gridSpan w:val="17"/>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Six Months Ended June 30,</w:t>
            </w:r>
          </w:p>
        </w:tc>
        <w:tc>
          <w:tcPr>
            <w:tcW w:w="1349" w:type="dxa"/>
            <w:gridSpan w:val="10"/>
            <w:tcBorders/>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(dollars 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2026</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2026 v.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2026</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2026 v.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6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shd w:fill="D2DCE5" w:val="clear"/>
              </w:rPr>
            </w:pPr>
            <w:r>
              <w:rPr>
                <w:rFonts w:ascii="Arial;sans-serif" w:hAnsi="Arial;sans-serif"/>
                <w:b w:val="false"/>
                <w:color w:val="131E29"/>
                <w:sz w:val="18"/>
                <w:shd w:fill="D2DCE5" w:val="clear"/>
              </w:rPr>
              <w:t>Labor costs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$129,460</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$101,270</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$28,190</w:t>
            </w:r>
          </w:p>
        </w:tc>
        <w:tc>
          <w:tcPr>
            <w:tcW w:w="32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27.8%</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$241,765</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$190,709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$51,056</w:t>
            </w:r>
          </w:p>
        </w:tc>
        <w:tc>
          <w:tcPr>
            <w:tcW w:w="32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26.8%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131E29"/>
                <w:sz w:val="18"/>
              </w:rPr>
            </w:pPr>
            <w:r>
              <w:rPr>
                <w:rFonts w:ascii="Arial;sans-serif" w:hAnsi="Arial;sans-serif"/>
                <w:b w:val="false"/>
                <w:i/>
                <w:color w:val="131E29"/>
                <w:sz w:val="18"/>
              </w:rPr>
              <w:t>As a percentage of company-operated shops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25.4%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26.6%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(120)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25.8%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27.0%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(120) 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Three and Six Months Ended June 30, 2026 v. 2025</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a percentage of company-operated shops revenues, labor costs decreased by 120 basis points for the three and six months ended June 30, 2026, primarily due to sales leverage and the impact of pricing.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Occupancy and Other Costs</w:t>
      </w:r>
    </w:p>
    <w:tbl>
      <w:tblPr>
        <w:tblW w:w="10809" w:type="dxa"/>
        <w:jc w:val="left"/>
        <w:tblInd w:w="0" w:type="dxa"/>
        <w:tblLayout w:type="fixed"/>
        <w:tblCellMar>
          <w:top w:w="28" w:type="dxa"/>
          <w:left w:w="28" w:type="dxa"/>
          <w:bottom w:w="28" w:type="dxa"/>
          <w:right w:w="28" w:type="dxa"/>
        </w:tblCellMar>
      </w:tblPr>
      <w:tblGrid>
        <w:gridCol w:w="901"/>
        <w:gridCol w:w="467"/>
        <w:gridCol w:w="298"/>
        <w:gridCol w:w="109"/>
        <w:gridCol w:w="109"/>
        <w:gridCol w:w="109"/>
        <w:gridCol w:w="259"/>
        <w:gridCol w:w="259"/>
        <w:gridCol w:w="263"/>
        <w:gridCol w:w="109"/>
        <w:gridCol w:w="109"/>
        <w:gridCol w:w="109"/>
        <w:gridCol w:w="259"/>
        <w:gridCol w:w="259"/>
        <w:gridCol w:w="263"/>
        <w:gridCol w:w="109"/>
        <w:gridCol w:w="109"/>
        <w:gridCol w:w="109"/>
        <w:gridCol w:w="260"/>
        <w:gridCol w:w="260"/>
        <w:gridCol w:w="261"/>
        <w:gridCol w:w="109"/>
        <w:gridCol w:w="109"/>
        <w:gridCol w:w="109"/>
        <w:gridCol w:w="155"/>
        <w:gridCol w:w="155"/>
        <w:gridCol w:w="156"/>
        <w:gridCol w:w="109"/>
        <w:gridCol w:w="109"/>
        <w:gridCol w:w="109"/>
        <w:gridCol w:w="294"/>
        <w:gridCol w:w="294"/>
        <w:gridCol w:w="298"/>
        <w:gridCol w:w="109"/>
        <w:gridCol w:w="109"/>
        <w:gridCol w:w="109"/>
        <w:gridCol w:w="294"/>
        <w:gridCol w:w="294"/>
        <w:gridCol w:w="298"/>
        <w:gridCol w:w="109"/>
        <w:gridCol w:w="109"/>
        <w:gridCol w:w="109"/>
        <w:gridCol w:w="109"/>
        <w:gridCol w:w="109"/>
        <w:gridCol w:w="260"/>
        <w:gridCol w:w="260"/>
        <w:gridCol w:w="261"/>
        <w:gridCol w:w="109"/>
        <w:gridCol w:w="109"/>
        <w:gridCol w:w="109"/>
        <w:gridCol w:w="155"/>
        <w:gridCol w:w="155"/>
        <w:gridCol w:w="156"/>
        <w:gridCol w:w="109"/>
        <w:gridCol w:w="109"/>
        <w:gridCol w:w="109"/>
        <w:gridCol w:w="154"/>
      </w:tblGrid>
      <w:tr>
        <w:trPr/>
        <w:tc>
          <w:tcPr>
            <w:tcW w:w="90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0" w:type="dxa"/>
            <w:gridSpan w:val="21"/>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5" w:type="dxa"/>
            <w:gridSpan w:val="17"/>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Six Months Ended June 30,</w:t>
            </w:r>
          </w:p>
        </w:tc>
        <w:tc>
          <w:tcPr>
            <w:tcW w:w="1274" w:type="dxa"/>
            <w:gridSpan w:val="10"/>
            <w:tcBorders/>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(dollars 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2026</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2026 v.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2026</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2026 v.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6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Occupancy and other costs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$83,085</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$59,984</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$23,101</w:t>
            </w:r>
          </w:p>
        </w:tc>
        <w:tc>
          <w:tcPr>
            <w:tcW w:w="32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38.5%</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$159,870</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$113,911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$45,959</w:t>
            </w:r>
          </w:p>
        </w:tc>
        <w:tc>
          <w:tcPr>
            <w:tcW w:w="32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40.3%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131E29"/>
                <w:sz w:val="18"/>
              </w:rPr>
            </w:pPr>
            <w:r>
              <w:rPr>
                <w:rFonts w:ascii="Arial;sans-serif" w:hAnsi="Arial;sans-serif"/>
                <w:b w:val="false"/>
                <w:i/>
                <w:color w:val="131E29"/>
                <w:sz w:val="18"/>
              </w:rPr>
              <w:t>As a percentage of company-operated shops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16.3%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15.8%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50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17.0%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16.1%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90 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Three and Six Months Ended June 30, 2026 v. 2025</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a percentage of company-operated shops revenues, occupancy and other costs increased by 50 basis points and 90 basis points for the three and six months ended June 30, 2026, respectively. These increases were primarily due to the impact of occupancy rates from new shops as we shift more of our portfolio to build-to-suit leases versus commercial ground leases and higher repairs and maintenance costs in the first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Pre-opening Costs</w:t>
      </w:r>
    </w:p>
    <w:tbl>
      <w:tblPr>
        <w:tblW w:w="10205" w:type="dxa"/>
        <w:jc w:val="left"/>
        <w:tblInd w:w="0" w:type="dxa"/>
        <w:tblLayout w:type="fixed"/>
        <w:tblCellMar>
          <w:top w:w="28" w:type="dxa"/>
          <w:left w:w="28" w:type="dxa"/>
          <w:bottom w:w="28" w:type="dxa"/>
          <w:right w:w="28" w:type="dxa"/>
        </w:tblCellMar>
      </w:tblPr>
      <w:tblGrid>
        <w:gridCol w:w="906"/>
        <w:gridCol w:w="473"/>
        <w:gridCol w:w="306"/>
        <w:gridCol w:w="109"/>
        <w:gridCol w:w="109"/>
        <w:gridCol w:w="109"/>
        <w:gridCol w:w="224"/>
        <w:gridCol w:w="224"/>
        <w:gridCol w:w="228"/>
        <w:gridCol w:w="109"/>
        <w:gridCol w:w="109"/>
        <w:gridCol w:w="109"/>
        <w:gridCol w:w="224"/>
        <w:gridCol w:w="224"/>
        <w:gridCol w:w="228"/>
        <w:gridCol w:w="109"/>
        <w:gridCol w:w="109"/>
        <w:gridCol w:w="109"/>
        <w:gridCol w:w="225"/>
        <w:gridCol w:w="225"/>
        <w:gridCol w:w="226"/>
        <w:gridCol w:w="109"/>
        <w:gridCol w:w="109"/>
        <w:gridCol w:w="109"/>
        <w:gridCol w:w="155"/>
        <w:gridCol w:w="155"/>
        <w:gridCol w:w="156"/>
        <w:gridCol w:w="109"/>
        <w:gridCol w:w="109"/>
        <w:gridCol w:w="109"/>
        <w:gridCol w:w="259"/>
        <w:gridCol w:w="259"/>
        <w:gridCol w:w="263"/>
        <w:gridCol w:w="109"/>
        <w:gridCol w:w="109"/>
        <w:gridCol w:w="109"/>
        <w:gridCol w:w="259"/>
        <w:gridCol w:w="259"/>
        <w:gridCol w:w="263"/>
        <w:gridCol w:w="109"/>
        <w:gridCol w:w="109"/>
        <w:gridCol w:w="109"/>
        <w:gridCol w:w="109"/>
        <w:gridCol w:w="109"/>
        <w:gridCol w:w="225"/>
        <w:gridCol w:w="225"/>
        <w:gridCol w:w="226"/>
        <w:gridCol w:w="109"/>
        <w:gridCol w:w="109"/>
        <w:gridCol w:w="109"/>
        <w:gridCol w:w="155"/>
        <w:gridCol w:w="155"/>
        <w:gridCol w:w="156"/>
        <w:gridCol w:w="109"/>
        <w:gridCol w:w="109"/>
        <w:gridCol w:w="109"/>
        <w:gridCol w:w="161"/>
      </w:tblGrid>
      <w:tr>
        <w:trPr/>
        <w:tc>
          <w:tcPr>
            <w:tcW w:w="90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5" w:type="dxa"/>
            <w:gridSpan w:val="21"/>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0" w:type="dxa"/>
            <w:gridSpan w:val="17"/>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Six Months Ended June 30,</w:t>
            </w:r>
          </w:p>
        </w:tc>
        <w:tc>
          <w:tcPr>
            <w:tcW w:w="1281" w:type="dxa"/>
            <w:gridSpan w:val="10"/>
            <w:tcBorders/>
          </w:tcPr>
          <w:p>
            <w:pPr>
              <w:pStyle w:val="TableContents"/>
              <w:bidi w:val="0"/>
              <w:spacing w:before="0" w:after="283"/>
              <w:jc w:val="left"/>
              <w:rPr>
                <w:sz w:val="4"/>
                <w:szCs w:val="4"/>
              </w:rPr>
            </w:pPr>
            <w:r>
              <w:rPr>
                <w:sz w:val="4"/>
                <w:szCs w:val="4"/>
              </w:rPr>
            </w:r>
          </w:p>
        </w:tc>
      </w:tr>
      <w:tr>
        <w:trPr/>
        <w:tc>
          <w:tcPr>
            <w:tcW w:w="16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(dollars 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2026</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2026 v.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2026</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2026 v.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1685"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Pre-opening costs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$8,408</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$4,542</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$3,866</w:t>
            </w:r>
          </w:p>
        </w:tc>
        <w:tc>
          <w:tcPr>
            <w:tcW w:w="32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85.1%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$14,749</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$10,153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$4,596</w:t>
            </w:r>
          </w:p>
        </w:tc>
        <w:tc>
          <w:tcPr>
            <w:tcW w:w="32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45.3%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131E29"/>
                <w:sz w:val="18"/>
              </w:rPr>
            </w:pPr>
            <w:r>
              <w:rPr>
                <w:rFonts w:ascii="Arial;sans-serif" w:hAnsi="Arial;sans-serif"/>
                <w:b w:val="false"/>
                <w:i/>
                <w:color w:val="131E29"/>
                <w:sz w:val="18"/>
              </w:rPr>
              <w:t>As a percentage of company-operated shops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40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1.4%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20 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8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New company-operated shops opened</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44</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30</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14</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46.7%</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77</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55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22</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40.0%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Pre-opening costs per new company-operated shop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$191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$151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25.8%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$192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$185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3.8%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6098"/>
          <w:sz w:val="20"/>
          <w:u w:val="single"/>
        </w:rPr>
      </w:pPr>
      <w:r>
        <w:rPr>
          <w:rFonts w:ascii="Arial;sans-serif" w:hAnsi="Arial;sans-serif"/>
          <w:b w:val="false"/>
          <w:color w:val="006098"/>
          <w:sz w:val="20"/>
          <w:u w:val="single"/>
        </w:rPr>
        <w:t>Three and Six Months Ended June 30, 2026 v. 2025</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increase in pre-opening costs was primarily driven by increased travel for setup and training teams, and lease expense related to unopened shops, in the three and six months ended June 30, 2026 as compared to the same period in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63220"/>
                <wp:effectExtent l="0" t="0" r="0" b="0"/>
                <wp:wrapNone/>
                <wp:docPr id="115" name="Frame38"/>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16"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43" descr=""/>
                                          <pic:cNvPicPr>
                                            <a:picLocks noChangeAspect="1" noChangeArrowheads="1"/>
                                          </pic:cNvPicPr>
                                        </pic:nvPicPr>
                                        <pic:blipFill>
                                          <a:blip r:embed="rId79"/>
                                          <a:stretch>
                                            <a:fillRect/>
                                          </a:stretch>
                                        </pic:blipFill>
                                        <pic:spPr bwMode="auto">
                                          <a:xfrm>
                                            <a:off x="0" y="0"/>
                                            <a:ext cx="190500" cy="266700"/>
                                          </a:xfrm>
                                          <a:prstGeom prst="rect">
                                            <a:avLst/>
                                          </a:prstGeom>
                                        </pic:spPr>
                                      </pic:pic>
                                    </a:graphicData>
                                  </a:graphic>
                                </wp:inline>
                              </w:drawing>
                            </w:r>
                            <w:bookmarkStart w:id="77" w:name="i-43"/>
                            <w:bookmarkEnd w:id="77"/>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17"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43" descr=""/>
                                    <pic:cNvPicPr>
                                      <a:picLocks noChangeAspect="1" noChangeArrowheads="1"/>
                                    </pic:cNvPicPr>
                                  </pic:nvPicPr>
                                  <pic:blipFill>
                                    <a:blip r:embed="rId80"/>
                                    <a:stretch>
                                      <a:fillRect/>
                                    </a:stretch>
                                  </pic:blipFill>
                                  <pic:spPr bwMode="auto">
                                    <a:xfrm>
                                      <a:off x="0" y="0"/>
                                      <a:ext cx="190500" cy="266700"/>
                                    </a:xfrm>
                                    <a:prstGeom prst="rect">
                                      <a:avLst/>
                                    </a:prstGeom>
                                  </pic:spPr>
                                </pic:pic>
                              </a:graphicData>
                            </a:graphic>
                          </wp:inline>
                        </w:drawing>
                      </w:r>
                      <w:bookmarkStart w:id="78" w:name="i-43"/>
                      <w:bookmarkEnd w:id="78"/>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36</w:t>
                      </w:r>
                    </w:p>
                  </w:txbxContent>
                </v:textbox>
                <w10:wrap type="none"/>
              </v:rect>
            </w:pict>
          </mc:Fallback>
        </mc:AlternateContent>
      </w:r>
    </w:p>
    <w:p>
      <w:pPr>
        <w:pStyle w:val="TextBody"/>
        <w:bidi w:val="0"/>
        <w:spacing w:lineRule="auto" w:line="288" w:before="0" w:after="180"/>
        <w:jc w:val="both"/>
        <w:rPr/>
      </w:pPr>
      <w:hyperlink w:anchor="i901a725797c944a19267b6f140f14c09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Depreciation and Amortization</w:t>
      </w:r>
    </w:p>
    <w:tbl>
      <w:tblPr>
        <w:tblW w:w="10494" w:type="dxa"/>
        <w:jc w:val="left"/>
        <w:tblInd w:w="0" w:type="dxa"/>
        <w:tblLayout w:type="fixed"/>
        <w:tblCellMar>
          <w:top w:w="28" w:type="dxa"/>
          <w:left w:w="28" w:type="dxa"/>
          <w:bottom w:w="28" w:type="dxa"/>
          <w:right w:w="28" w:type="dxa"/>
        </w:tblCellMar>
      </w:tblPr>
      <w:tblGrid>
        <w:gridCol w:w="934"/>
        <w:gridCol w:w="434"/>
        <w:gridCol w:w="298"/>
        <w:gridCol w:w="109"/>
        <w:gridCol w:w="109"/>
        <w:gridCol w:w="109"/>
        <w:gridCol w:w="259"/>
        <w:gridCol w:w="259"/>
        <w:gridCol w:w="263"/>
        <w:gridCol w:w="109"/>
        <w:gridCol w:w="109"/>
        <w:gridCol w:w="109"/>
        <w:gridCol w:w="259"/>
        <w:gridCol w:w="259"/>
        <w:gridCol w:w="263"/>
        <w:gridCol w:w="109"/>
        <w:gridCol w:w="109"/>
        <w:gridCol w:w="109"/>
        <w:gridCol w:w="225"/>
        <w:gridCol w:w="225"/>
        <w:gridCol w:w="226"/>
        <w:gridCol w:w="109"/>
        <w:gridCol w:w="109"/>
        <w:gridCol w:w="109"/>
        <w:gridCol w:w="155"/>
        <w:gridCol w:w="155"/>
        <w:gridCol w:w="156"/>
        <w:gridCol w:w="109"/>
        <w:gridCol w:w="109"/>
        <w:gridCol w:w="109"/>
        <w:gridCol w:w="259"/>
        <w:gridCol w:w="259"/>
        <w:gridCol w:w="263"/>
        <w:gridCol w:w="109"/>
        <w:gridCol w:w="109"/>
        <w:gridCol w:w="109"/>
        <w:gridCol w:w="259"/>
        <w:gridCol w:w="259"/>
        <w:gridCol w:w="263"/>
        <w:gridCol w:w="109"/>
        <w:gridCol w:w="109"/>
        <w:gridCol w:w="109"/>
        <w:gridCol w:w="109"/>
        <w:gridCol w:w="109"/>
        <w:gridCol w:w="260"/>
        <w:gridCol w:w="260"/>
        <w:gridCol w:w="261"/>
        <w:gridCol w:w="109"/>
        <w:gridCol w:w="109"/>
        <w:gridCol w:w="109"/>
        <w:gridCol w:w="155"/>
        <w:gridCol w:w="155"/>
        <w:gridCol w:w="156"/>
        <w:gridCol w:w="109"/>
        <w:gridCol w:w="109"/>
        <w:gridCol w:w="109"/>
        <w:gridCol w:w="154"/>
      </w:tblGrid>
      <w:tr>
        <w:trPr/>
        <w:tc>
          <w:tcPr>
            <w:tcW w:w="9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5" w:type="dxa"/>
            <w:gridSpan w:val="21"/>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5" w:type="dxa"/>
            <w:gridSpan w:val="17"/>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Six Months Ended June 30,</w:t>
            </w:r>
          </w:p>
        </w:tc>
        <w:tc>
          <w:tcPr>
            <w:tcW w:w="1274" w:type="dxa"/>
            <w:gridSpan w:val="10"/>
            <w:tcBorders/>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(dollars 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2026</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2026 v.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2026</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2026 v.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6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Depreciation and amortization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$32,669</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$25,684</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$6,985</w:t>
            </w:r>
          </w:p>
        </w:tc>
        <w:tc>
          <w:tcPr>
            <w:tcW w:w="32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27.2%</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$68,191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$50,251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$17,940</w:t>
            </w:r>
          </w:p>
        </w:tc>
        <w:tc>
          <w:tcPr>
            <w:tcW w:w="32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35.7%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131E29"/>
                <w:sz w:val="18"/>
              </w:rPr>
            </w:pPr>
            <w:r>
              <w:rPr>
                <w:rFonts w:ascii="Arial;sans-serif" w:hAnsi="Arial;sans-serif"/>
                <w:b w:val="false"/>
                <w:i/>
                <w:color w:val="131E29"/>
                <w:sz w:val="18"/>
              </w:rPr>
              <w:t>As a percentage of company-operated shops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(40)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7.1%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10 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Three and Six Months Ended June 30, 2026 v. 2025</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increase in depreciation and amortization was primarily driven by the increase in the number of company-operated shops in the current period compared to the prior period and an adjustment recorded in 2026 as a result of our evaluation of the useful lives of certain shop related assets previously placed into service.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Company-operated Shops Gross Profit and Contribution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factors described above resulted in a gross profit margin decrease of 10 basis points and 90 basis points for the three and six months ended June 30, 2026 compared to 2025, respectively.</w:t>
      </w:r>
    </w:p>
    <w:tbl>
      <w:tblPr>
        <w:tblW w:w="11064" w:type="dxa"/>
        <w:jc w:val="left"/>
        <w:tblInd w:w="0" w:type="dxa"/>
        <w:tblLayout w:type="fixed"/>
        <w:tblCellMar>
          <w:top w:w="28" w:type="dxa"/>
          <w:left w:w="28" w:type="dxa"/>
          <w:bottom w:w="28" w:type="dxa"/>
          <w:right w:w="28" w:type="dxa"/>
        </w:tblCellMar>
      </w:tblPr>
      <w:tblGrid>
        <w:gridCol w:w="901"/>
        <w:gridCol w:w="512"/>
        <w:gridCol w:w="298"/>
        <w:gridCol w:w="109"/>
        <w:gridCol w:w="109"/>
        <w:gridCol w:w="109"/>
        <w:gridCol w:w="294"/>
        <w:gridCol w:w="294"/>
        <w:gridCol w:w="298"/>
        <w:gridCol w:w="109"/>
        <w:gridCol w:w="109"/>
        <w:gridCol w:w="109"/>
        <w:gridCol w:w="293"/>
        <w:gridCol w:w="293"/>
        <w:gridCol w:w="300"/>
        <w:gridCol w:w="109"/>
        <w:gridCol w:w="109"/>
        <w:gridCol w:w="109"/>
        <w:gridCol w:w="260"/>
        <w:gridCol w:w="260"/>
        <w:gridCol w:w="261"/>
        <w:gridCol w:w="109"/>
        <w:gridCol w:w="109"/>
        <w:gridCol w:w="109"/>
        <w:gridCol w:w="155"/>
        <w:gridCol w:w="155"/>
        <w:gridCol w:w="156"/>
        <w:gridCol w:w="109"/>
        <w:gridCol w:w="109"/>
        <w:gridCol w:w="109"/>
        <w:gridCol w:w="294"/>
        <w:gridCol w:w="294"/>
        <w:gridCol w:w="298"/>
        <w:gridCol w:w="109"/>
        <w:gridCol w:w="109"/>
        <w:gridCol w:w="109"/>
        <w:gridCol w:w="294"/>
        <w:gridCol w:w="294"/>
        <w:gridCol w:w="298"/>
        <w:gridCol w:w="109"/>
        <w:gridCol w:w="109"/>
        <w:gridCol w:w="109"/>
        <w:gridCol w:w="109"/>
        <w:gridCol w:w="109"/>
        <w:gridCol w:w="260"/>
        <w:gridCol w:w="260"/>
        <w:gridCol w:w="261"/>
        <w:gridCol w:w="109"/>
        <w:gridCol w:w="109"/>
        <w:gridCol w:w="109"/>
        <w:gridCol w:w="155"/>
        <w:gridCol w:w="155"/>
        <w:gridCol w:w="156"/>
        <w:gridCol w:w="109"/>
        <w:gridCol w:w="109"/>
        <w:gridCol w:w="109"/>
        <w:gridCol w:w="154"/>
      </w:tblGrid>
      <w:tr>
        <w:trPr/>
        <w:tc>
          <w:tcPr>
            <w:tcW w:w="90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0" w:type="dxa"/>
            <w:gridSpan w:val="21"/>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5" w:type="dxa"/>
            <w:gridSpan w:val="17"/>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Six Months Ended June 30,</w:t>
            </w:r>
          </w:p>
        </w:tc>
        <w:tc>
          <w:tcPr>
            <w:tcW w:w="1274" w:type="dxa"/>
            <w:gridSpan w:val="10"/>
            <w:tcBorders/>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(dollars 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2026</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2026 v.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2026</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2026 v.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71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Company-operated shops gross profit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$123,301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$92,552</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$30,749</w:t>
            </w:r>
          </w:p>
        </w:tc>
        <w:tc>
          <w:tcPr>
            <w:tcW w:w="32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33.2%</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$209,083</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$164,050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$45,033</w:t>
            </w:r>
          </w:p>
        </w:tc>
        <w:tc>
          <w:tcPr>
            <w:tcW w:w="32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27.5%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131E29"/>
                <w:sz w:val="18"/>
              </w:rPr>
            </w:pPr>
            <w:r>
              <w:rPr>
                <w:rFonts w:ascii="Arial;sans-serif" w:hAnsi="Arial;sans-serif"/>
                <w:b w:val="false"/>
                <w:i/>
                <w:color w:val="131E29"/>
                <w:sz w:val="18"/>
              </w:rPr>
              <w:t>As a percentage of company-operated shops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24.2%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24.3%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(10)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22.3%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23.2%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(90) 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 xml:space="preserve">Company-operated shops contribution </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$155,970</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$118,236</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$37,734</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31.9%</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$277,274</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$214,301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$62,973</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29.4%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131E29"/>
                <w:sz w:val="18"/>
              </w:rPr>
            </w:pPr>
            <w:r>
              <w:rPr>
                <w:rFonts w:ascii="Arial;sans-serif" w:hAnsi="Arial;sans-serif"/>
                <w:b w:val="false"/>
                <w:i/>
                <w:color w:val="131E29"/>
                <w:sz w:val="18"/>
              </w:rPr>
              <w:t>As a percentage of company-operated shops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30.6%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(50)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29.5%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30.3%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(80) 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Franchising and Other Segment Performance</w:t>
      </w:r>
    </w:p>
    <w:tbl>
      <w:tblPr>
        <w:tblW w:w="10205" w:type="dxa"/>
        <w:jc w:val="left"/>
        <w:tblInd w:w="0" w:type="dxa"/>
        <w:tblLayout w:type="fixed"/>
        <w:tblCellMar>
          <w:top w:w="28" w:type="dxa"/>
          <w:left w:w="28" w:type="dxa"/>
          <w:bottom w:w="28" w:type="dxa"/>
          <w:right w:w="28" w:type="dxa"/>
        </w:tblCellMar>
      </w:tblPr>
      <w:tblGrid>
        <w:gridCol w:w="522"/>
        <w:gridCol w:w="331"/>
        <w:gridCol w:w="333"/>
        <w:gridCol w:w="109"/>
        <w:gridCol w:w="109"/>
        <w:gridCol w:w="109"/>
        <w:gridCol w:w="259"/>
        <w:gridCol w:w="259"/>
        <w:gridCol w:w="263"/>
        <w:gridCol w:w="109"/>
        <w:gridCol w:w="109"/>
        <w:gridCol w:w="109"/>
        <w:gridCol w:w="259"/>
        <w:gridCol w:w="259"/>
        <w:gridCol w:w="263"/>
        <w:gridCol w:w="109"/>
        <w:gridCol w:w="109"/>
        <w:gridCol w:w="109"/>
        <w:gridCol w:w="225"/>
        <w:gridCol w:w="225"/>
        <w:gridCol w:w="226"/>
        <w:gridCol w:w="109"/>
        <w:gridCol w:w="109"/>
        <w:gridCol w:w="109"/>
        <w:gridCol w:w="211"/>
        <w:gridCol w:w="180"/>
        <w:gridCol w:w="160"/>
        <w:gridCol w:w="109"/>
        <w:gridCol w:w="109"/>
        <w:gridCol w:w="109"/>
        <w:gridCol w:w="259"/>
        <w:gridCol w:w="259"/>
        <w:gridCol w:w="263"/>
        <w:gridCol w:w="110"/>
        <w:gridCol w:w="110"/>
        <w:gridCol w:w="110"/>
        <w:gridCol w:w="259"/>
        <w:gridCol w:w="259"/>
        <w:gridCol w:w="263"/>
        <w:gridCol w:w="110"/>
        <w:gridCol w:w="110"/>
        <w:gridCol w:w="110"/>
        <w:gridCol w:w="110"/>
        <w:gridCol w:w="110"/>
        <w:gridCol w:w="260"/>
        <w:gridCol w:w="260"/>
        <w:gridCol w:w="261"/>
        <w:gridCol w:w="109"/>
        <w:gridCol w:w="109"/>
        <w:gridCol w:w="109"/>
        <w:gridCol w:w="211"/>
        <w:gridCol w:w="180"/>
        <w:gridCol w:w="160"/>
        <w:gridCol w:w="109"/>
        <w:gridCol w:w="109"/>
        <w:gridCol w:w="109"/>
        <w:gridCol w:w="167"/>
      </w:tblGrid>
      <w:tr>
        <w:trPr/>
        <w:tc>
          <w:tcPr>
            <w:tcW w:w="52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0" w:type="dxa"/>
            <w:gridSpan w:val="21"/>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3" w:type="dxa"/>
            <w:gridSpan w:val="17"/>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Six Months Ended June 30,</w:t>
            </w:r>
          </w:p>
        </w:tc>
        <w:tc>
          <w:tcPr>
            <w:tcW w:w="1372" w:type="dxa"/>
            <w:gridSpan w:val="10"/>
            <w:tcBorders/>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(dollars 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2026</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2026 v.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2026</w:t>
            </w:r>
          </w:p>
        </w:tc>
        <w:tc>
          <w:tcPr>
            <w:tcW w:w="330"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2026 v.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gridSpan w:val="2"/>
            <w:tcBorders/>
          </w:tcPr>
          <w:p>
            <w:pPr>
              <w:pStyle w:val="TableContents"/>
              <w:bidi w:val="0"/>
              <w:spacing w:before="0" w:after="283"/>
              <w:jc w:val="left"/>
              <w:rPr>
                <w:sz w:val="4"/>
                <w:szCs w:val="4"/>
              </w:rPr>
            </w:pPr>
            <w:r>
              <w:rPr>
                <w:sz w:val="4"/>
                <w:szCs w:val="4"/>
              </w:rPr>
            </w:r>
          </w:p>
        </w:tc>
      </w:tr>
      <w:tr>
        <w:trPr/>
        <w:tc>
          <w:tcPr>
            <w:tcW w:w="118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Franchising and other revenue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$40,820</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$35,313</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$5,507</w:t>
            </w:r>
          </w:p>
        </w:tc>
        <w:tc>
          <w:tcPr>
            <w:tcW w:w="32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15.6%</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$76,175</w:t>
            </w:r>
          </w:p>
        </w:tc>
        <w:tc>
          <w:tcPr>
            <w:tcW w:w="33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$64,044</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$12,131</w:t>
            </w:r>
          </w:p>
        </w:tc>
        <w:tc>
          <w:tcPr>
            <w:tcW w:w="32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18.9%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Franchising and other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27,755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27,492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263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49,449</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45,987</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3,462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7.5%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131E29"/>
                <w:sz w:val="18"/>
              </w:rPr>
            </w:pPr>
            <w:r>
              <w:rPr>
                <w:rFonts w:ascii="Arial;sans-serif" w:hAnsi="Arial;sans-serif"/>
                <w:b w:val="false"/>
                <w:i/>
                <w:color w:val="131E29"/>
                <w:sz w:val="18"/>
              </w:rPr>
              <w:t>As a percentage of franchising and other revenue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68.0%</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77.9%</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(990) bps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64.9%</w:t>
            </w:r>
          </w:p>
        </w:tc>
        <w:tc>
          <w:tcPr>
            <w:tcW w:w="33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71.8%</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3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(690) 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Three and Six Months Ended June 30, 2026 v. 2025</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franchising and other gross profit increases for the three and six months ended June 30, 2026 were primarily driven by products sold to franchisees (net of costs and adjustments), royalties and marketing fees generated from higher franchise partner sales.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63220"/>
                <wp:effectExtent l="0" t="0" r="0" b="0"/>
                <wp:wrapNone/>
                <wp:docPr id="118" name="Frame39"/>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19"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44" descr=""/>
                                          <pic:cNvPicPr>
                                            <a:picLocks noChangeAspect="1" noChangeArrowheads="1"/>
                                          </pic:cNvPicPr>
                                        </pic:nvPicPr>
                                        <pic:blipFill>
                                          <a:blip r:embed="rId81"/>
                                          <a:stretch>
                                            <a:fillRect/>
                                          </a:stretch>
                                        </pic:blipFill>
                                        <pic:spPr bwMode="auto">
                                          <a:xfrm>
                                            <a:off x="0" y="0"/>
                                            <a:ext cx="190500" cy="266700"/>
                                          </a:xfrm>
                                          <a:prstGeom prst="rect">
                                            <a:avLst/>
                                          </a:prstGeom>
                                        </pic:spPr>
                                      </pic:pic>
                                    </a:graphicData>
                                  </a:graphic>
                                </wp:inline>
                              </w:drawing>
                            </w:r>
                            <w:bookmarkStart w:id="79" w:name="i-44"/>
                            <w:bookmarkEnd w:id="79"/>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20"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44" descr=""/>
                                    <pic:cNvPicPr>
                                      <a:picLocks noChangeAspect="1" noChangeArrowheads="1"/>
                                    </pic:cNvPicPr>
                                  </pic:nvPicPr>
                                  <pic:blipFill>
                                    <a:blip r:embed="rId82"/>
                                    <a:stretch>
                                      <a:fillRect/>
                                    </a:stretch>
                                  </pic:blipFill>
                                  <pic:spPr bwMode="auto">
                                    <a:xfrm>
                                      <a:off x="0" y="0"/>
                                      <a:ext cx="190500" cy="266700"/>
                                    </a:xfrm>
                                    <a:prstGeom prst="rect">
                                      <a:avLst/>
                                    </a:prstGeom>
                                  </pic:spPr>
                                </pic:pic>
                              </a:graphicData>
                            </a:graphic>
                          </wp:inline>
                        </w:drawing>
                      </w:r>
                      <w:bookmarkStart w:id="80" w:name="i-44"/>
                      <w:bookmarkEnd w:id="80"/>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37</w:t>
                      </w:r>
                    </w:p>
                  </w:txbxContent>
                </v:textbox>
                <w10:wrap type="none"/>
              </v:rect>
            </w:pict>
          </mc:Fallback>
        </mc:AlternateContent>
      </w:r>
    </w:p>
    <w:p>
      <w:pPr>
        <w:pStyle w:val="TextBody"/>
        <w:bidi w:val="0"/>
        <w:spacing w:lineRule="auto" w:line="288" w:before="0" w:after="180"/>
        <w:jc w:val="both"/>
        <w:rPr/>
      </w:pPr>
      <w:hyperlink w:anchor="i901a725797c944a19267b6f140f14c09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Selling, General, and Administrative</w:t>
      </w:r>
    </w:p>
    <w:tbl>
      <w:tblPr>
        <w:tblW w:w="10479" w:type="dxa"/>
        <w:jc w:val="left"/>
        <w:tblInd w:w="0" w:type="dxa"/>
        <w:tblLayout w:type="fixed"/>
        <w:tblCellMar>
          <w:top w:w="28" w:type="dxa"/>
          <w:left w:w="28" w:type="dxa"/>
          <w:bottom w:w="28" w:type="dxa"/>
          <w:right w:w="28" w:type="dxa"/>
        </w:tblCellMar>
      </w:tblPr>
      <w:tblGrid>
        <w:gridCol w:w="667"/>
        <w:gridCol w:w="296"/>
        <w:gridCol w:w="298"/>
        <w:gridCol w:w="109"/>
        <w:gridCol w:w="109"/>
        <w:gridCol w:w="109"/>
        <w:gridCol w:w="259"/>
        <w:gridCol w:w="259"/>
        <w:gridCol w:w="263"/>
        <w:gridCol w:w="109"/>
        <w:gridCol w:w="109"/>
        <w:gridCol w:w="109"/>
        <w:gridCol w:w="259"/>
        <w:gridCol w:w="259"/>
        <w:gridCol w:w="263"/>
        <w:gridCol w:w="109"/>
        <w:gridCol w:w="109"/>
        <w:gridCol w:w="109"/>
        <w:gridCol w:w="260"/>
        <w:gridCol w:w="260"/>
        <w:gridCol w:w="261"/>
        <w:gridCol w:w="109"/>
        <w:gridCol w:w="109"/>
        <w:gridCol w:w="109"/>
        <w:gridCol w:w="209"/>
        <w:gridCol w:w="176"/>
        <w:gridCol w:w="156"/>
        <w:gridCol w:w="109"/>
        <w:gridCol w:w="109"/>
        <w:gridCol w:w="109"/>
        <w:gridCol w:w="294"/>
        <w:gridCol w:w="294"/>
        <w:gridCol w:w="298"/>
        <w:gridCol w:w="109"/>
        <w:gridCol w:w="109"/>
        <w:gridCol w:w="109"/>
        <w:gridCol w:w="294"/>
        <w:gridCol w:w="294"/>
        <w:gridCol w:w="298"/>
        <w:gridCol w:w="109"/>
        <w:gridCol w:w="109"/>
        <w:gridCol w:w="109"/>
        <w:gridCol w:w="109"/>
        <w:gridCol w:w="109"/>
        <w:gridCol w:w="260"/>
        <w:gridCol w:w="260"/>
        <w:gridCol w:w="261"/>
        <w:gridCol w:w="109"/>
        <w:gridCol w:w="109"/>
        <w:gridCol w:w="109"/>
        <w:gridCol w:w="155"/>
        <w:gridCol w:w="155"/>
        <w:gridCol w:w="156"/>
        <w:gridCol w:w="109"/>
        <w:gridCol w:w="109"/>
        <w:gridCol w:w="109"/>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5" w:type="dxa"/>
            <w:gridSpan w:val="21"/>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5" w:type="dxa"/>
            <w:gridSpan w:val="17"/>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Six Months Ended June 30,</w:t>
            </w:r>
          </w:p>
        </w:tc>
        <w:tc>
          <w:tcPr>
            <w:tcW w:w="1274" w:type="dxa"/>
            <w:gridSpan w:val="10"/>
            <w:tcBorders/>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(dollars 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2026</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2026 v.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2026</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2026 v.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Selling, general, and administrative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$80,651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$65,385</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$15,266</w:t>
            </w:r>
          </w:p>
        </w:tc>
        <w:tc>
          <w:tcPr>
            <w:tcW w:w="32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23.3%</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$153,827</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$124,306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$29,521</w:t>
            </w:r>
          </w:p>
        </w:tc>
        <w:tc>
          <w:tcPr>
            <w:tcW w:w="32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23.7%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131E29"/>
                <w:sz w:val="18"/>
              </w:rPr>
            </w:pPr>
            <w:r>
              <w:rPr>
                <w:rFonts w:ascii="Arial;sans-serif" w:hAnsi="Arial;sans-serif"/>
                <w:b w:val="false"/>
                <w:i/>
                <w:color w:val="131E29"/>
                <w:sz w:val="18"/>
              </w:rPr>
              <w:t>As a percentage of 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14.6%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15.7%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(110)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15.2%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16.1%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(90) bps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Three Months Ended June 30, 2026 v. 2025</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selling, general, and administrative increase of approximately $15.3 million was primarily driven by increased expenses of $9.7 million consisting of investments in human capital to support our revenue growth along with higher performance-based compensation; and $1.9 million of higher equity-based compensation. These increases were partially offset by lower realignment and restructuring charges of $1.5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Six Months Ended June 30, 2026 v. 2025</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selling, general, and administrative increase of approximately $29.5 million was primarily driven by increased expenses of $15.7 million consisting of investments in human capital to support our revenue growth and higher performance-based compensation; and $2.7 million of higher equity-based compensation. These increases were partially offset by lower realignment and restructuring charges of $1.2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Other Expense</w:t>
      </w:r>
    </w:p>
    <w:tbl>
      <w:tblPr>
        <w:tblW w:w="10205" w:type="dxa"/>
        <w:jc w:val="left"/>
        <w:tblInd w:w="0" w:type="dxa"/>
        <w:tblLayout w:type="fixed"/>
        <w:tblCellMar>
          <w:top w:w="28" w:type="dxa"/>
          <w:left w:w="28" w:type="dxa"/>
          <w:bottom w:w="28" w:type="dxa"/>
          <w:right w:w="28" w:type="dxa"/>
        </w:tblCellMar>
      </w:tblPr>
      <w:tblGrid>
        <w:gridCol w:w="440"/>
        <w:gridCol w:w="375"/>
        <w:gridCol w:w="377"/>
        <w:gridCol w:w="109"/>
        <w:gridCol w:w="109"/>
        <w:gridCol w:w="109"/>
        <w:gridCol w:w="246"/>
        <w:gridCol w:w="246"/>
        <w:gridCol w:w="250"/>
        <w:gridCol w:w="110"/>
        <w:gridCol w:w="110"/>
        <w:gridCol w:w="110"/>
        <w:gridCol w:w="246"/>
        <w:gridCol w:w="246"/>
        <w:gridCol w:w="250"/>
        <w:gridCol w:w="110"/>
        <w:gridCol w:w="110"/>
        <w:gridCol w:w="110"/>
        <w:gridCol w:w="224"/>
        <w:gridCol w:w="224"/>
        <w:gridCol w:w="228"/>
        <w:gridCol w:w="111"/>
        <w:gridCol w:w="111"/>
        <w:gridCol w:w="111"/>
        <w:gridCol w:w="198"/>
        <w:gridCol w:w="184"/>
        <w:gridCol w:w="170"/>
        <w:gridCol w:w="109"/>
        <w:gridCol w:w="109"/>
        <w:gridCol w:w="109"/>
        <w:gridCol w:w="281"/>
        <w:gridCol w:w="281"/>
        <w:gridCol w:w="285"/>
        <w:gridCol w:w="112"/>
        <w:gridCol w:w="112"/>
        <w:gridCol w:w="112"/>
        <w:gridCol w:w="281"/>
        <w:gridCol w:w="281"/>
        <w:gridCol w:w="285"/>
        <w:gridCol w:w="112"/>
        <w:gridCol w:w="112"/>
        <w:gridCol w:w="112"/>
        <w:gridCol w:w="112"/>
        <w:gridCol w:w="112"/>
        <w:gridCol w:w="224"/>
        <w:gridCol w:w="224"/>
        <w:gridCol w:w="228"/>
        <w:gridCol w:w="110"/>
        <w:gridCol w:w="110"/>
        <w:gridCol w:w="110"/>
        <w:gridCol w:w="183"/>
        <w:gridCol w:w="183"/>
        <w:gridCol w:w="187"/>
        <w:gridCol w:w="109"/>
        <w:gridCol w:w="109"/>
        <w:gridCol w:w="109"/>
        <w:gridCol w:w="178"/>
      </w:tblGrid>
      <w:tr>
        <w:trPr/>
        <w:tc>
          <w:tcPr>
            <w:tcW w:w="440"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21"/>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6" w:type="dxa"/>
            <w:gridSpan w:val="17"/>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Six Months Ended June 30,</w:t>
            </w:r>
          </w:p>
        </w:tc>
        <w:tc>
          <w:tcPr>
            <w:tcW w:w="1388" w:type="dxa"/>
            <w:gridSpan w:val="10"/>
            <w:tcBorders/>
          </w:tcPr>
          <w:p>
            <w:pPr>
              <w:pStyle w:val="TableContents"/>
              <w:bidi w:val="0"/>
              <w:spacing w:before="0" w:after="283"/>
              <w:jc w:val="left"/>
              <w:rPr>
                <w:sz w:val="4"/>
                <w:szCs w:val="4"/>
              </w:rPr>
            </w:pPr>
            <w:r>
              <w:rPr>
                <w:sz w:val="4"/>
                <w:szCs w:val="4"/>
              </w:rPr>
            </w:r>
          </w:p>
        </w:tc>
      </w:tr>
      <w:tr>
        <w:trPr/>
        <w:tc>
          <w:tcPr>
            <w:tcW w:w="119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(dollars 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2026</w:t>
            </w:r>
          </w:p>
        </w:tc>
        <w:tc>
          <w:tcPr>
            <w:tcW w:w="330"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w:t>
            </w:r>
          </w:p>
        </w:tc>
        <w:tc>
          <w:tcPr>
            <w:tcW w:w="330"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2026 v.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2026</w:t>
            </w:r>
          </w:p>
        </w:tc>
        <w:tc>
          <w:tcPr>
            <w:tcW w:w="336"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w:t>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2026 v.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gridSpan w:val="2"/>
            <w:tcBorders/>
          </w:tcPr>
          <w:p>
            <w:pPr>
              <w:pStyle w:val="TableContents"/>
              <w:bidi w:val="0"/>
              <w:spacing w:before="0" w:after="283"/>
              <w:jc w:val="left"/>
              <w:rPr>
                <w:sz w:val="4"/>
                <w:szCs w:val="4"/>
              </w:rPr>
            </w:pPr>
            <w:r>
              <w:rPr>
                <w:sz w:val="4"/>
                <w:szCs w:val="4"/>
              </w:rPr>
            </w:r>
          </w:p>
        </w:tc>
      </w:tr>
      <w:tr>
        <w:trPr/>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5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5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5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5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5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5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5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5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5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5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5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5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5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192"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Interest expense on finance leases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$(6,105)</w:t>
            </w:r>
          </w:p>
        </w:tc>
        <w:tc>
          <w:tcPr>
            <w:tcW w:w="33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$(5,729)</w:t>
            </w:r>
          </w:p>
        </w:tc>
        <w:tc>
          <w:tcPr>
            <w:tcW w:w="33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$(376)</w:t>
            </w:r>
          </w:p>
        </w:tc>
        <w:tc>
          <w:tcPr>
            <w:tcW w:w="333"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6.6%</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$(12,282)</w:t>
            </w:r>
          </w:p>
        </w:tc>
        <w:tc>
          <w:tcPr>
            <w:tcW w:w="33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$(11,338)</w:t>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$(944)</w:t>
            </w:r>
          </w:p>
        </w:tc>
        <w:tc>
          <w:tcPr>
            <w:tcW w:w="330"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8.3%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1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Other 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(933)</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(1,347)</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414</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(30.7)%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(1,976)</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(2,853)</w:t>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877</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(30.7)%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192"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8"/>
              </w:rPr>
            </w:pPr>
            <w:r>
              <w:rPr>
                <w:rFonts w:ascii="Arial;sans-serif" w:hAnsi="Arial;sans-serif"/>
                <w:b w:val="false"/>
                <w:color w:val="131E29"/>
                <w:sz w:val="18"/>
              </w:rPr>
              <w:t>Interest expense, net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$(7,038)</w:t>
            </w:r>
          </w:p>
        </w:tc>
        <w:tc>
          <w:tcPr>
            <w:tcW w:w="33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$(7,076)</w:t>
            </w:r>
          </w:p>
        </w:tc>
        <w:tc>
          <w:tcPr>
            <w:tcW w:w="33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$38</w:t>
            </w:r>
          </w:p>
        </w:tc>
        <w:tc>
          <w:tcPr>
            <w:tcW w:w="33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(0.5)%</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$(14,258)</w:t>
            </w:r>
          </w:p>
        </w:tc>
        <w:tc>
          <w:tcPr>
            <w:tcW w:w="33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$(14,191)</w:t>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$(67)</w:t>
            </w:r>
          </w:p>
        </w:tc>
        <w:tc>
          <w:tcPr>
            <w:tcW w:w="33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0.5%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1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861</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(1,983)</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2,844</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786</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(2,001)</w:t>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2,787</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192"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Total other expense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6098"/>
                <w:sz w:val="18"/>
              </w:rPr>
            </w:pPr>
            <w:r>
              <w:rPr>
                <w:rFonts w:ascii="Arial;sans-serif" w:hAnsi="Arial;sans-serif"/>
                <w:b/>
                <w:color w:val="006098"/>
                <w:sz w:val="18"/>
              </w:rPr>
              <w:t>$(6,177)</w:t>
            </w:r>
          </w:p>
        </w:tc>
        <w:tc>
          <w:tcPr>
            <w:tcW w:w="33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131E29"/>
                <w:sz w:val="18"/>
              </w:rPr>
            </w:pPr>
            <w:r>
              <w:rPr>
                <w:rFonts w:ascii="Arial;sans-serif" w:hAnsi="Arial;sans-serif"/>
                <w:b/>
                <w:color w:val="131E29"/>
                <w:sz w:val="18"/>
              </w:rPr>
              <w:t>$(9,059)</w:t>
            </w:r>
          </w:p>
        </w:tc>
        <w:tc>
          <w:tcPr>
            <w:tcW w:w="33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131E29"/>
                <w:sz w:val="18"/>
              </w:rPr>
            </w:pPr>
            <w:r>
              <w:rPr>
                <w:rFonts w:ascii="Arial;sans-serif" w:hAnsi="Arial;sans-serif"/>
                <w:b/>
                <w:color w:val="131E29"/>
                <w:sz w:val="18"/>
              </w:rPr>
              <w:t>$2,882</w:t>
            </w:r>
          </w:p>
        </w:tc>
        <w:tc>
          <w:tcPr>
            <w:tcW w:w="33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131E29"/>
                <w:sz w:val="18"/>
              </w:rPr>
            </w:pPr>
            <w:r>
              <w:rPr>
                <w:rFonts w:ascii="Arial;sans-serif" w:hAnsi="Arial;sans-serif"/>
                <w:b/>
                <w:color w:val="131E29"/>
                <w:sz w:val="18"/>
              </w:rPr>
              <w:t>(31.8)%</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6098"/>
                <w:sz w:val="18"/>
              </w:rPr>
            </w:pPr>
            <w:r>
              <w:rPr>
                <w:rFonts w:ascii="Arial;sans-serif" w:hAnsi="Arial;sans-serif"/>
                <w:b/>
                <w:color w:val="006098"/>
                <w:sz w:val="18"/>
              </w:rPr>
              <w:t>$(13,472)</w:t>
            </w:r>
          </w:p>
        </w:tc>
        <w:tc>
          <w:tcPr>
            <w:tcW w:w="33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131E29"/>
                <w:sz w:val="18"/>
              </w:rPr>
            </w:pPr>
            <w:r>
              <w:rPr>
                <w:rFonts w:ascii="Arial;sans-serif" w:hAnsi="Arial;sans-serif"/>
                <w:b/>
                <w:color w:val="131E29"/>
                <w:sz w:val="18"/>
              </w:rPr>
              <w:t>$(16,192)</w:t>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131E29"/>
                <w:sz w:val="18"/>
              </w:rPr>
            </w:pPr>
            <w:r>
              <w:rPr>
                <w:rFonts w:ascii="Arial;sans-serif" w:hAnsi="Arial;sans-serif"/>
                <w:b/>
                <w:color w:val="131E29"/>
                <w:sz w:val="18"/>
              </w:rPr>
              <w:t>$2,720</w:t>
            </w:r>
          </w:p>
        </w:tc>
        <w:tc>
          <w:tcPr>
            <w:tcW w:w="33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131E29"/>
                <w:sz w:val="18"/>
              </w:rPr>
            </w:pPr>
            <w:r>
              <w:rPr>
                <w:rFonts w:ascii="Arial;sans-serif" w:hAnsi="Arial;sans-serif"/>
                <w:b/>
                <w:color w:val="131E29"/>
                <w:sz w:val="18"/>
              </w:rPr>
              <w:t>(16.8)%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5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5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5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Three and Six Months Ended June 30, 2026 v. 2025</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increase in other income (expense), net was primarily driven by non-recurring expenses in the prior year related to our May 2025 credit facility refinancing.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 xml:space="preserve">Income Tax Expense </w:t>
      </w:r>
    </w:p>
    <w:tbl>
      <w:tblPr>
        <w:tblW w:w="10205" w:type="dxa"/>
        <w:jc w:val="left"/>
        <w:tblInd w:w="0" w:type="dxa"/>
        <w:tblLayout w:type="fixed"/>
        <w:tblCellMar>
          <w:top w:w="28" w:type="dxa"/>
          <w:left w:w="28" w:type="dxa"/>
          <w:bottom w:w="28" w:type="dxa"/>
          <w:right w:w="28" w:type="dxa"/>
        </w:tblCellMar>
      </w:tblPr>
      <w:tblGrid>
        <w:gridCol w:w="520"/>
        <w:gridCol w:w="457"/>
        <w:gridCol w:w="460"/>
        <w:gridCol w:w="109"/>
        <w:gridCol w:w="109"/>
        <w:gridCol w:w="109"/>
        <w:gridCol w:w="259"/>
        <w:gridCol w:w="259"/>
        <w:gridCol w:w="263"/>
        <w:gridCol w:w="114"/>
        <w:gridCol w:w="114"/>
        <w:gridCol w:w="114"/>
        <w:gridCol w:w="224"/>
        <w:gridCol w:w="224"/>
        <w:gridCol w:w="228"/>
        <w:gridCol w:w="114"/>
        <w:gridCol w:w="114"/>
        <w:gridCol w:w="114"/>
        <w:gridCol w:w="225"/>
        <w:gridCol w:w="225"/>
        <w:gridCol w:w="226"/>
        <w:gridCol w:w="116"/>
        <w:gridCol w:w="116"/>
        <w:gridCol w:w="116"/>
        <w:gridCol w:w="172"/>
        <w:gridCol w:w="172"/>
        <w:gridCol w:w="173"/>
        <w:gridCol w:w="109"/>
        <w:gridCol w:w="109"/>
        <w:gridCol w:w="109"/>
        <w:gridCol w:w="259"/>
        <w:gridCol w:w="259"/>
        <w:gridCol w:w="263"/>
        <w:gridCol w:w="119"/>
        <w:gridCol w:w="119"/>
        <w:gridCol w:w="119"/>
        <w:gridCol w:w="224"/>
        <w:gridCol w:w="224"/>
        <w:gridCol w:w="228"/>
        <w:gridCol w:w="119"/>
        <w:gridCol w:w="119"/>
        <w:gridCol w:w="119"/>
        <w:gridCol w:w="119"/>
        <w:gridCol w:w="119"/>
        <w:gridCol w:w="225"/>
        <w:gridCol w:w="225"/>
        <w:gridCol w:w="226"/>
        <w:gridCol w:w="112"/>
        <w:gridCol w:w="112"/>
        <w:gridCol w:w="112"/>
        <w:gridCol w:w="172"/>
        <w:gridCol w:w="172"/>
        <w:gridCol w:w="173"/>
        <w:gridCol w:w="109"/>
        <w:gridCol w:w="109"/>
        <w:gridCol w:w="109"/>
        <w:gridCol w:w="167"/>
      </w:tblGrid>
      <w:tr>
        <w:trPr/>
        <w:tc>
          <w:tcPr>
            <w:tcW w:w="520"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2" w:type="dxa"/>
            <w:gridSpan w:val="21"/>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17"/>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Six Months Ended June 30,</w:t>
            </w:r>
          </w:p>
        </w:tc>
        <w:tc>
          <w:tcPr>
            <w:tcW w:w="1347" w:type="dxa"/>
            <w:gridSpan w:val="10"/>
            <w:tcBorders/>
          </w:tcPr>
          <w:p>
            <w:pPr>
              <w:pStyle w:val="TableContents"/>
              <w:bidi w:val="0"/>
              <w:spacing w:before="0" w:after="283"/>
              <w:jc w:val="left"/>
              <w:rPr>
                <w:sz w:val="4"/>
                <w:szCs w:val="4"/>
              </w:rPr>
            </w:pPr>
            <w:r>
              <w:rPr>
                <w:sz w:val="4"/>
                <w:szCs w:val="4"/>
              </w:rPr>
            </w:r>
          </w:p>
        </w:tc>
      </w:tr>
      <w:tr>
        <w:trPr/>
        <w:tc>
          <w:tcPr>
            <w:tcW w:w="14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(dollars 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2026</w:t>
            </w:r>
          </w:p>
        </w:tc>
        <w:tc>
          <w:tcPr>
            <w:tcW w:w="342"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w:t>
            </w:r>
          </w:p>
        </w:tc>
        <w:tc>
          <w:tcPr>
            <w:tcW w:w="342"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2026 v.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2026</w:t>
            </w:r>
          </w:p>
        </w:tc>
        <w:tc>
          <w:tcPr>
            <w:tcW w:w="35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w:t>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2026 v.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gridSpan w:val="2"/>
            <w:tcBorders/>
          </w:tcPr>
          <w:p>
            <w:pPr>
              <w:pStyle w:val="TableContents"/>
              <w:bidi w:val="0"/>
              <w:spacing w:before="0" w:after="283"/>
              <w:jc w:val="left"/>
              <w:rPr>
                <w:sz w:val="4"/>
                <w:szCs w:val="4"/>
              </w:rPr>
            </w:pPr>
            <w:r>
              <w:rPr>
                <w:sz w:val="4"/>
                <w:szCs w:val="4"/>
              </w:rPr>
            </w:r>
          </w:p>
        </w:tc>
      </w:tr>
      <w:tr>
        <w:trPr/>
        <w:tc>
          <w:tcPr>
            <w:tcW w:w="1437"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Income tax expense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$12,623</w:t>
            </w:r>
          </w:p>
        </w:tc>
        <w:tc>
          <w:tcPr>
            <w:tcW w:w="34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$7,243</w:t>
            </w:r>
          </w:p>
        </w:tc>
        <w:tc>
          <w:tcPr>
            <w:tcW w:w="34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$5,380</w:t>
            </w:r>
          </w:p>
        </w:tc>
        <w:tc>
          <w:tcPr>
            <w:tcW w:w="348"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74.3%</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$15,964</w:t>
            </w:r>
          </w:p>
        </w:tc>
        <w:tc>
          <w:tcPr>
            <w:tcW w:w="35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$8,702</w:t>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$7,262</w:t>
            </w:r>
          </w:p>
        </w:tc>
        <w:tc>
          <w:tcPr>
            <w:tcW w:w="336"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83.5%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Effective tax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19.7%</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15.9%</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N/A</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18"/>
              </w:rPr>
            </w:pPr>
            <w:r>
              <w:rPr>
                <w:rFonts w:ascii="Arial;sans-serif" w:hAnsi="Arial;sans-serif"/>
                <w:b w:val="false"/>
                <w:color w:val="006098"/>
                <w:sz w:val="18"/>
              </w:rPr>
              <w:t>17.5%</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12.5%</w:t>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N/A</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131E29"/>
                <w:sz w:val="18"/>
              </w:rPr>
            </w:pPr>
            <w:r>
              <w:rPr>
                <w:rFonts w:ascii="Arial;sans-serif" w:hAnsi="Arial;sans-serif"/>
                <w:b w:val="false"/>
                <w:color w:val="131E29"/>
                <w:sz w:val="18"/>
              </w:rPr>
              <w:t>N/A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Three and Six Months Ended June 30, 2026 v. 2025</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increase in effective tax rate was primarily driven by the increase in our ownership of Dutch Bros OpCo.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63220"/>
                <wp:effectExtent l="0" t="0" r="0" b="0"/>
                <wp:wrapNone/>
                <wp:docPr id="121" name="Frame40"/>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22"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45" descr=""/>
                                          <pic:cNvPicPr>
                                            <a:picLocks noChangeAspect="1" noChangeArrowheads="1"/>
                                          </pic:cNvPicPr>
                                        </pic:nvPicPr>
                                        <pic:blipFill>
                                          <a:blip r:embed="rId83"/>
                                          <a:stretch>
                                            <a:fillRect/>
                                          </a:stretch>
                                        </pic:blipFill>
                                        <pic:spPr bwMode="auto">
                                          <a:xfrm>
                                            <a:off x="0" y="0"/>
                                            <a:ext cx="190500" cy="266700"/>
                                          </a:xfrm>
                                          <a:prstGeom prst="rect">
                                            <a:avLst/>
                                          </a:prstGeom>
                                        </pic:spPr>
                                      </pic:pic>
                                    </a:graphicData>
                                  </a:graphic>
                                </wp:inline>
                              </w:drawing>
                            </w:r>
                            <w:bookmarkStart w:id="81" w:name="i-45"/>
                            <w:bookmarkEnd w:id="81"/>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23"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45" descr=""/>
                                    <pic:cNvPicPr>
                                      <a:picLocks noChangeAspect="1" noChangeArrowheads="1"/>
                                    </pic:cNvPicPr>
                                  </pic:nvPicPr>
                                  <pic:blipFill>
                                    <a:blip r:embed="rId84"/>
                                    <a:stretch>
                                      <a:fillRect/>
                                    </a:stretch>
                                  </pic:blipFill>
                                  <pic:spPr bwMode="auto">
                                    <a:xfrm>
                                      <a:off x="0" y="0"/>
                                      <a:ext cx="190500" cy="266700"/>
                                    </a:xfrm>
                                    <a:prstGeom prst="rect">
                                      <a:avLst/>
                                    </a:prstGeom>
                                  </pic:spPr>
                                </pic:pic>
                              </a:graphicData>
                            </a:graphic>
                          </wp:inline>
                        </w:drawing>
                      </w:r>
                      <w:bookmarkStart w:id="82" w:name="i-45"/>
                      <w:bookmarkEnd w:id="82"/>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38</w:t>
                      </w:r>
                    </w:p>
                  </w:txbxContent>
                </v:textbox>
                <w10:wrap type="none"/>
              </v:rect>
            </w:pict>
          </mc:Fallback>
        </mc:AlternateContent>
      </w:r>
    </w:p>
    <w:p>
      <w:pPr>
        <w:pStyle w:val="TextBody"/>
        <w:bidi w:val="0"/>
        <w:spacing w:lineRule="auto" w:line="288" w:before="0" w:after="180"/>
        <w:jc w:val="both"/>
        <w:rPr/>
      </w:pPr>
      <w:hyperlink w:anchor="i901a725797c944a19267b6f140f14c09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Liquidity and Capital Resources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Cash Overview</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had cash and cash equivalents of $268.6 million and $269.4 million as of June 30, 2026 and December 31, 2025, respectively.</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For the six months ended June 30, 2026, our principal sources of liquidity were cash flows from operations. Our principal uses of liquidity for the six months ended June 30, 2026 were to fund our new shop builds, purchase the assets of Clutch Coffee and other working capital needs.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Cash Flows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following table summarizes our cash flows for the periods presented:</w:t>
      </w:r>
    </w:p>
    <w:tbl>
      <w:tblPr>
        <w:tblW w:w="10205" w:type="dxa"/>
        <w:jc w:val="left"/>
        <w:tblInd w:w="0" w:type="dxa"/>
        <w:tblLayout w:type="fixed"/>
        <w:tblCellMar>
          <w:top w:w="28" w:type="dxa"/>
          <w:left w:w="28" w:type="dxa"/>
          <w:bottom w:w="28" w:type="dxa"/>
          <w:right w:w="28" w:type="dxa"/>
        </w:tblCellMar>
      </w:tblPr>
      <w:tblGrid>
        <w:gridCol w:w="1435"/>
        <w:gridCol w:w="1226"/>
        <w:gridCol w:w="1236"/>
        <w:gridCol w:w="109"/>
        <w:gridCol w:w="109"/>
        <w:gridCol w:w="109"/>
        <w:gridCol w:w="211"/>
        <w:gridCol w:w="856"/>
        <w:gridCol w:w="109"/>
        <w:gridCol w:w="109"/>
        <w:gridCol w:w="109"/>
        <w:gridCol w:w="109"/>
        <w:gridCol w:w="211"/>
        <w:gridCol w:w="856"/>
        <w:gridCol w:w="109"/>
        <w:gridCol w:w="109"/>
        <w:gridCol w:w="109"/>
        <w:gridCol w:w="109"/>
        <w:gridCol w:w="109"/>
        <w:gridCol w:w="109"/>
        <w:gridCol w:w="211"/>
        <w:gridCol w:w="751"/>
        <w:gridCol w:w="109"/>
        <w:gridCol w:w="109"/>
        <w:gridCol w:w="109"/>
        <w:gridCol w:w="109"/>
        <w:gridCol w:w="294"/>
        <w:gridCol w:w="296"/>
        <w:gridCol w:w="286"/>
        <w:gridCol w:w="109"/>
        <w:gridCol w:w="109"/>
        <w:gridCol w:w="109"/>
        <w:gridCol w:w="156"/>
      </w:tblGrid>
      <w:tr>
        <w:trPr/>
        <w:tc>
          <w:tcPr>
            <w:tcW w:w="1435"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5" w:type="dxa"/>
            <w:gridSpan w:val="17"/>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Six Months Ended June 30,</w:t>
            </w:r>
          </w:p>
        </w:tc>
        <w:tc>
          <w:tcPr>
            <w:tcW w:w="1686" w:type="dxa"/>
            <w:gridSpan w:val="10"/>
            <w:tcBorders/>
          </w:tcPr>
          <w:p>
            <w:pPr>
              <w:pStyle w:val="TableContents"/>
              <w:bidi w:val="0"/>
              <w:spacing w:before="0" w:after="283"/>
              <w:jc w:val="left"/>
              <w:rPr>
                <w:sz w:val="4"/>
                <w:szCs w:val="4"/>
              </w:rPr>
            </w:pPr>
            <w:r>
              <w:rPr>
                <w:sz w:val="4"/>
                <w:szCs w:val="4"/>
              </w:rPr>
            </w:r>
          </w:p>
        </w:tc>
      </w:tr>
      <w:tr>
        <w:trPr/>
        <w:tc>
          <w:tcPr>
            <w:tcW w:w="389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(dollars 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 v.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3897"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Net cash provided by operating activities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85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196,933 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126,781 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70,152 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55.3 </w:t>
            </w:r>
          </w:p>
        </w:tc>
        <w:tc>
          <w:tcPr>
            <w:tcW w:w="28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(149,048)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(99,731)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(49,317)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49.5 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97"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Net cash used in financing activities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(48,665)</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(65,989)</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17,324 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(26.3)</w:t>
            </w:r>
          </w:p>
        </w:tc>
        <w:tc>
          <w:tcPr>
            <w:tcW w:w="286" w:type="dxa"/>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Net decrease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6098"/>
                <w:sz w:val="20"/>
              </w:rPr>
            </w:pPr>
            <w:r>
              <w:rPr>
                <w:rFonts w:ascii="Arial;sans-serif" w:hAnsi="Arial;sans-serif"/>
                <w:b/>
                <w:color w:val="006098"/>
                <w:sz w:val="20"/>
              </w:rPr>
              <w:t>(780)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1E29"/>
                <w:sz w:val="20"/>
              </w:rPr>
            </w:pPr>
            <w:r>
              <w:rPr>
                <w:rFonts w:ascii="Arial;sans-serif" w:hAnsi="Arial;sans-serif"/>
                <w:b/>
                <w:color w:val="131E29"/>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1E29"/>
                <w:sz w:val="20"/>
              </w:rPr>
            </w:pPr>
            <w:r>
              <w:rPr>
                <w:rFonts w:ascii="Arial;sans-serif" w:hAnsi="Arial;sans-serif"/>
                <w:b/>
                <w:color w:val="131E29"/>
                <w:sz w:val="20"/>
              </w:rPr>
              <w:t>(38,939)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1E29"/>
                <w:sz w:val="20"/>
              </w:rPr>
            </w:pPr>
            <w:r>
              <w:rPr>
                <w:rFonts w:ascii="Arial;sans-serif" w:hAnsi="Arial;sans-serif"/>
                <w:b/>
                <w:color w:val="131E29"/>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1E29"/>
                <w:sz w:val="20"/>
              </w:rPr>
              <w:t>38,159</w:t>
            </w:r>
            <w:r>
              <w:rPr>
                <w:color w:val="131E29"/>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1E29"/>
                <w:sz w:val="20"/>
              </w:rPr>
            </w:pPr>
            <w:r>
              <w:rPr>
                <w:rFonts w:ascii="Arial;sans-serif" w:hAnsi="Arial;sans-serif"/>
                <w:b/>
                <w:color w:val="131E29"/>
                <w:sz w:val="20"/>
              </w:rPr>
              <w:t>(98.0)</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131E29"/>
                <w:sz w:val="20"/>
              </w:rPr>
            </w:pPr>
            <w:r>
              <w:rPr>
                <w:rFonts w:ascii="Arial;sans-serif" w:hAnsi="Arial;sans-serif"/>
                <w:b/>
                <w:color w:val="131E29"/>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97"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Cash and cash equivalents at beginning of period</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269,404 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293,354 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(23,950)</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(8.2)</w:t>
            </w:r>
          </w:p>
        </w:tc>
        <w:tc>
          <w:tcPr>
            <w:tcW w:w="286" w:type="dxa"/>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Cash and cash equivalents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268,624</w:t>
            </w:r>
            <w:r>
              <w:rPr>
                <w:color w:val="006098"/>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131E29"/>
                <w:sz w:val="20"/>
              </w:rPr>
            </w:pPr>
            <w:r>
              <w:rPr>
                <w:rFonts w:ascii="Arial;sans-serif" w:hAnsi="Arial;sans-serif"/>
                <w:b/>
                <w:color w:val="131E29"/>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131E29"/>
                <w:sz w:val="20"/>
              </w:rPr>
              <w:t>254,415</w:t>
            </w:r>
            <w:r>
              <w:rPr>
                <w:color w:val="131E29"/>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131E29"/>
                <w:sz w:val="20"/>
              </w:rPr>
            </w:pPr>
            <w:r>
              <w:rPr>
                <w:rFonts w:ascii="Arial;sans-serif" w:hAnsi="Arial;sans-serif"/>
                <w:b/>
                <w:color w:val="131E29"/>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131E29"/>
                <w:sz w:val="20"/>
              </w:rPr>
              <w:t>14,209</w:t>
            </w:r>
            <w:r>
              <w:rPr>
                <w:color w:val="131E29"/>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131E29"/>
                <w:sz w:val="20"/>
              </w:rPr>
              <w:t>5.6</w:t>
            </w:r>
            <w:r>
              <w:rPr>
                <w:color w:val="131E29"/>
              </w:rPr>
              <w:t>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131E29"/>
                <w:sz w:val="20"/>
              </w:rPr>
            </w:pPr>
            <w:r>
              <w:rPr>
                <w:rFonts w:ascii="Arial;sans-serif" w:hAnsi="Arial;sans-serif"/>
                <w:b/>
                <w:color w:val="131E29"/>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Operating Activities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increase in net cash provided by operating activities was primarily driven by higher net income as a result of year-over-year sales growth and leverage of selling, general and administrative costs.</w:t>
      </w: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Investing Activities</w:t>
      </w:r>
    </w:p>
    <w:p>
      <w:pPr>
        <w:pStyle w:val="TextBody"/>
        <w:bidi w:val="0"/>
        <w:spacing w:lineRule="auto" w:line="288" w:before="0" w:after="180"/>
        <w:jc w:val="both"/>
        <w:rPr/>
      </w:pPr>
      <w:r>
        <w:rPr>
          <w:rFonts w:ascii="Arial;sans-serif" w:hAnsi="Arial;sans-serif"/>
          <w:b w:val="false"/>
          <w:color w:val="131E29"/>
          <w:sz w:val="20"/>
        </w:rPr>
        <w:t>The increase in net cash used in investing activities was primarily driven by</w:t>
      </w:r>
      <w:r>
        <w:rPr>
          <w:color w:val="000000"/>
        </w:rPr>
        <w:t xml:space="preserve"> </w:t>
      </w:r>
      <w:r>
        <w:rPr>
          <w:rFonts w:ascii="Arial;sans-serif" w:hAnsi="Arial;sans-serif"/>
          <w:b w:val="false"/>
          <w:color w:val="131E29"/>
          <w:sz w:val="20"/>
        </w:rPr>
        <w:t>higher i</w:t>
      </w:r>
      <w:r>
        <w:rPr>
          <w:rFonts w:ascii="Arial;sans-serif" w:hAnsi="Arial;sans-serif"/>
          <w:b w:val="false"/>
          <w:color w:val="000000"/>
          <w:sz w:val="20"/>
        </w:rPr>
        <w:t>nvestment in capital expenditures due to new company-operated shops openings in the current period compared to the same period in the prior year and acquisition of Clutch Coffee assets.</w:t>
      </w: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Financing Activities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decrease in net cash used in financing activities cash outflows was primarily driven by non-recurring proceeds received on our delayed draw term loan facility in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Cash Requirements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We believe that cash provided by operating activities and proceeds from our 2025 Credit Facility are adequate to fund our debt service requirements, lease obligations, cash distributions required by the OpCo LLC Agreement and the TRAs, and working capital obligations for at least the next 12 months. </w:t>
      </w:r>
    </w:p>
    <w:p>
      <w:pPr>
        <w:pStyle w:val="TextBody"/>
        <w:bidi w:val="0"/>
        <w:spacing w:lineRule="auto" w:line="288" w:before="0" w:after="120"/>
        <w:jc w:val="both"/>
        <w:rPr>
          <w:rFonts w:ascii="Arial;sans-serif" w:hAnsi="Arial;sans-serif"/>
          <w:b w:val="false"/>
          <w:color w:val="131E29"/>
          <w:sz w:val="20"/>
        </w:rPr>
      </w:pPr>
      <w:r>
        <w:rPr>
          <w:rFonts w:ascii="Arial;sans-serif" w:hAnsi="Arial;sans-serif"/>
          <w:b w:val="false"/>
          <w:color w:val="131E29"/>
          <w:sz w:val="20"/>
        </w:rPr>
        <w:t>Our future capital requirements may vary materially from period to period and will depend on many factors, primarily our expansion and growth by opening additional company-operated shops and/or reacquiring existing franchised shops. Further, the payments that we may be required to make under the TRAs may be significant. We currently expect to fund our current and long-term material capital requirements with operating cash flows and, as needed, additional proceeds from our 2025 Credit Facility, but we may also seek additional debt or equity financing. From time to time, we may explore additional financing sources which could include equity, equity</w:t>
        <w:noBreakHyphen/>
        <w:t>linked, and debt financing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both"/>
        <w:rPr>
          <w:rFonts w:ascii="Arial;sans-serif" w:hAnsi="Arial;sans-serif"/>
          <w:b w:val="false"/>
          <w:color w:val="131E29"/>
          <w:sz w:val="20"/>
        </w:rPr>
      </w:pPr>
      <w:r>
        <w:rPr>
          <w:rFonts w:ascii="Arial;sans-serif" w:hAnsi="Arial;sans-serif"/>
          <w:b w:val="false"/>
          <w:color w:val="131E29"/>
          <w:sz w:val="20"/>
        </w:rPr>
        <w:t>As of June 30, 2026, cash requirements for the following items have materially changed from our 2025 Form 10-K:</w:t>
      </w:r>
    </w:p>
    <w:p>
      <w:pPr>
        <w:pStyle w:val="TextBody"/>
        <w:bidi w:val="0"/>
        <w:spacing w:lineRule="auto" w:line="288" w:before="0" w:after="180"/>
        <w:ind w:left="0" w:right="0" w:hanging="360"/>
        <w:jc w:val="both"/>
        <w:rPr/>
      </w:pPr>
      <w:r>
        <w:rPr>
          <w:color w:val="131E29"/>
        </w:rPr>
        <w:t>•</w:t>
      </w:r>
      <w:r>
        <w:rPr>
          <w:rFonts w:ascii="Arial;sans-serif" w:hAnsi="Arial;sans-serif"/>
          <w:b w:val="false"/>
          <w:color w:val="006098"/>
          <w:sz w:val="20"/>
        </w:rPr>
        <w:t>Lease liabilities</w:t>
      </w:r>
      <w:r>
        <w:rPr>
          <w:color w:val="131E29"/>
        </w:rPr>
        <w:t xml:space="preserve"> — </w:t>
      </w:r>
      <w:r>
        <w:rPr>
          <w:rFonts w:ascii="Arial;sans-serif" w:hAnsi="Arial;sans-serif"/>
          <w:b w:val="false"/>
          <w:color w:val="131E29"/>
          <w:sz w:val="20"/>
        </w:rPr>
        <w:t>increased approximately $120 million from newly commenced leases, including approximately $23 million related to the Clutch Coffee asset acquisition.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63220"/>
                <wp:effectExtent l="0" t="0" r="0" b="0"/>
                <wp:wrapNone/>
                <wp:docPr id="124" name="Frame41"/>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25"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46" descr=""/>
                                          <pic:cNvPicPr>
                                            <a:picLocks noChangeAspect="1" noChangeArrowheads="1"/>
                                          </pic:cNvPicPr>
                                        </pic:nvPicPr>
                                        <pic:blipFill>
                                          <a:blip r:embed="rId85"/>
                                          <a:stretch>
                                            <a:fillRect/>
                                          </a:stretch>
                                        </pic:blipFill>
                                        <pic:spPr bwMode="auto">
                                          <a:xfrm>
                                            <a:off x="0" y="0"/>
                                            <a:ext cx="190500" cy="266700"/>
                                          </a:xfrm>
                                          <a:prstGeom prst="rect">
                                            <a:avLst/>
                                          </a:prstGeom>
                                        </pic:spPr>
                                      </pic:pic>
                                    </a:graphicData>
                                  </a:graphic>
                                </wp:inline>
                              </w:drawing>
                            </w:r>
                            <w:bookmarkStart w:id="83" w:name="i-46"/>
                            <w:bookmarkEnd w:id="83"/>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2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46" descr=""/>
                                    <pic:cNvPicPr>
                                      <a:picLocks noChangeAspect="1" noChangeArrowheads="1"/>
                                    </pic:cNvPicPr>
                                  </pic:nvPicPr>
                                  <pic:blipFill>
                                    <a:blip r:embed="rId86"/>
                                    <a:stretch>
                                      <a:fillRect/>
                                    </a:stretch>
                                  </pic:blipFill>
                                  <pic:spPr bwMode="auto">
                                    <a:xfrm>
                                      <a:off x="0" y="0"/>
                                      <a:ext cx="190500" cy="266700"/>
                                    </a:xfrm>
                                    <a:prstGeom prst="rect">
                                      <a:avLst/>
                                    </a:prstGeom>
                                  </pic:spPr>
                                </pic:pic>
                              </a:graphicData>
                            </a:graphic>
                          </wp:inline>
                        </w:drawing>
                      </w:r>
                      <w:bookmarkStart w:id="84" w:name="i-46"/>
                      <w:bookmarkEnd w:id="84"/>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39</w:t>
                      </w:r>
                    </w:p>
                  </w:txbxContent>
                </v:textbox>
                <w10:wrap type="none"/>
              </v:rect>
            </w:pict>
          </mc:Fallback>
        </mc:AlternateContent>
      </w:r>
    </w:p>
    <w:p>
      <w:pPr>
        <w:pStyle w:val="TextBody"/>
        <w:bidi w:val="0"/>
        <w:spacing w:lineRule="auto" w:line="288" w:before="0" w:after="180"/>
        <w:jc w:val="both"/>
        <w:rPr/>
      </w:pPr>
      <w:hyperlink w:anchor="i901a725797c944a19267b6f140f14c09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 xml:space="preserve">Credit Facility </w:t>
      </w: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JPMorgan Credit Facility</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of June 30, 2026, $146 million of principal was outstanding on our term loan facility, and $50 million was outstanding on our revolving credit facility. The term loan and revolving loan both bear interest at approximately 4.89% as of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Interest Rate Swap Contract</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of June 30, 2026, the interest rate swap had a notional amount of approximately $55 million and hedges interest rate risk on the term loan under the 2025 Credit Facility, with a fixed rate of 2.67%. As of June 30, 2026, the one-month adjusted term SOFR was 3.64%.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pPr>
      <w:r>
        <w:rPr>
          <w:rFonts w:ascii="Arial;sans-serif" w:hAnsi="Arial;sans-serif"/>
          <w:b w:val="false"/>
          <w:color w:val="131E29"/>
          <w:sz w:val="20"/>
        </w:rPr>
        <w:t>See NOTE 9 — Debt and</w:t>
      </w:r>
      <w:r>
        <w:rPr>
          <w:color w:val="00416B"/>
        </w:rPr>
        <w:t xml:space="preserve"> </w:t>
      </w:r>
      <w:r>
        <w:rPr>
          <w:rFonts w:ascii="Arial;sans-serif" w:hAnsi="Arial;sans-serif"/>
          <w:b w:val="false"/>
          <w:color w:val="131E29"/>
          <w:sz w:val="20"/>
        </w:rPr>
        <w:t>NOTE 10 — Derivative Financial Instrument for additional details related to our 2025 Credit Facility and interest rate swap contract.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Seasonality</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business is subject to seasonal fluctuations that impact our revenue and company-operated shops gross profit margins. We typically experience higher system sales in the summer months, which impacts revenue and company-operated shops gross profit margins in the second and third quarters of our fiscal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Critical Accounting Estimates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There have been no material changes to our critical accounting estimates from those disclosed in our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Non-GAAP Financial Measures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In addition to disclosing financial results in accordance with GAAP, this document contains references to the non-GAAP financial measures below. We believe these non-GAAP financial measures provide investors with useful supplemental information about our operating performance, enable comparison of financial trends and results between periods where certain items may vary independent of business performance, and allow for greater transparency with respect to key metrics used by management in operating our business and measuring our performance.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non-GAAP financial measures reflect adjustments based on one or more of the following items, as well as the related income tax effects where applicable. Income tax effects have been calculated based on the combined total non-GAAP adjustments using our total effective tax rate. These non-GAAP financial measures should not be considered a substitute for, or superior to, financial measures calculated in accordance with GAAP, and the financial results calculated in accordance with GAAP and reconciliations from these results should be carefully evaluated.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 xml:space="preserve">Segment contribution </w:t>
      </w: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Definition and/or calculation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Segment gross profit, before depreciation and amortization. </w:t>
      </w: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Usefulness to management and investors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This non-GAAP measure is used by our management in making performance decisions without the impact of non-cash depreciation and amortization charges. This is a standard metric used across our industry by investors.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63220"/>
                <wp:effectExtent l="0" t="0" r="0" b="0"/>
                <wp:wrapNone/>
                <wp:docPr id="127" name="Frame42"/>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28"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47" descr=""/>
                                          <pic:cNvPicPr>
                                            <a:picLocks noChangeAspect="1" noChangeArrowheads="1"/>
                                          </pic:cNvPicPr>
                                        </pic:nvPicPr>
                                        <pic:blipFill>
                                          <a:blip r:embed="rId87"/>
                                          <a:stretch>
                                            <a:fillRect/>
                                          </a:stretch>
                                        </pic:blipFill>
                                        <pic:spPr bwMode="auto">
                                          <a:xfrm>
                                            <a:off x="0" y="0"/>
                                            <a:ext cx="190500" cy="266700"/>
                                          </a:xfrm>
                                          <a:prstGeom prst="rect">
                                            <a:avLst/>
                                          </a:prstGeom>
                                        </pic:spPr>
                                      </pic:pic>
                                    </a:graphicData>
                                  </a:graphic>
                                </wp:inline>
                              </w:drawing>
                            </w:r>
                            <w:bookmarkStart w:id="85" w:name="i-47"/>
                            <w:bookmarkEnd w:id="85"/>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29"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47" descr=""/>
                                    <pic:cNvPicPr>
                                      <a:picLocks noChangeAspect="1" noChangeArrowheads="1"/>
                                    </pic:cNvPicPr>
                                  </pic:nvPicPr>
                                  <pic:blipFill>
                                    <a:blip r:embed="rId88"/>
                                    <a:stretch>
                                      <a:fillRect/>
                                    </a:stretch>
                                  </pic:blipFill>
                                  <pic:spPr bwMode="auto">
                                    <a:xfrm>
                                      <a:off x="0" y="0"/>
                                      <a:ext cx="190500" cy="266700"/>
                                    </a:xfrm>
                                    <a:prstGeom prst="rect">
                                      <a:avLst/>
                                    </a:prstGeom>
                                  </pic:spPr>
                                </pic:pic>
                              </a:graphicData>
                            </a:graphic>
                          </wp:inline>
                        </w:drawing>
                      </w:r>
                      <w:bookmarkStart w:id="86" w:name="i-47"/>
                      <w:bookmarkEnd w:id="86"/>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40</w:t>
                      </w:r>
                    </w:p>
                  </w:txbxContent>
                </v:textbox>
                <w10:wrap type="none"/>
              </v:rect>
            </w:pict>
          </mc:Fallback>
        </mc:AlternateContent>
      </w:r>
    </w:p>
    <w:p>
      <w:pPr>
        <w:pStyle w:val="TextBody"/>
        <w:bidi w:val="0"/>
        <w:spacing w:lineRule="auto" w:line="288" w:before="0" w:after="180"/>
        <w:jc w:val="both"/>
        <w:rPr/>
      </w:pPr>
      <w:hyperlink w:anchor="i901a725797c944a19267b6f140f14c09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 xml:space="preserve">EBITDA, Adjusted EBITDA </w:t>
      </w: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EBITDA — definition and/or calculation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Net income before interest expense (net of interest income), income tax expense, and depreciation and amortization expense.</w:t>
      </w: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Adjusted EBITDA — definition and/or calculation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Defined as EBITDA, excluding equity-based compensation, expenses associated with credit facility refinancing, acquisition-related costs, TRA remeasurements, and organization realignment and restructurings costs. </w:t>
      </w: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Usefulness to management and investors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These non-GAAP measures are supplemental operating performance measures we believe facilitate comparisons to historical performance and competitors’ operating results. We believe these non-GAAP measures presented provide investors with a supplemental view of our operating performance that facilitates analysis and comparisons of our ongoing business operations because they exclude items that may not be indicative of our ongoing operating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 xml:space="preserve">Adjusted selling, general, and administrative </w:t>
      </w: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Definition and/or calculation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Selling, general, and administrative expenses, excluding depreciation and amortization, equity-based compensation, acquisition-related costs, and organization realignment and restructurings costs. </w:t>
      </w: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Usefulness to management and investors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This non-GAAP measure is used as a supplemental measure of operating performance that we believe is useful to evaluate our performance period over period and relative to our competitors. We believe the non-GAAP measure presented provides investors with a supplemental view of our operating performance that facilitates analysis and comparisons of our ongoing business operations because it excludes items that may not be indicative of our ongoing operating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Non-GAAP adjustments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Below are the definitions of the non-GAAP adjustments that are used in the calculation of our non-GAAP measures, as described above. </w:t>
      </w: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Equity-based compensation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Non-cash expenses related to the grant and vesting of stock awards, including RSUs and PSUs, in Dutch Bros Inc. to certain eligible employees.</w:t>
      </w:r>
    </w:p>
    <w:p>
      <w:pPr>
        <w:pStyle w:val="TextBody"/>
        <w:bidi w:val="0"/>
        <w:spacing w:lineRule="auto" w:line="288" w:before="0" w:after="0"/>
        <w:jc w:val="left"/>
        <w:rPr>
          <w:rFonts w:ascii="Arial;sans-serif" w:hAnsi="Arial;sans-serif"/>
          <w:b w:val="false"/>
          <w:color w:val="006098"/>
          <w:sz w:val="20"/>
          <w:u w:val="single"/>
        </w:rPr>
      </w:pPr>
      <w:r>
        <w:rPr>
          <w:rFonts w:ascii="Arial;sans-serif" w:hAnsi="Arial;sans-serif"/>
          <w:b w:val="false"/>
          <w:color w:val="006098"/>
          <w:sz w:val="20"/>
          <w:u w:val="single"/>
        </w:rPr>
        <w:t>Expenses associated with 2022 credit facility refinancing</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Costs incurred as a result of refinancing our credit facility in May 2025, including write-off of unamortized loan costs related to the amendment and restatement of our 2022 Credit Facility, and intermediary fees and other costs related to our 2025 Credit Facility.</w:t>
      </w: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Acquisition-related costs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Costs incurred in connection with our purchase of the franchise rights and assets from a franchisee.</w:t>
      </w: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TRAs remeasurements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(Gain) loss impacts related to adjustments of our TRAs liabilities.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Organization realignment and restructurings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Fees and costs incurred in connection with our comprehensive initiatives to develop and implement a long-term strategy involving changes to our organizational structure to support our growth.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63220"/>
                <wp:effectExtent l="0" t="0" r="0" b="0"/>
                <wp:wrapNone/>
                <wp:docPr id="130" name="Frame43"/>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31"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48" descr=""/>
                                          <pic:cNvPicPr>
                                            <a:picLocks noChangeAspect="1" noChangeArrowheads="1"/>
                                          </pic:cNvPicPr>
                                        </pic:nvPicPr>
                                        <pic:blipFill>
                                          <a:blip r:embed="rId89"/>
                                          <a:stretch>
                                            <a:fillRect/>
                                          </a:stretch>
                                        </pic:blipFill>
                                        <pic:spPr bwMode="auto">
                                          <a:xfrm>
                                            <a:off x="0" y="0"/>
                                            <a:ext cx="190500" cy="266700"/>
                                          </a:xfrm>
                                          <a:prstGeom prst="rect">
                                            <a:avLst/>
                                          </a:prstGeom>
                                        </pic:spPr>
                                      </pic:pic>
                                    </a:graphicData>
                                  </a:graphic>
                                </wp:inline>
                              </w:drawing>
                            </w:r>
                            <w:bookmarkStart w:id="87" w:name="i-48"/>
                            <w:bookmarkEnd w:id="87"/>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32"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48" descr=""/>
                                    <pic:cNvPicPr>
                                      <a:picLocks noChangeAspect="1" noChangeArrowheads="1"/>
                                    </pic:cNvPicPr>
                                  </pic:nvPicPr>
                                  <pic:blipFill>
                                    <a:blip r:embed="rId90"/>
                                    <a:stretch>
                                      <a:fillRect/>
                                    </a:stretch>
                                  </pic:blipFill>
                                  <pic:spPr bwMode="auto">
                                    <a:xfrm>
                                      <a:off x="0" y="0"/>
                                      <a:ext cx="190500" cy="266700"/>
                                    </a:xfrm>
                                    <a:prstGeom prst="rect">
                                      <a:avLst/>
                                    </a:prstGeom>
                                  </pic:spPr>
                                </pic:pic>
                              </a:graphicData>
                            </a:graphic>
                          </wp:inline>
                        </w:drawing>
                      </w:r>
                      <w:bookmarkStart w:id="88" w:name="i-48"/>
                      <w:bookmarkEnd w:id="88"/>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41</w:t>
                      </w:r>
                    </w:p>
                  </w:txbxContent>
                </v:textbox>
                <w10:wrap type="none"/>
              </v:rect>
            </w:pict>
          </mc:Fallback>
        </mc:AlternateContent>
      </w:r>
    </w:p>
    <w:p>
      <w:pPr>
        <w:pStyle w:val="TextBody"/>
        <w:bidi w:val="0"/>
        <w:spacing w:lineRule="auto" w:line="288" w:before="0" w:after="180"/>
        <w:jc w:val="both"/>
        <w:rPr/>
      </w:pPr>
      <w:hyperlink w:anchor="i901a725797c944a19267b6f140f14c09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60"/>
        <w:jc w:val="both"/>
        <w:rPr>
          <w:rFonts w:ascii="Arial;sans-serif" w:hAnsi="Arial;sans-serif"/>
          <w:b w:val="false"/>
          <w:color w:val="131E29"/>
          <w:sz w:val="20"/>
        </w:rPr>
      </w:pPr>
      <w:r>
        <w:rPr>
          <w:rFonts w:ascii="Arial;sans-serif" w:hAnsi="Arial;sans-serif"/>
          <w:b w:val="false"/>
          <w:color w:val="131E29"/>
          <w:sz w:val="20"/>
        </w:rPr>
        <w:t xml:space="preserve">The following are reconciliations of the most comparable GAAP metric to non-GAAP metrics (presented in dollars and as a percentage of revenue): </w:t>
      </w:r>
    </w:p>
    <w:tbl>
      <w:tblPr>
        <w:tblW w:w="11433" w:type="dxa"/>
        <w:jc w:val="left"/>
        <w:tblInd w:w="0" w:type="dxa"/>
        <w:tblLayout w:type="fixed"/>
        <w:tblCellMar>
          <w:top w:w="28" w:type="dxa"/>
          <w:left w:w="28" w:type="dxa"/>
          <w:bottom w:w="28" w:type="dxa"/>
          <w:right w:w="28" w:type="dxa"/>
        </w:tblCellMar>
      </w:tblPr>
      <w:tblGrid>
        <w:gridCol w:w="901"/>
        <w:gridCol w:w="677"/>
        <w:gridCol w:w="298"/>
        <w:gridCol w:w="109"/>
        <w:gridCol w:w="109"/>
        <w:gridCol w:w="109"/>
        <w:gridCol w:w="428"/>
        <w:gridCol w:w="428"/>
        <w:gridCol w:w="109"/>
        <w:gridCol w:w="109"/>
        <w:gridCol w:w="109"/>
        <w:gridCol w:w="109"/>
        <w:gridCol w:w="270"/>
        <w:gridCol w:w="271"/>
        <w:gridCol w:w="109"/>
        <w:gridCol w:w="109"/>
        <w:gridCol w:w="109"/>
        <w:gridCol w:w="109"/>
        <w:gridCol w:w="427"/>
        <w:gridCol w:w="429"/>
        <w:gridCol w:w="109"/>
        <w:gridCol w:w="109"/>
        <w:gridCol w:w="109"/>
        <w:gridCol w:w="109"/>
        <w:gridCol w:w="270"/>
        <w:gridCol w:w="271"/>
        <w:gridCol w:w="109"/>
        <w:gridCol w:w="109"/>
        <w:gridCol w:w="109"/>
        <w:gridCol w:w="109"/>
        <w:gridCol w:w="428"/>
        <w:gridCol w:w="428"/>
        <w:gridCol w:w="109"/>
        <w:gridCol w:w="109"/>
        <w:gridCol w:w="109"/>
        <w:gridCol w:w="109"/>
        <w:gridCol w:w="270"/>
        <w:gridCol w:w="271"/>
        <w:gridCol w:w="109"/>
        <w:gridCol w:w="109"/>
        <w:gridCol w:w="109"/>
        <w:gridCol w:w="109"/>
        <w:gridCol w:w="428"/>
        <w:gridCol w:w="428"/>
        <w:gridCol w:w="109"/>
        <w:gridCol w:w="109"/>
        <w:gridCol w:w="109"/>
        <w:gridCol w:w="109"/>
        <w:gridCol w:w="270"/>
        <w:gridCol w:w="271"/>
        <w:gridCol w:w="109"/>
        <w:gridCol w:w="109"/>
        <w:gridCol w:w="109"/>
        <w:gridCol w:w="109"/>
        <w:gridCol w:w="154"/>
      </w:tblGrid>
      <w:tr>
        <w:trPr/>
        <w:tc>
          <w:tcPr>
            <w:tcW w:w="90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1" w:type="dxa"/>
            <w:gridSpan w:val="21"/>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1" w:type="dxa"/>
            <w:gridSpan w:val="21"/>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Six Months Ended June 30,</w:t>
            </w:r>
          </w:p>
        </w:tc>
        <w:tc>
          <w:tcPr>
            <w:tcW w:w="481" w:type="dxa"/>
            <w:gridSpan w:val="4"/>
            <w:tcBorders/>
          </w:tcPr>
          <w:p>
            <w:pPr>
              <w:pStyle w:val="TableContents"/>
              <w:bidi w:val="0"/>
              <w:spacing w:before="0" w:after="283"/>
              <w:jc w:val="left"/>
              <w:rPr>
                <w:sz w:val="4"/>
                <w:szCs w:val="4"/>
              </w:rPr>
            </w:pPr>
            <w:r>
              <w:rPr>
                <w:sz w:val="4"/>
                <w:szCs w:val="4"/>
              </w:rPr>
            </w:r>
          </w:p>
        </w:tc>
      </w:tr>
      <w:tr>
        <w:trPr/>
        <w:tc>
          <w:tcPr>
            <w:tcW w:w="1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87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(dollars 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 xml:space="preserve">Company-operated shops gross profit </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123,301</w:t>
            </w:r>
            <w:r>
              <w:rPr>
                <w:color w:val="006098"/>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24.2</w:t>
            </w:r>
            <w:r>
              <w:rPr>
                <w:color w:val="006098"/>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1E29"/>
                <w:sz w:val="20"/>
              </w:rPr>
              <w:t>92,552</w:t>
            </w: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1E29"/>
                <w:sz w:val="20"/>
              </w:rPr>
              <w:t>24.3</w:t>
            </w: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209,083</w:t>
            </w:r>
            <w:r>
              <w:rPr>
                <w:color w:val="006098"/>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22.3</w:t>
            </w:r>
            <w:r>
              <w:rPr>
                <w:color w:val="006098"/>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1E29"/>
                <w:sz w:val="20"/>
              </w:rPr>
              <w:t>164,050</w:t>
            </w: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1E29"/>
                <w:sz w:val="20"/>
              </w:rPr>
              <w:t>23.2</w:t>
            </w: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32,669 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25,684 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68,191 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50,251 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 xml:space="preserve">Company-operated shops contribution </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155,970</w:t>
            </w:r>
            <w:r>
              <w:rPr>
                <w:color w:val="006098"/>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30.6</w:t>
            </w:r>
            <w:r>
              <w:rPr>
                <w:color w:val="006098"/>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131E29"/>
                <w:sz w:val="20"/>
              </w:rPr>
              <w:t>118,236</w:t>
            </w:r>
            <w:r>
              <w:rPr>
                <w:color w:val="131E29"/>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131E29"/>
                <w:sz w:val="20"/>
              </w:rPr>
              <w:t>31.1</w:t>
            </w:r>
            <w:r>
              <w:rPr>
                <w:color w:val="131E29"/>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277,274</w:t>
            </w:r>
            <w:r>
              <w:rPr>
                <w:color w:val="006098"/>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29.5</w:t>
            </w:r>
            <w:r>
              <w:rPr>
                <w:color w:val="006098"/>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131E29"/>
                <w:sz w:val="20"/>
              </w:rPr>
              <w:t>214,301</w:t>
            </w:r>
            <w:r>
              <w:rPr>
                <w:color w:val="131E29"/>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131E29"/>
                <w:sz w:val="20"/>
              </w:rPr>
              <w:t>30.3</w:t>
            </w:r>
            <w:r>
              <w:rPr>
                <w:color w:val="131E29"/>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398" w:type="dxa"/>
        <w:jc w:val="left"/>
        <w:tblInd w:w="0" w:type="dxa"/>
        <w:tblLayout w:type="fixed"/>
        <w:tblCellMar>
          <w:top w:w="28" w:type="dxa"/>
          <w:left w:w="28" w:type="dxa"/>
          <w:bottom w:w="28" w:type="dxa"/>
          <w:right w:w="28" w:type="dxa"/>
        </w:tblCellMar>
      </w:tblPr>
      <w:tblGrid>
        <w:gridCol w:w="667"/>
        <w:gridCol w:w="296"/>
        <w:gridCol w:w="298"/>
        <w:gridCol w:w="109"/>
        <w:gridCol w:w="109"/>
        <w:gridCol w:w="109"/>
        <w:gridCol w:w="375"/>
        <w:gridCol w:w="376"/>
        <w:gridCol w:w="109"/>
        <w:gridCol w:w="109"/>
        <w:gridCol w:w="109"/>
        <w:gridCol w:w="109"/>
        <w:gridCol w:w="270"/>
        <w:gridCol w:w="271"/>
        <w:gridCol w:w="109"/>
        <w:gridCol w:w="109"/>
        <w:gridCol w:w="109"/>
        <w:gridCol w:w="109"/>
        <w:gridCol w:w="375"/>
        <w:gridCol w:w="376"/>
        <w:gridCol w:w="109"/>
        <w:gridCol w:w="109"/>
        <w:gridCol w:w="109"/>
        <w:gridCol w:w="109"/>
        <w:gridCol w:w="270"/>
        <w:gridCol w:w="271"/>
        <w:gridCol w:w="109"/>
        <w:gridCol w:w="109"/>
        <w:gridCol w:w="109"/>
        <w:gridCol w:w="109"/>
        <w:gridCol w:w="375"/>
        <w:gridCol w:w="376"/>
        <w:gridCol w:w="109"/>
        <w:gridCol w:w="109"/>
        <w:gridCol w:w="109"/>
        <w:gridCol w:w="109"/>
        <w:gridCol w:w="270"/>
        <w:gridCol w:w="271"/>
        <w:gridCol w:w="109"/>
        <w:gridCol w:w="109"/>
        <w:gridCol w:w="109"/>
        <w:gridCol w:w="109"/>
        <w:gridCol w:w="375"/>
        <w:gridCol w:w="376"/>
        <w:gridCol w:w="109"/>
        <w:gridCol w:w="109"/>
        <w:gridCol w:w="109"/>
        <w:gridCol w:w="109"/>
        <w:gridCol w:w="270"/>
        <w:gridCol w:w="271"/>
        <w:gridCol w:w="109"/>
        <w:gridCol w:w="109"/>
        <w:gridCol w:w="109"/>
        <w:gridCol w:w="109"/>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1" w:type="dxa"/>
            <w:gridSpan w:val="21"/>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1" w:type="dxa"/>
            <w:gridSpan w:val="21"/>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Six Months Ended June 30,</w:t>
            </w:r>
          </w:p>
        </w:tc>
        <w:tc>
          <w:tcPr>
            <w:tcW w:w="481" w:type="dxa"/>
            <w:gridSpan w:val="4"/>
            <w:tcBorders/>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(dollars 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 xml:space="preserve">Franchising and other gross profit </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27,755</w:t>
            </w:r>
            <w:r>
              <w:rPr>
                <w:color w:val="006098"/>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68.0</w:t>
            </w:r>
            <w:r>
              <w:rPr>
                <w:color w:val="006098"/>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1E29"/>
                <w:sz w:val="20"/>
              </w:rPr>
              <w:t>27,492</w:t>
            </w: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1E29"/>
                <w:sz w:val="20"/>
              </w:rPr>
              <w:t>77.9</w:t>
            </w: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49,449</w:t>
            </w:r>
            <w:r>
              <w:rPr>
                <w:color w:val="006098"/>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64.9</w:t>
            </w:r>
            <w:r>
              <w:rPr>
                <w:color w:val="006098"/>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1E29"/>
                <w:sz w:val="20"/>
              </w:rPr>
              <w:t>45,987</w:t>
            </w: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1E29"/>
                <w:sz w:val="20"/>
              </w:rPr>
              <w:t>71.8</w:t>
            </w: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 xml:space="preserve">Franchising and other contribution </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28,911</w:t>
            </w:r>
            <w:r>
              <w:rPr>
                <w:color w:val="006098"/>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70.8</w:t>
            </w:r>
            <w:r>
              <w:rPr>
                <w:color w:val="006098"/>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131E29"/>
                <w:sz w:val="20"/>
              </w:rPr>
              <w:t>28,884</w:t>
            </w:r>
            <w:r>
              <w:rPr>
                <w:color w:val="131E29"/>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131E29"/>
                <w:sz w:val="20"/>
              </w:rPr>
              <w:t>81.8</w:t>
            </w:r>
            <w:r>
              <w:rPr>
                <w:color w:val="131E29"/>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51,908</w:t>
            </w:r>
            <w:r>
              <w:rPr>
                <w:color w:val="006098"/>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68.1</w:t>
            </w:r>
            <w:r>
              <w:rPr>
                <w:color w:val="006098"/>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131E29"/>
                <w:sz w:val="20"/>
              </w:rPr>
              <w:t>48,840</w:t>
            </w:r>
            <w:r>
              <w:rPr>
                <w:color w:val="131E29"/>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131E29"/>
                <w:sz w:val="20"/>
              </w:rPr>
              <w:t>76.3</w:t>
            </w:r>
            <w:r>
              <w:rPr>
                <w:color w:val="131E29"/>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1178" w:type="dxa"/>
        <w:jc w:val="left"/>
        <w:tblInd w:w="0" w:type="dxa"/>
        <w:tblLayout w:type="fixed"/>
        <w:tblCellMar>
          <w:top w:w="28" w:type="dxa"/>
          <w:left w:w="28" w:type="dxa"/>
          <w:bottom w:w="28" w:type="dxa"/>
          <w:right w:w="28" w:type="dxa"/>
        </w:tblCellMar>
      </w:tblPr>
      <w:tblGrid>
        <w:gridCol w:w="1132"/>
        <w:gridCol w:w="296"/>
        <w:gridCol w:w="298"/>
        <w:gridCol w:w="109"/>
        <w:gridCol w:w="109"/>
        <w:gridCol w:w="109"/>
        <w:gridCol w:w="427"/>
        <w:gridCol w:w="429"/>
        <w:gridCol w:w="109"/>
        <w:gridCol w:w="109"/>
        <w:gridCol w:w="109"/>
        <w:gridCol w:w="109"/>
        <w:gridCol w:w="270"/>
        <w:gridCol w:w="271"/>
        <w:gridCol w:w="109"/>
        <w:gridCol w:w="109"/>
        <w:gridCol w:w="109"/>
        <w:gridCol w:w="109"/>
        <w:gridCol w:w="375"/>
        <w:gridCol w:w="376"/>
        <w:gridCol w:w="109"/>
        <w:gridCol w:w="109"/>
        <w:gridCol w:w="109"/>
        <w:gridCol w:w="109"/>
        <w:gridCol w:w="270"/>
        <w:gridCol w:w="271"/>
        <w:gridCol w:w="109"/>
        <w:gridCol w:w="109"/>
        <w:gridCol w:w="109"/>
        <w:gridCol w:w="109"/>
        <w:gridCol w:w="427"/>
        <w:gridCol w:w="429"/>
        <w:gridCol w:w="109"/>
        <w:gridCol w:w="109"/>
        <w:gridCol w:w="109"/>
        <w:gridCol w:w="109"/>
        <w:gridCol w:w="270"/>
        <w:gridCol w:w="271"/>
        <w:gridCol w:w="109"/>
        <w:gridCol w:w="109"/>
        <w:gridCol w:w="109"/>
        <w:gridCol w:w="109"/>
        <w:gridCol w:w="427"/>
        <w:gridCol w:w="429"/>
        <w:gridCol w:w="109"/>
        <w:gridCol w:w="109"/>
        <w:gridCol w:w="109"/>
        <w:gridCol w:w="109"/>
        <w:gridCol w:w="270"/>
        <w:gridCol w:w="271"/>
        <w:gridCol w:w="109"/>
        <w:gridCol w:w="109"/>
        <w:gridCol w:w="109"/>
        <w:gridCol w:w="109"/>
        <w:gridCol w:w="154"/>
      </w:tblGrid>
      <w:tr>
        <w:trPr/>
        <w:tc>
          <w:tcPr>
            <w:tcW w:w="113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6" w:type="dxa"/>
            <w:gridSpan w:val="21"/>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1" w:type="dxa"/>
            <w:gridSpan w:val="21"/>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Six Months Ended June 30,</w:t>
            </w:r>
          </w:p>
        </w:tc>
        <w:tc>
          <w:tcPr>
            <w:tcW w:w="481" w:type="dxa"/>
            <w:gridSpan w:val="4"/>
            <w:tcBorders/>
          </w:tcPr>
          <w:p>
            <w:pPr>
              <w:pStyle w:val="TableContents"/>
              <w:bidi w:val="0"/>
              <w:spacing w:before="0" w:after="283"/>
              <w:jc w:val="left"/>
              <w:rPr>
                <w:sz w:val="4"/>
                <w:szCs w:val="4"/>
              </w:rPr>
            </w:pPr>
            <w:r>
              <w:rPr>
                <w:sz w:val="4"/>
                <w:szCs w:val="4"/>
              </w:rPr>
            </w:r>
          </w:p>
        </w:tc>
      </w:tr>
      <w:tr>
        <w:trPr/>
        <w:tc>
          <w:tcPr>
            <w:tcW w:w="1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72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(dollars 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 xml:space="preserve">Net income </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51,605</w:t>
            </w:r>
            <w:r>
              <w:rPr>
                <w:color w:val="006098"/>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9.4</w:t>
            </w:r>
            <w:r>
              <w:rPr>
                <w:color w:val="006098"/>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1E29"/>
                <w:sz w:val="20"/>
              </w:rPr>
              <w:t>38,357</w:t>
            </w: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1E29"/>
                <w:sz w:val="20"/>
              </w:rPr>
              <w:t>9.2</w:t>
            </w: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75,269</w:t>
            </w:r>
            <w:r>
              <w:rPr>
                <w:color w:val="006098"/>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7.4</w:t>
            </w:r>
            <w:r>
              <w:rPr>
                <w:color w:val="006098"/>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1E29"/>
                <w:sz w:val="20"/>
              </w:rPr>
              <w:t>60,837</w:t>
            </w: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1E29"/>
                <w:sz w:val="20"/>
              </w:rPr>
              <w:t>7.9</w:t>
            </w: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35,481 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27,893 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73,736 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54,323 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 xml:space="preserve">Interest expense, net </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7,038 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1.3 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7,076 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1.8 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14,258 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1.4 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14,191 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1.9 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12,623 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7,243 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15,964 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8,702 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 xml:space="preserve">EBITDA </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106,747</w:t>
            </w:r>
            <w:r>
              <w:rPr>
                <w:color w:val="006098"/>
              </w:rPr>
              <w:t>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19.4</w:t>
            </w:r>
            <w:r>
              <w:rPr>
                <w:color w:val="006098"/>
              </w:rPr>
              <w:t>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1E29"/>
                <w:sz w:val="20"/>
              </w:rPr>
              <w:t>80,569</w:t>
            </w:r>
            <w:r>
              <w:rPr>
                <w:color w:val="131E29"/>
              </w:rPr>
              <w:t>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1E29"/>
                <w:sz w:val="20"/>
              </w:rPr>
              <w:t>19.4</w:t>
            </w:r>
            <w:r>
              <w:rPr>
                <w:color w:val="131E29"/>
              </w:rPr>
              <w:t>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179,227</w:t>
            </w:r>
            <w:r>
              <w:rPr>
                <w:color w:val="006098"/>
              </w:rPr>
              <w:t>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17.7</w:t>
            </w:r>
            <w:r>
              <w:rPr>
                <w:color w:val="006098"/>
              </w:rPr>
              <w:t>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1E29"/>
                <w:sz w:val="20"/>
              </w:rPr>
              <w:t>138,053</w:t>
            </w:r>
            <w:r>
              <w:rPr>
                <w:color w:val="131E29"/>
              </w:rPr>
              <w:t>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1E29"/>
                <w:sz w:val="20"/>
              </w:rPr>
              <w:t>17.9</w:t>
            </w:r>
            <w:r>
              <w:rPr>
                <w:color w:val="131E29"/>
              </w:rPr>
              <w:t>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Equity-based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6,879 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131E29"/>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1.2 </w:t>
            </w:r>
          </w:p>
        </w:tc>
        <w:tc>
          <w:tcPr>
            <w:tcW w:w="109" w:type="dxa"/>
            <w:tcBorders>
              <w:top w:val="single" w:sz="8" w:space="0" w:color="131E29"/>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4,671 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131E29"/>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1.1 </w:t>
            </w:r>
          </w:p>
        </w:tc>
        <w:tc>
          <w:tcPr>
            <w:tcW w:w="109" w:type="dxa"/>
            <w:tcBorders>
              <w:top w:val="single" w:sz="8" w:space="0" w:color="131E29"/>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12,157 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131E29"/>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1.2 </w:t>
            </w:r>
          </w:p>
        </w:tc>
        <w:tc>
          <w:tcPr>
            <w:tcW w:w="109" w:type="dxa"/>
            <w:tcBorders>
              <w:top w:val="single" w:sz="8" w:space="0" w:color="131E29"/>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8,865 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131E29"/>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1.1 </w:t>
            </w:r>
          </w:p>
        </w:tc>
        <w:tc>
          <w:tcPr>
            <w:tcW w:w="109" w:type="dxa"/>
            <w:tcBorders>
              <w:top w:val="single" w:sz="8" w:space="0" w:color="131E29"/>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Expenses associated with 2022 credit facility refinancing</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2,000 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0.5 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2,000 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0.3 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Acquisition-related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TRAs remeasurement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(437)</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(0.1)</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(437)</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Organization realignment and restructurings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 xml:space="preserve">Adjusted EBITDA </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113,714</w:t>
            </w:r>
            <w:r>
              <w:rPr>
                <w:color w:val="006098"/>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131E29"/>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20.6</w:t>
            </w:r>
            <w:r>
              <w:rPr>
                <w:color w:val="006098"/>
              </w:rPr>
              <w:t> </w:t>
            </w:r>
          </w:p>
        </w:tc>
        <w:tc>
          <w:tcPr>
            <w:tcW w:w="109" w:type="dxa"/>
            <w:tcBorders>
              <w:top w:val="single" w:sz="8" w:space="0" w:color="000000"/>
              <w:bottom w:val="double" w:sz="8" w:space="0" w:color="131E29"/>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131E29"/>
                <w:sz w:val="20"/>
              </w:rPr>
              <w:t>89,003</w:t>
            </w:r>
            <w:r>
              <w:rPr>
                <w:color w:val="131E29"/>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131E29"/>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131E29"/>
                <w:sz w:val="20"/>
              </w:rPr>
              <w:t>21.4</w:t>
            </w:r>
            <w:r>
              <w:rPr>
                <w:color w:val="131E29"/>
              </w:rPr>
              <w:t> </w:t>
            </w:r>
          </w:p>
        </w:tc>
        <w:tc>
          <w:tcPr>
            <w:tcW w:w="109" w:type="dxa"/>
            <w:tcBorders>
              <w:top w:val="single" w:sz="8" w:space="0" w:color="000000"/>
              <w:bottom w:val="double" w:sz="8" w:space="0" w:color="131E29"/>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193,087</w:t>
            </w:r>
            <w:r>
              <w:rPr>
                <w:color w:val="006098"/>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131E29"/>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19.0</w:t>
            </w:r>
            <w:r>
              <w:rPr>
                <w:color w:val="006098"/>
              </w:rPr>
              <w:t> </w:t>
            </w:r>
          </w:p>
        </w:tc>
        <w:tc>
          <w:tcPr>
            <w:tcW w:w="109" w:type="dxa"/>
            <w:tcBorders>
              <w:top w:val="single" w:sz="8" w:space="0" w:color="000000"/>
              <w:bottom w:val="double" w:sz="8" w:space="0" w:color="131E29"/>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131E29"/>
                <w:sz w:val="20"/>
              </w:rPr>
              <w:t>151,909</w:t>
            </w:r>
            <w:r>
              <w:rPr>
                <w:color w:val="131E29"/>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131E29"/>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131E29"/>
                <w:sz w:val="20"/>
              </w:rPr>
              <w:t>19.7</w:t>
            </w:r>
            <w:r>
              <w:rPr>
                <w:color w:val="131E29"/>
              </w:rPr>
              <w:t> </w:t>
            </w:r>
          </w:p>
        </w:tc>
        <w:tc>
          <w:tcPr>
            <w:tcW w:w="109" w:type="dxa"/>
            <w:tcBorders>
              <w:top w:val="single" w:sz="8" w:space="0" w:color="000000"/>
              <w:bottom w:val="double" w:sz="8" w:space="0" w:color="131E29"/>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63220"/>
                <wp:effectExtent l="0" t="0" r="0" b="0"/>
                <wp:wrapNone/>
                <wp:docPr id="133" name="Frame44"/>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34"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49" descr=""/>
                                          <pic:cNvPicPr>
                                            <a:picLocks noChangeAspect="1" noChangeArrowheads="1"/>
                                          </pic:cNvPicPr>
                                        </pic:nvPicPr>
                                        <pic:blipFill>
                                          <a:blip r:embed="rId91"/>
                                          <a:stretch>
                                            <a:fillRect/>
                                          </a:stretch>
                                        </pic:blipFill>
                                        <pic:spPr bwMode="auto">
                                          <a:xfrm>
                                            <a:off x="0" y="0"/>
                                            <a:ext cx="190500" cy="266700"/>
                                          </a:xfrm>
                                          <a:prstGeom prst="rect">
                                            <a:avLst/>
                                          </a:prstGeom>
                                        </pic:spPr>
                                      </pic:pic>
                                    </a:graphicData>
                                  </a:graphic>
                                </wp:inline>
                              </w:drawing>
                            </w:r>
                            <w:bookmarkStart w:id="89" w:name="i-49"/>
                            <w:bookmarkEnd w:id="89"/>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35"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49" descr=""/>
                                    <pic:cNvPicPr>
                                      <a:picLocks noChangeAspect="1" noChangeArrowheads="1"/>
                                    </pic:cNvPicPr>
                                  </pic:nvPicPr>
                                  <pic:blipFill>
                                    <a:blip r:embed="rId92"/>
                                    <a:stretch>
                                      <a:fillRect/>
                                    </a:stretch>
                                  </pic:blipFill>
                                  <pic:spPr bwMode="auto">
                                    <a:xfrm>
                                      <a:off x="0" y="0"/>
                                      <a:ext cx="190500" cy="266700"/>
                                    </a:xfrm>
                                    <a:prstGeom prst="rect">
                                      <a:avLst/>
                                    </a:prstGeom>
                                  </pic:spPr>
                                </pic:pic>
                              </a:graphicData>
                            </a:graphic>
                          </wp:inline>
                        </w:drawing>
                      </w:r>
                      <w:bookmarkStart w:id="90" w:name="i-49"/>
                      <w:bookmarkEnd w:id="90"/>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42</w:t>
                      </w:r>
                    </w:p>
                  </w:txbxContent>
                </v:textbox>
                <w10:wrap type="none"/>
              </v:rect>
            </w:pict>
          </mc:Fallback>
        </mc:AlternateContent>
      </w:r>
    </w:p>
    <w:p>
      <w:pPr>
        <w:pStyle w:val="TextBody"/>
        <w:bidi w:val="0"/>
        <w:spacing w:lineRule="auto" w:line="288" w:before="0" w:after="180"/>
        <w:jc w:val="both"/>
        <w:rPr/>
      </w:pPr>
      <w:hyperlink w:anchor="i901a725797c944a19267b6f140f14c09_16">
        <w:r>
          <w:rPr>
            <w:rStyle w:val="InternetLink"/>
            <w:rFonts w:ascii="Arial;sans-serif" w:hAnsi="Arial;sans-serif"/>
            <w:b w:val="false"/>
            <w:color w:val="006098"/>
            <w:sz w:val="16"/>
            <w:u w:val="single"/>
          </w:rPr>
          <w:t>Table of Contents</w:t>
        </w:r>
      </w:hyperlink>
      <w:r>
        <w:rPr>
          <w:color w:val="006098"/>
        </w:rPr>
        <w:t xml:space="preserve"> </w:t>
      </w:r>
    </w:p>
    <w:tbl>
      <w:tblPr>
        <w:tblW w:w="11073" w:type="dxa"/>
        <w:jc w:val="left"/>
        <w:tblInd w:w="0" w:type="dxa"/>
        <w:tblLayout w:type="fixed"/>
        <w:tblCellMar>
          <w:top w:w="28" w:type="dxa"/>
          <w:left w:w="28" w:type="dxa"/>
          <w:bottom w:w="28" w:type="dxa"/>
          <w:right w:w="28" w:type="dxa"/>
        </w:tblCellMar>
      </w:tblPr>
      <w:tblGrid>
        <w:gridCol w:w="1132"/>
        <w:gridCol w:w="296"/>
        <w:gridCol w:w="298"/>
        <w:gridCol w:w="109"/>
        <w:gridCol w:w="109"/>
        <w:gridCol w:w="109"/>
        <w:gridCol w:w="375"/>
        <w:gridCol w:w="376"/>
        <w:gridCol w:w="109"/>
        <w:gridCol w:w="109"/>
        <w:gridCol w:w="109"/>
        <w:gridCol w:w="109"/>
        <w:gridCol w:w="270"/>
        <w:gridCol w:w="271"/>
        <w:gridCol w:w="109"/>
        <w:gridCol w:w="109"/>
        <w:gridCol w:w="109"/>
        <w:gridCol w:w="109"/>
        <w:gridCol w:w="375"/>
        <w:gridCol w:w="376"/>
        <w:gridCol w:w="109"/>
        <w:gridCol w:w="109"/>
        <w:gridCol w:w="109"/>
        <w:gridCol w:w="109"/>
        <w:gridCol w:w="270"/>
        <w:gridCol w:w="271"/>
        <w:gridCol w:w="109"/>
        <w:gridCol w:w="109"/>
        <w:gridCol w:w="109"/>
        <w:gridCol w:w="109"/>
        <w:gridCol w:w="428"/>
        <w:gridCol w:w="428"/>
        <w:gridCol w:w="109"/>
        <w:gridCol w:w="109"/>
        <w:gridCol w:w="109"/>
        <w:gridCol w:w="109"/>
        <w:gridCol w:w="270"/>
        <w:gridCol w:w="271"/>
        <w:gridCol w:w="109"/>
        <w:gridCol w:w="109"/>
        <w:gridCol w:w="109"/>
        <w:gridCol w:w="109"/>
        <w:gridCol w:w="428"/>
        <w:gridCol w:w="428"/>
        <w:gridCol w:w="109"/>
        <w:gridCol w:w="109"/>
        <w:gridCol w:w="109"/>
        <w:gridCol w:w="109"/>
        <w:gridCol w:w="270"/>
        <w:gridCol w:w="271"/>
        <w:gridCol w:w="109"/>
        <w:gridCol w:w="109"/>
        <w:gridCol w:w="109"/>
        <w:gridCol w:w="109"/>
        <w:gridCol w:w="154"/>
      </w:tblGrid>
      <w:tr>
        <w:trPr/>
        <w:tc>
          <w:tcPr>
            <w:tcW w:w="113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1" w:type="dxa"/>
            <w:gridSpan w:val="21"/>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1" w:type="dxa"/>
            <w:gridSpan w:val="21"/>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Six Months Ended June 30,</w:t>
            </w:r>
          </w:p>
        </w:tc>
        <w:tc>
          <w:tcPr>
            <w:tcW w:w="481" w:type="dxa"/>
            <w:gridSpan w:val="4"/>
            <w:tcBorders/>
          </w:tcPr>
          <w:p>
            <w:pPr>
              <w:pStyle w:val="TableContents"/>
              <w:bidi w:val="0"/>
              <w:spacing w:before="0" w:after="283"/>
              <w:jc w:val="left"/>
              <w:rPr>
                <w:sz w:val="4"/>
                <w:szCs w:val="4"/>
              </w:rPr>
            </w:pPr>
            <w:r>
              <w:rPr>
                <w:sz w:val="4"/>
                <w:szCs w:val="4"/>
              </w:rPr>
            </w:r>
          </w:p>
        </w:tc>
      </w:tr>
      <w:tr>
        <w:trPr/>
        <w:tc>
          <w:tcPr>
            <w:tcW w:w="1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2026</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72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(dollars 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 xml:space="preserve">Selling, general, and administrative </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80,651</w:t>
            </w:r>
            <w:r>
              <w:rPr>
                <w:color w:val="006098"/>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14.6</w:t>
            </w:r>
            <w:r>
              <w:rPr>
                <w:color w:val="006098"/>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1E29"/>
                <w:sz w:val="20"/>
              </w:rPr>
              <w:t>65,385</w:t>
            </w: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1E29"/>
                <w:sz w:val="20"/>
              </w:rPr>
              <w:t>15.7</w:t>
            </w: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153,827</w:t>
            </w:r>
            <w:r>
              <w:rPr>
                <w:color w:val="006098"/>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15.2</w:t>
            </w:r>
            <w:r>
              <w:rPr>
                <w:color w:val="006098"/>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1E29"/>
                <w:sz w:val="20"/>
              </w:rPr>
              <w:t>124,306</w:t>
            </w: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131E29"/>
                <w:sz w:val="20"/>
              </w:rPr>
              <w:t>16.1</w:t>
            </w: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(1,656)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(817)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(3,086)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(1,219)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Equity-based compensation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(5,979)</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(1.0)</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(4,096)</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(1.0)</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(10,598)</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(1.2)</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(7,890)</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(0.9)</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Acquisition-related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Organization realignment and restructurings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(216)</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(1,763)</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(0.4)</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(1,831)</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(0.1)</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(2,991)</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(0.4)</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Adjusted 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72,491</w:t>
            </w:r>
            <w:r>
              <w:rPr>
                <w:color w:val="006098"/>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13.2</w:t>
            </w:r>
            <w:r>
              <w:rPr>
                <w:color w:val="006098"/>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131E29"/>
                <w:sz w:val="20"/>
              </w:rPr>
              <w:t>58,709</w:t>
            </w:r>
            <w:r>
              <w:rPr>
                <w:color w:val="131E29"/>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131E29"/>
                <w:sz w:val="20"/>
              </w:rPr>
              <w:t>14.1</w:t>
            </w:r>
            <w:r>
              <w:rPr>
                <w:color w:val="131E29"/>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138,003</w:t>
            </w:r>
            <w:r>
              <w:rPr>
                <w:color w:val="006098"/>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13.6</w:t>
            </w:r>
            <w:r>
              <w:rPr>
                <w:color w:val="006098"/>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131E29"/>
                <w:sz w:val="20"/>
              </w:rPr>
              <w:t>112,206</w:t>
            </w:r>
            <w:r>
              <w:rPr>
                <w:color w:val="131E29"/>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131E29"/>
                <w:sz w:val="20"/>
              </w:rPr>
              <w:t>14.6</w:t>
            </w:r>
            <w:r>
              <w:rPr>
                <w:color w:val="131E29"/>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63220"/>
                <wp:effectExtent l="0" t="0" r="0" b="0"/>
                <wp:wrapNone/>
                <wp:docPr id="136" name="Frame45"/>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37"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50" descr=""/>
                                          <pic:cNvPicPr>
                                            <a:picLocks noChangeAspect="1" noChangeArrowheads="1"/>
                                          </pic:cNvPicPr>
                                        </pic:nvPicPr>
                                        <pic:blipFill>
                                          <a:blip r:embed="rId93"/>
                                          <a:stretch>
                                            <a:fillRect/>
                                          </a:stretch>
                                        </pic:blipFill>
                                        <pic:spPr bwMode="auto">
                                          <a:xfrm>
                                            <a:off x="0" y="0"/>
                                            <a:ext cx="190500" cy="266700"/>
                                          </a:xfrm>
                                          <a:prstGeom prst="rect">
                                            <a:avLst/>
                                          </a:prstGeom>
                                        </pic:spPr>
                                      </pic:pic>
                                    </a:graphicData>
                                  </a:graphic>
                                </wp:inline>
                              </w:drawing>
                            </w:r>
                            <w:bookmarkStart w:id="91" w:name="i-50"/>
                            <w:bookmarkEnd w:id="91"/>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38"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50" descr=""/>
                                    <pic:cNvPicPr>
                                      <a:picLocks noChangeAspect="1" noChangeArrowheads="1"/>
                                    </pic:cNvPicPr>
                                  </pic:nvPicPr>
                                  <pic:blipFill>
                                    <a:blip r:embed="rId94"/>
                                    <a:stretch>
                                      <a:fillRect/>
                                    </a:stretch>
                                  </pic:blipFill>
                                  <pic:spPr bwMode="auto">
                                    <a:xfrm>
                                      <a:off x="0" y="0"/>
                                      <a:ext cx="190500" cy="266700"/>
                                    </a:xfrm>
                                    <a:prstGeom prst="rect">
                                      <a:avLst/>
                                    </a:prstGeom>
                                  </pic:spPr>
                                </pic:pic>
                              </a:graphicData>
                            </a:graphic>
                          </wp:inline>
                        </w:drawing>
                      </w:r>
                      <w:bookmarkStart w:id="92" w:name="i-50"/>
                      <w:bookmarkEnd w:id="92"/>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43</w:t>
                      </w:r>
                    </w:p>
                  </w:txbxContent>
                </v:textbox>
                <w10:wrap type="none"/>
              </v:rect>
            </w:pict>
          </mc:Fallback>
        </mc:AlternateContent>
      </w:r>
    </w:p>
    <w:p>
      <w:pPr>
        <w:pStyle w:val="TextBody"/>
        <w:bidi w:val="0"/>
        <w:spacing w:lineRule="auto" w:line="288" w:before="0" w:after="180"/>
        <w:jc w:val="both"/>
        <w:rPr/>
      </w:pPr>
      <w:hyperlink w:anchor="i901a725797c944a19267b6f140f14c09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left"/>
        <w:rPr>
          <w:rFonts w:ascii="Arial;sans-serif" w:hAnsi="Arial;sans-serif"/>
          <w:b/>
          <w:color w:val="D7282F"/>
          <w:sz w:val="28"/>
        </w:rPr>
      </w:pPr>
      <w:r>
        <w:rPr>
          <w:rFonts w:ascii="Arial;sans-serif" w:hAnsi="Arial;sans-serif"/>
          <w:b/>
          <w:color w:val="D7282F"/>
          <w:sz w:val="28"/>
        </w:rPr>
        <w:t>ITEM 3. QUANTITATIVE AND QUALITATIVE DISCLOSURES ABOUT MARKET RISK</w:t>
      </w:r>
    </w:p>
    <w:p>
      <w:pPr>
        <w:pStyle w:val="TextBody"/>
        <w:bidi w:val="0"/>
        <w:spacing w:lineRule="auto" w:line="288" w:before="0" w:after="120"/>
        <w:jc w:val="left"/>
        <w:rPr>
          <w:rFonts w:ascii="Arial;sans-serif" w:hAnsi="Arial;sans-serif"/>
          <w:b/>
          <w:color w:val="00416B"/>
          <w:sz w:val="24"/>
        </w:rPr>
      </w:pPr>
      <w:r>
        <w:rPr>
          <w:rFonts w:ascii="Arial;sans-serif" w:hAnsi="Arial;sans-serif"/>
          <w:b/>
          <w:color w:val="00416B"/>
          <w:sz w:val="24"/>
        </w:rPr>
        <w:t>Commodity Risks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profitability is dependent on, among other things, our ability to anticipate and react to changes in the costs of key operating resources, including beverage commodities, energy, and other commodities. We have been able to partially offset cost increases resulting from several factors, including market conditions, shortages or interruptions in supply due to weather or other conditions beyond our control, governmental regulations, and inflation by increasing our menu prices over the past year, and making operational adjustments that increase productivity. However, tariffs, sustained inflation of, or substantial increases in costs and expenses, including dairy, coffee, fuel, sugar, cocoa, and packaging commodities pricing, could impact our operating results to the extent that such costs and expenses remain elevated or increase and cannot be offset by menu price increases. Additionally, if there is a time lag between increasing commodity prices and our ability to increase menu prices or take other action in response, or if we choose not to pass on the cost increases by increasing menu prices, our operating results could be negatively affected.</w:t>
      </w:r>
    </w:p>
    <w:p>
      <w:pPr>
        <w:pStyle w:val="TextBody"/>
        <w:bidi w:val="0"/>
        <w:spacing w:lineRule="auto" w:line="288" w:before="0" w:after="120"/>
        <w:jc w:val="left"/>
        <w:rPr>
          <w:rFonts w:ascii="Arial;sans-serif" w:hAnsi="Arial;sans-serif"/>
          <w:b/>
          <w:color w:val="00416B"/>
          <w:sz w:val="24"/>
        </w:rPr>
      </w:pPr>
      <w:r>
        <w:rPr>
          <w:rFonts w:ascii="Arial;sans-serif" w:hAnsi="Arial;sans-serif"/>
          <w:b/>
          <w:color w:val="00416B"/>
          <w:sz w:val="24"/>
        </w:rPr>
        <w:t>Labor Costs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have experienced minimum wage increases, which directly affect our labor costs, and other upward pressure on wage rates in several states. Several states in which we operate have recently enacted increases to their minimum wage requirements, some of which are expected to become effective in 2026 or later. In the future, we may or may not be able to offset these cost increases with operational efficiencies, menu price increases, or other adjustments. As of June 30, 2026, we employed approximately 27,000 hourly workers in our company-operated shops.</w:t>
      </w:r>
    </w:p>
    <w:p>
      <w:pPr>
        <w:pStyle w:val="TextBody"/>
        <w:bidi w:val="0"/>
        <w:spacing w:lineRule="auto" w:line="288" w:before="0" w:after="120"/>
        <w:jc w:val="left"/>
        <w:rPr>
          <w:rFonts w:ascii="Arial;sans-serif" w:hAnsi="Arial;sans-serif"/>
          <w:b/>
          <w:color w:val="00416B"/>
          <w:sz w:val="24"/>
        </w:rPr>
      </w:pPr>
      <w:r>
        <w:rPr>
          <w:rFonts w:ascii="Arial;sans-serif" w:hAnsi="Arial;sans-serif"/>
          <w:b/>
          <w:color w:val="00416B"/>
          <w:sz w:val="24"/>
        </w:rPr>
        <w:t>Interest Rate Risk</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We have historically been exposed to interest rate risk through fluctuations in interest rates on our debt obligations. Our 2025 Credit Facility carries interest at a floating rate. We seek to manage exposure to adverse interest rate changes through our normal operating and financing activities, including through the use of interest rate swaps to mitigate the potential impacts of changes in benchmark interest rates on interest expense and cash flows. As of June 30, 2026, we had $50.0 million in revolving loans outstanding, and $146.3 million was outstanding on our term loan facility. A hypothetical increase of interest rates up to 1% on our outstanding term loan as of June 30, 2026 would result in an increase in our annual interest expense of approximately $2.0 million, excluding any potential impacts of interest rate swaps. </w:t>
      </w:r>
    </w:p>
    <w:p>
      <w:pPr>
        <w:pStyle w:val="TextBody"/>
        <w:bidi w:val="0"/>
        <w:spacing w:lineRule="auto" w:line="288" w:before="0" w:after="120"/>
        <w:jc w:val="left"/>
        <w:rPr>
          <w:rFonts w:ascii="Arial;sans-serif" w:hAnsi="Arial;sans-serif"/>
          <w:b/>
          <w:color w:val="00416B"/>
          <w:sz w:val="24"/>
        </w:rPr>
      </w:pPr>
      <w:r>
        <w:rPr>
          <w:rFonts w:ascii="Arial;sans-serif" w:hAnsi="Arial;sans-serif"/>
          <w:b/>
          <w:color w:val="00416B"/>
          <w:sz w:val="24"/>
        </w:rPr>
        <w:t>Impact of Inflation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primary inflation factors affecting our operations are commodity and supply costs, energy costs, labor costs, and construction costs of company-operated shops. Increases in the minimum wage requirements directly affect our labor costs. Our leases require us to pay taxes, maintenance, repairs, insurance, and utilities, all of which are generally subject to inflationary increases. Finally, the total cost to build our shops is impacted by inflation. Specifically, increases in sitework and permitting, construction materials, labor, and equipment may increase our overall development costs and capital expenditures, and potentially result in higher rent expenses for new shops. We continue to encounter current commodity inflation, known or pending legislation that will increase minimum wages in certain states, and labor market forces that at times may cause us to increase wages in order to adequately staff our shops. We expect these to affect our operating results in the foreseeable future. While these cost increases have impacted our operating results, we have taken measures to gradually increase our menu prices, adjust our Dutch Rewards loyalty program, and make operating adjustments that increase productivity to help offset these pressures. Price increases and other inflationary pressures may lead to decreases in consumer demand.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63220"/>
                <wp:effectExtent l="0" t="0" r="0" b="0"/>
                <wp:wrapNone/>
                <wp:docPr id="139" name="Frame46"/>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40"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51" descr=""/>
                                          <pic:cNvPicPr>
                                            <a:picLocks noChangeAspect="1" noChangeArrowheads="1"/>
                                          </pic:cNvPicPr>
                                        </pic:nvPicPr>
                                        <pic:blipFill>
                                          <a:blip r:embed="rId95"/>
                                          <a:stretch>
                                            <a:fillRect/>
                                          </a:stretch>
                                        </pic:blipFill>
                                        <pic:spPr bwMode="auto">
                                          <a:xfrm>
                                            <a:off x="0" y="0"/>
                                            <a:ext cx="190500" cy="266700"/>
                                          </a:xfrm>
                                          <a:prstGeom prst="rect">
                                            <a:avLst/>
                                          </a:prstGeom>
                                        </pic:spPr>
                                      </pic:pic>
                                    </a:graphicData>
                                  </a:graphic>
                                </wp:inline>
                              </w:drawing>
                            </w:r>
                            <w:bookmarkStart w:id="93" w:name="i-51"/>
                            <w:bookmarkEnd w:id="93"/>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4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51" descr=""/>
                                    <pic:cNvPicPr>
                                      <a:picLocks noChangeAspect="1" noChangeArrowheads="1"/>
                                    </pic:cNvPicPr>
                                  </pic:nvPicPr>
                                  <pic:blipFill>
                                    <a:blip r:embed="rId96"/>
                                    <a:stretch>
                                      <a:fillRect/>
                                    </a:stretch>
                                  </pic:blipFill>
                                  <pic:spPr bwMode="auto">
                                    <a:xfrm>
                                      <a:off x="0" y="0"/>
                                      <a:ext cx="190500" cy="266700"/>
                                    </a:xfrm>
                                    <a:prstGeom prst="rect">
                                      <a:avLst/>
                                    </a:prstGeom>
                                  </pic:spPr>
                                </pic:pic>
                              </a:graphicData>
                            </a:graphic>
                          </wp:inline>
                        </w:drawing>
                      </w:r>
                      <w:bookmarkStart w:id="94" w:name="i-51"/>
                      <w:bookmarkEnd w:id="94"/>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44</w:t>
                      </w:r>
                    </w:p>
                  </w:txbxContent>
                </v:textbox>
                <w10:wrap type="none"/>
              </v:rect>
            </w:pict>
          </mc:Fallback>
        </mc:AlternateContent>
      </w:r>
    </w:p>
    <w:p>
      <w:pPr>
        <w:pStyle w:val="TextBody"/>
        <w:bidi w:val="0"/>
        <w:spacing w:lineRule="auto" w:line="288" w:before="0" w:after="180"/>
        <w:jc w:val="both"/>
        <w:rPr/>
      </w:pPr>
      <w:hyperlink w:anchor="i901a725797c944a19267b6f140f14c09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left"/>
        <w:rPr>
          <w:rFonts w:ascii="Arial;sans-serif" w:hAnsi="Arial;sans-serif"/>
          <w:b/>
          <w:color w:val="D7282F"/>
          <w:sz w:val="28"/>
        </w:rPr>
      </w:pPr>
      <w:r>
        <w:rPr>
          <w:rFonts w:ascii="Arial;sans-serif" w:hAnsi="Arial;sans-serif"/>
          <w:b/>
          <w:color w:val="D7282F"/>
          <w:sz w:val="28"/>
        </w:rPr>
        <w:t xml:space="preserve">ITEM 4. CONTROLS AND PROCEDURES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Evaluation of Disclosure Controls and Procedures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of June 30, 2026, under the supervision and with the participation of our management, including the Chief Executive Officer and Chief Financial Officer, we evaluated the effectiveness of the design and operation of our disclosure controls and procedures, as defined in Rule 13(a)-15(e) of the Securities Exchange Act of 1934, as amended (the Exchange Act). Based on the evaluation, our Chief Executive Officer and Chief Financial Officer have concluded that our disclosure controls and procedures were effective as of that date.</w:t>
      </w: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Changes in Internal Control over Financial Reporting</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There have been no changes during the three months ended June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63220"/>
                <wp:effectExtent l="0" t="0" r="0" b="0"/>
                <wp:wrapNone/>
                <wp:docPr id="142" name="Frame47"/>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43"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52" descr=""/>
                                          <pic:cNvPicPr>
                                            <a:picLocks noChangeAspect="1" noChangeArrowheads="1"/>
                                          </pic:cNvPicPr>
                                        </pic:nvPicPr>
                                        <pic:blipFill>
                                          <a:blip r:embed="rId97"/>
                                          <a:stretch>
                                            <a:fillRect/>
                                          </a:stretch>
                                        </pic:blipFill>
                                        <pic:spPr bwMode="auto">
                                          <a:xfrm>
                                            <a:off x="0" y="0"/>
                                            <a:ext cx="190500" cy="266700"/>
                                          </a:xfrm>
                                          <a:prstGeom prst="rect">
                                            <a:avLst/>
                                          </a:prstGeom>
                                        </pic:spPr>
                                      </pic:pic>
                                    </a:graphicData>
                                  </a:graphic>
                                </wp:inline>
                              </w:drawing>
                            </w:r>
                            <w:bookmarkStart w:id="95" w:name="i-52"/>
                            <w:bookmarkEnd w:id="95"/>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44"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52" descr=""/>
                                    <pic:cNvPicPr>
                                      <a:picLocks noChangeAspect="1" noChangeArrowheads="1"/>
                                    </pic:cNvPicPr>
                                  </pic:nvPicPr>
                                  <pic:blipFill>
                                    <a:blip r:embed="rId98"/>
                                    <a:stretch>
                                      <a:fillRect/>
                                    </a:stretch>
                                  </pic:blipFill>
                                  <pic:spPr bwMode="auto">
                                    <a:xfrm>
                                      <a:off x="0" y="0"/>
                                      <a:ext cx="190500" cy="266700"/>
                                    </a:xfrm>
                                    <a:prstGeom prst="rect">
                                      <a:avLst/>
                                    </a:prstGeom>
                                  </pic:spPr>
                                </pic:pic>
                              </a:graphicData>
                            </a:graphic>
                          </wp:inline>
                        </w:drawing>
                      </w:r>
                      <w:bookmarkStart w:id="96" w:name="i-52"/>
                      <w:bookmarkEnd w:id="96"/>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45</w:t>
                      </w:r>
                    </w:p>
                  </w:txbxContent>
                </v:textbox>
                <w10:wrap type="none"/>
              </v:rect>
            </w:pict>
          </mc:Fallback>
        </mc:AlternateContent>
      </w:r>
    </w:p>
    <w:p>
      <w:pPr>
        <w:pStyle w:val="TextBody"/>
        <w:bidi w:val="0"/>
        <w:spacing w:lineRule="auto" w:line="288" w:before="0" w:after="180"/>
        <w:jc w:val="both"/>
        <w:rPr/>
      </w:pPr>
      <w:hyperlink w:anchor="i901a725797c944a19267b6f140f14c09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60"/>
        <w:jc w:val="center"/>
        <w:rPr>
          <w:rFonts w:ascii="Arial;sans-serif" w:hAnsi="Arial;sans-serif"/>
          <w:b/>
          <w:color w:val="006098"/>
          <w:sz w:val="32"/>
        </w:rPr>
      </w:pPr>
      <w:r>
        <w:rPr>
          <w:rFonts w:ascii="Arial;sans-serif" w:hAnsi="Arial;sans-serif"/>
          <w:b/>
          <w:color w:val="006098"/>
          <w:sz w:val="32"/>
        </w:rPr>
        <w:t>PART II. OTHER INFORMATION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DE02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shd w:fill="D7282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shd w:fill="00416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D7282F"/>
          <w:sz w:val="28"/>
        </w:rPr>
      </w:pPr>
      <w:r>
        <w:rPr>
          <w:rFonts w:ascii="Arial;sans-serif" w:hAnsi="Arial;sans-serif"/>
          <w:b/>
          <w:color w:val="D7282F"/>
          <w:sz w:val="28"/>
        </w:rPr>
        <w:t>ITEM 1. LEGAL PROCEEDINGS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may, from time to time, be a party to litigation and subject to claims incident to the ordinary course of business. As our company matures, we may become party to an increasing number of litigation matters and claims. The outcome of litigation and claims cannot be predicted with certainty, and the resolution of these matters could materially and adversely affect our business, financial condition, results of operations, and growth prospects.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Please refer to NOTE 15 — Commitments and Contingencies under the heading “Legal Proceedings” for further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D7282F"/>
          <w:sz w:val="28"/>
        </w:rPr>
      </w:pPr>
      <w:r>
        <w:rPr>
          <w:rFonts w:ascii="Arial;sans-serif" w:hAnsi="Arial;sans-serif"/>
          <w:b/>
          <w:color w:val="D7282F"/>
          <w:sz w:val="28"/>
        </w:rPr>
        <w:t>ITEM 1A. RISK FACTORS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Except for the items noted below, there have been no material changes in our risk factors from those disclosed in Part I, Item 1A of our 2025 Form 10-K. The risk factors described in our 2025 Form 10-K, as well as other information set forth in this Quarterly Report on Form 10-Q, could materially and adversely affect our business, financial condition and results of operations, and should be carefully considered. The risks and uncertainties that we face, however, are not limited to those described in the 2025 Form 10-K. Additional risks and uncertainties not presently known to us or that we currently believe to be immaterial may also adversely affect our business and the trading price of our Class A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120"/>
        <w:jc w:val="both"/>
        <w:rPr>
          <w:rFonts w:ascii="Arial;sans-serif" w:hAnsi="Arial;sans-serif"/>
          <w:b/>
          <w:i/>
          <w:color w:val="006098"/>
          <w:sz w:val="20"/>
        </w:rPr>
      </w:pPr>
      <w:r>
        <w:rPr>
          <w:rFonts w:ascii="Arial;sans-serif" w:hAnsi="Arial;sans-serif"/>
          <w:b/>
          <w:i/>
          <w:color w:val="006098"/>
          <w:sz w:val="20"/>
        </w:rPr>
        <w:t>Legislation and regulations requiring the display and provision of nutritional information for our menu offerings, and new information, attitudes, or regulations regarding additives, diet and health or adverse opinions about the health effects of consuming our menu offerings, could affect consumer preferences and negatively impact our business, financial condition, and results of operations.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Government regulation and customer consumption habits may impact our business as a result of changes in attitudes regarding diet and health (including use of weight-loss or appetite-suppressing drugs such as those commonly known as GLP-1s) or new information regarding the health effects of consuming our menu offerings. These changes have resulted in, and may continue to result in, the enactment of laws and regulations that impact the ingredients and nutritional content of our menu offerings, or laws and regulations requiring us to disclose the nutritional content of our food offerings.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For example, a number of states, counties, and cities have enacted menu labeling laws requiring multi-unit restaurant operators to disclose certain nutritional information to customers, or have enacted legislation restricting the use of certain types of ingredients in food sold at restaurants. Furthermore, the Patient Protection and Affordable Care Act of 2010 (the PPACA) establishes a uniform, federal requirement for certain restaurants to post certain nutritional information on their menus. Specifically, the PPACA amended the Federal Food, Drug and Cosmetic Act to require certain chain restaurants to publish the total number of calories of standard menu items on menus and menu boards, along with a statement that puts this calorie information in the context of a total daily calorie intake. The PPACA also requires covered restaurants to provide to consumers, upon request, a written summary of detailed nutritional information for each standard menu item, and to provide a statement on menus and menu boards about the availability of this information. The PPACA further permits the Food and Drug Administration to require covered restaurants to make additional nutrient disclosures, such as disclosure of trans-fat content. More recently, U.S. regulatory authorities, including the Food and Drug Administration, have indicated their intent to restrict or prohibit the use of certain food dyes currently permitted for lawful use in food. In May 2026, the Food and Drug Administration announced it had finalized its new post-market assessment program for chemicals in the food supply and launched its first reassessments under the program, with further reviews expected on an ongoing basis. Such assessments may be initiated by external petitions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63220"/>
                <wp:effectExtent l="0" t="0" r="0" b="0"/>
                <wp:wrapNone/>
                <wp:docPr id="145" name="Frame48"/>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46"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53" descr=""/>
                                          <pic:cNvPicPr>
                                            <a:picLocks noChangeAspect="1" noChangeArrowheads="1"/>
                                          </pic:cNvPicPr>
                                        </pic:nvPicPr>
                                        <pic:blipFill>
                                          <a:blip r:embed="rId99"/>
                                          <a:stretch>
                                            <a:fillRect/>
                                          </a:stretch>
                                        </pic:blipFill>
                                        <pic:spPr bwMode="auto">
                                          <a:xfrm>
                                            <a:off x="0" y="0"/>
                                            <a:ext cx="190500" cy="266700"/>
                                          </a:xfrm>
                                          <a:prstGeom prst="rect">
                                            <a:avLst/>
                                          </a:prstGeom>
                                        </pic:spPr>
                                      </pic:pic>
                                    </a:graphicData>
                                  </a:graphic>
                                </wp:inline>
                              </w:drawing>
                            </w:r>
                            <w:bookmarkStart w:id="97" w:name="i-53"/>
                            <w:bookmarkEnd w:id="97"/>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47"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53" descr=""/>
                                    <pic:cNvPicPr>
                                      <a:picLocks noChangeAspect="1" noChangeArrowheads="1"/>
                                    </pic:cNvPicPr>
                                  </pic:nvPicPr>
                                  <pic:blipFill>
                                    <a:blip r:embed="rId100"/>
                                    <a:stretch>
                                      <a:fillRect/>
                                    </a:stretch>
                                  </pic:blipFill>
                                  <pic:spPr bwMode="auto">
                                    <a:xfrm>
                                      <a:off x="0" y="0"/>
                                      <a:ext cx="190500" cy="266700"/>
                                    </a:xfrm>
                                    <a:prstGeom prst="rect">
                                      <a:avLst/>
                                    </a:prstGeom>
                                  </pic:spPr>
                                </pic:pic>
                              </a:graphicData>
                            </a:graphic>
                          </wp:inline>
                        </w:drawing>
                      </w:r>
                      <w:bookmarkStart w:id="98" w:name="i-53"/>
                      <w:bookmarkEnd w:id="98"/>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46</w:t>
                      </w:r>
                    </w:p>
                  </w:txbxContent>
                </v:textbox>
                <w10:wrap type="none"/>
              </v:rect>
            </w:pict>
          </mc:Fallback>
        </mc:AlternateContent>
      </w:r>
    </w:p>
    <w:p>
      <w:pPr>
        <w:pStyle w:val="TextBody"/>
        <w:bidi w:val="0"/>
        <w:spacing w:lineRule="auto" w:line="288" w:before="0" w:after="180"/>
        <w:jc w:val="both"/>
        <w:rPr/>
      </w:pPr>
      <w:hyperlink w:anchor="i901a725797c944a19267b6f140f14c09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agency’s own initiative. In addition, the Food and Drug Administration is developing a proposed rule to increase oversight of food ingredients deemed Generally Recognized as Safe (GRAS), which, if finalized, would require mandatory submission of GRAS notices for food ingredients. GRAS reform legislation has also been introduced in Congress. Furthermore, an increasing number of states have proposed or enacted laws intended to prohibit or limit the use of certain food and color additives and states have initiated actions and investigations into the use of certain additives by companies. For example, in 2025, the Texas Attorney General’s Office initiated multiple investigations into major food companies regarding the marketing of products containing artificial dyes, resulting in public commitments to remove such additives in the near term and, in one case, a legally binding agreement. Should such regulatory change affect the ingredients currently used in our products and we are unable to identify or secure comparable and cost-effective alternative ingredients, such change could have an adverse effect on our results of operations and financial position. An unfavorable report on, or reaction to, our current or future menu ingredients, the size of our portions, or the nutritional content of our menu items could negatively influence the demand for our offerings.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cannot make any assurances regarding our ability to effectively respond to changes in customer health perceptions or our ability to successfully implement nutrient content disclosure requirements or other resulting regulations, including potential regulations around the use of certain ingredients, dyes, or other additives, or to adapt our menu offerings to trends in drinking and consumption habits. The imposition of menu-labeling laws, additional restrictions on certain food additives, and such other regulations could have an adverse effect on our results of operations and financial position, as well as the food service and restaurant industry in general.</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may be unable to identify all potential allergens present in our products at the time of purchase, whether they were introduced by us or by our third party vendors. This could result in the inability of some customers to purchase our products, or could result in negative health consequences for individuals sensitive to such allergens who choose to purchase our products regardless. A potentially serious allergic reaction to our products may result in negative public perception and could harm our business and results of operations.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In addition, social media has contributed to an increase in “secret menu” style drinks that are not created or marketed by us. Such drinks can be ordered by customers, for example, by asking for specific combinations of flavors or ingredients. We have no control over such trends, may not become timely aware of them, and may be unable to provide nutritional information for them. Such trends may also result in a mixture of ingredients in ways that could be perceived negatively, including with regard to health effects, and such perception could harm our business.</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We may engage in merger and acquisition activities or strategic partnerships, which could require significant management attention, disrupt our business, dilute stockholder value, and adversely affect our business, results of operations, and financial condition.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part of our business strategy to grow our business, we have in the past and may in the future make investments or acquisitions in, or enter into strategic partnerships with, other companies, including acquisitions of franchises from our franchise partners and acquisitions of material lease rights, real estate or properties for conversion to new shops. The identification of suitable acquisitions or partnership candidates can be difficult, time-consuming, and costly, and we may not be able to complete acquisitions or partnerships on favorable terms, if at all. These acquisitions or partnerships may be more costly to protect our competitive position, but may not ultimately strengthen our competitive position, or achieve the intended goals of such acquisition or partnership, and any acquisitions or partnerships we complete could be viewed negatively by customers or investors. We may encounter difficult or unforeseen expenditures in integrating an acquisition or partnership. In addition, if we fail to successfully integrate such acquisitions, assets, technologies, properties, or personnel associated with such acquisitions or partnerships into our company, the business and results of operations of the combined company would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63220"/>
                <wp:effectExtent l="0" t="0" r="0" b="0"/>
                <wp:wrapNone/>
                <wp:docPr id="148" name="Frame49"/>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49"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54" descr=""/>
                                          <pic:cNvPicPr>
                                            <a:picLocks noChangeAspect="1" noChangeArrowheads="1"/>
                                          </pic:cNvPicPr>
                                        </pic:nvPicPr>
                                        <pic:blipFill>
                                          <a:blip r:embed="rId101"/>
                                          <a:stretch>
                                            <a:fillRect/>
                                          </a:stretch>
                                        </pic:blipFill>
                                        <pic:spPr bwMode="auto">
                                          <a:xfrm>
                                            <a:off x="0" y="0"/>
                                            <a:ext cx="190500" cy="266700"/>
                                          </a:xfrm>
                                          <a:prstGeom prst="rect">
                                            <a:avLst/>
                                          </a:prstGeom>
                                        </pic:spPr>
                                      </pic:pic>
                                    </a:graphicData>
                                  </a:graphic>
                                </wp:inline>
                              </w:drawing>
                            </w:r>
                            <w:bookmarkStart w:id="99" w:name="i-54"/>
                            <w:bookmarkEnd w:id="99"/>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50"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54" descr=""/>
                                    <pic:cNvPicPr>
                                      <a:picLocks noChangeAspect="1" noChangeArrowheads="1"/>
                                    </pic:cNvPicPr>
                                  </pic:nvPicPr>
                                  <pic:blipFill>
                                    <a:blip r:embed="rId102"/>
                                    <a:stretch>
                                      <a:fillRect/>
                                    </a:stretch>
                                  </pic:blipFill>
                                  <pic:spPr bwMode="auto">
                                    <a:xfrm>
                                      <a:off x="0" y="0"/>
                                      <a:ext cx="190500" cy="266700"/>
                                    </a:xfrm>
                                    <a:prstGeom prst="rect">
                                      <a:avLst/>
                                    </a:prstGeom>
                                  </pic:spPr>
                                </pic:pic>
                              </a:graphicData>
                            </a:graphic>
                          </wp:inline>
                        </w:drawing>
                      </w:r>
                      <w:bookmarkStart w:id="100" w:name="i-54"/>
                      <w:bookmarkEnd w:id="100"/>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47</w:t>
                      </w:r>
                    </w:p>
                  </w:txbxContent>
                </v:textbox>
                <w10:wrap type="none"/>
              </v:rect>
            </w:pict>
          </mc:Fallback>
        </mc:AlternateContent>
      </w:r>
    </w:p>
    <w:p>
      <w:pPr>
        <w:pStyle w:val="TextBody"/>
        <w:bidi w:val="0"/>
        <w:spacing w:lineRule="auto" w:line="288" w:before="0" w:after="180"/>
        <w:jc w:val="both"/>
        <w:rPr/>
      </w:pPr>
      <w:hyperlink w:anchor="i901a725797c944a19267b6f140f14c09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These transactions may disrupt our ongoing operations, divert management from their primary responsibilities, subject us to additional liabilities, increase our expenses, subject us to increased regulatory requirements, cause adverse tax consequences or unfavorable accounting treatment, expose us to claims and disputes by stockholders and third parties, and adversely impact our business, financial condition, and results of operations. We may not successfully evaluate or utilize the acquired assets and accurately forecast the financial impact of an acquisition or partnership transaction, including accounting charges. We may have to pay cash for any such acquisition or partnership which would limit other potential uses for our cash. If we incur debt to fund any such acquisition or partnership, such debt may subject us to material restrictions in our ability to conduct our business, result in increased fixed obligations, and subject us to covenants or other restrictions that would decrease our operational flexibility and impede our ability to manage our operations. If we issue a significant amount of equity securities in connection with future acquisitions or partnerships, existing stockholders’ ownership would be diluted.</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63220"/>
                <wp:effectExtent l="0" t="0" r="0" b="0"/>
                <wp:wrapNone/>
                <wp:docPr id="151" name="Frame50"/>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52"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55" descr=""/>
                                          <pic:cNvPicPr>
                                            <a:picLocks noChangeAspect="1" noChangeArrowheads="1"/>
                                          </pic:cNvPicPr>
                                        </pic:nvPicPr>
                                        <pic:blipFill>
                                          <a:blip r:embed="rId103"/>
                                          <a:stretch>
                                            <a:fillRect/>
                                          </a:stretch>
                                        </pic:blipFill>
                                        <pic:spPr bwMode="auto">
                                          <a:xfrm>
                                            <a:off x="0" y="0"/>
                                            <a:ext cx="190500" cy="266700"/>
                                          </a:xfrm>
                                          <a:prstGeom prst="rect">
                                            <a:avLst/>
                                          </a:prstGeom>
                                        </pic:spPr>
                                      </pic:pic>
                                    </a:graphicData>
                                  </a:graphic>
                                </wp:inline>
                              </w:drawing>
                            </w:r>
                            <w:bookmarkStart w:id="101" w:name="i-55"/>
                            <w:bookmarkEnd w:id="101"/>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53"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55" descr=""/>
                                    <pic:cNvPicPr>
                                      <a:picLocks noChangeAspect="1" noChangeArrowheads="1"/>
                                    </pic:cNvPicPr>
                                  </pic:nvPicPr>
                                  <pic:blipFill>
                                    <a:blip r:embed="rId104"/>
                                    <a:stretch>
                                      <a:fillRect/>
                                    </a:stretch>
                                  </pic:blipFill>
                                  <pic:spPr bwMode="auto">
                                    <a:xfrm>
                                      <a:off x="0" y="0"/>
                                      <a:ext cx="190500" cy="266700"/>
                                    </a:xfrm>
                                    <a:prstGeom prst="rect">
                                      <a:avLst/>
                                    </a:prstGeom>
                                  </pic:spPr>
                                </pic:pic>
                              </a:graphicData>
                            </a:graphic>
                          </wp:inline>
                        </w:drawing>
                      </w:r>
                      <w:bookmarkStart w:id="102" w:name="i-55"/>
                      <w:bookmarkEnd w:id="102"/>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48</w:t>
                      </w:r>
                    </w:p>
                  </w:txbxContent>
                </v:textbox>
                <w10:wrap type="none"/>
              </v:rect>
            </w:pict>
          </mc:Fallback>
        </mc:AlternateContent>
      </w:r>
    </w:p>
    <w:p>
      <w:pPr>
        <w:pStyle w:val="TextBody"/>
        <w:bidi w:val="0"/>
        <w:spacing w:lineRule="auto" w:line="288" w:before="0" w:after="180"/>
        <w:jc w:val="both"/>
        <w:rPr/>
      </w:pPr>
      <w:hyperlink w:anchor="i901a725797c944a19267b6f140f14c09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left"/>
        <w:rPr>
          <w:rFonts w:ascii="Arial;sans-serif" w:hAnsi="Arial;sans-serif"/>
          <w:b/>
          <w:color w:val="D7282F"/>
          <w:sz w:val="28"/>
        </w:rPr>
      </w:pPr>
      <w:r>
        <w:rPr>
          <w:rFonts w:ascii="Arial;sans-serif" w:hAnsi="Arial;sans-serif"/>
          <w:b/>
          <w:color w:val="D7282F"/>
          <w:sz w:val="28"/>
        </w:rPr>
        <w:t>ITEM 2. UNREGISTERED SALES OF EQUITY SECURITIES AND USE OF PROCEEDS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Issuer Purchases of Equity Securities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following table summarizes purchases of Class A common stock during the three months ended June 30,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99"/>
        <w:gridCol w:w="262"/>
        <w:gridCol w:w="264"/>
        <w:gridCol w:w="109"/>
        <w:gridCol w:w="109"/>
        <w:gridCol w:w="109"/>
        <w:gridCol w:w="459"/>
        <w:gridCol w:w="459"/>
        <w:gridCol w:w="460"/>
        <w:gridCol w:w="109"/>
        <w:gridCol w:w="109"/>
        <w:gridCol w:w="109"/>
        <w:gridCol w:w="431"/>
        <w:gridCol w:w="1324"/>
        <w:gridCol w:w="224"/>
        <w:gridCol w:w="109"/>
        <w:gridCol w:w="109"/>
        <w:gridCol w:w="109"/>
        <w:gridCol w:w="688"/>
        <w:gridCol w:w="688"/>
        <w:gridCol w:w="690"/>
        <w:gridCol w:w="109"/>
        <w:gridCol w:w="109"/>
        <w:gridCol w:w="109"/>
        <w:gridCol w:w="773"/>
        <w:gridCol w:w="773"/>
        <w:gridCol w:w="1103"/>
      </w:tblGrid>
      <w:tr>
        <w:trPr/>
        <w:tc>
          <w:tcPr>
            <w:tcW w:w="29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6098"/>
                <w:sz w:val="18"/>
              </w:rPr>
            </w:pPr>
            <w:r>
              <w:rPr>
                <w:rFonts w:ascii="Arial;sans-serif" w:hAnsi="Arial;sans-serif"/>
                <w:b/>
                <w:color w:val="006098"/>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6098"/>
                <w:sz w:val="18"/>
              </w:rPr>
              <w:t>Total Number of Shares Purchased</w:t>
            </w:r>
            <w:r>
              <w:rPr>
                <w:color w:val="006098"/>
              </w:rPr>
              <w:t xml:space="preserve"> </w:t>
            </w:r>
            <w:r>
              <w:rPr>
                <w:rFonts w:ascii="Arial;sans-serif" w:hAnsi="Arial;sans-serif"/>
                <w:b/>
                <w:color w:val="006098"/>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6098"/>
                <w:sz w:val="18"/>
              </w:rPr>
            </w:pPr>
            <w:r>
              <w:rPr>
                <w:rFonts w:ascii="Arial;sans-serif" w:hAnsi="Arial;sans-serif"/>
                <w:b/>
                <w:color w:val="006098"/>
                <w:sz w:val="18"/>
              </w:rPr>
              <w:t>Weighted-Average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6098"/>
                <w:sz w:val="18"/>
              </w:rPr>
            </w:pPr>
            <w:r>
              <w:rPr>
                <w:rFonts w:ascii="Arial;sans-serif" w:hAnsi="Arial;sans-serif"/>
                <w:b/>
                <w:color w:val="006098"/>
                <w:sz w:val="18"/>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6098"/>
                <w:sz w:val="18"/>
              </w:rPr>
            </w:pPr>
            <w:r>
              <w:rPr>
                <w:rFonts w:ascii="Arial;sans-serif" w:hAnsi="Arial;sans-serif"/>
                <w:b/>
                <w:color w:val="006098"/>
                <w:sz w:val="18"/>
              </w:rPr>
              <w:t>Maximum Number (or Approximate Dollar Value) of Shares that May Yet Be Purchased Under the Plans or Programs</w:t>
            </w:r>
          </w:p>
        </w:tc>
      </w:tr>
      <w:tr>
        <w:trPr/>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49" w:type="dxa"/>
            <w:gridSpan w:val="3"/>
            <w:tcBorders/>
            <w:vAlign w:val="center"/>
          </w:tcPr>
          <w:p>
            <w:pPr>
              <w:pStyle w:val="TableContents"/>
              <w:bidi w:val="0"/>
              <w:spacing w:before="0" w:after="283"/>
              <w:jc w:val="left"/>
              <w:rPr>
                <w:sz w:val="4"/>
                <w:szCs w:val="4"/>
              </w:rPr>
            </w:pPr>
            <w:r>
              <w:rPr>
                <w:sz w:val="4"/>
                <w:szCs w:val="4"/>
              </w:rPr>
            </w:r>
          </w:p>
        </w:tc>
      </w:tr>
      <w:tr>
        <w:trPr/>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49" w:type="dxa"/>
            <w:gridSpan w:val="3"/>
            <w:tcBorders/>
            <w:vAlign w:val="center"/>
          </w:tcPr>
          <w:p>
            <w:pPr>
              <w:pStyle w:val="TableContents"/>
              <w:bidi w:val="0"/>
              <w:spacing w:before="0" w:after="283"/>
              <w:jc w:val="left"/>
              <w:rPr>
                <w:sz w:val="4"/>
                <w:szCs w:val="4"/>
              </w:rPr>
            </w:pPr>
            <w:r>
              <w:rPr>
                <w:sz w:val="4"/>
                <w:szCs w:val="4"/>
              </w:rPr>
            </w:r>
          </w:p>
        </w:tc>
      </w:tr>
      <w:tr>
        <w:trPr/>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49" w:type="dxa"/>
            <w:gridSpan w:val="3"/>
            <w:tcBorders/>
            <w:vAlign w:val="center"/>
          </w:tcPr>
          <w:p>
            <w:pPr>
              <w:pStyle w:val="TableContents"/>
              <w:bidi w:val="0"/>
              <w:spacing w:before="0" w:after="283"/>
              <w:jc w:val="left"/>
              <w:rPr>
                <w:sz w:val="4"/>
                <w:szCs w:val="4"/>
              </w:rPr>
            </w:pPr>
            <w:r>
              <w:rPr>
                <w:sz w:val="4"/>
                <w:szCs w:val="4"/>
              </w:rPr>
            </w:r>
          </w:p>
        </w:tc>
      </w:tr>
      <w:tr>
        <w:trPr/>
        <w:tc>
          <w:tcPr>
            <w:tcW w:w="825"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April 1 - 30, 2026</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460"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24"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690"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103"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May 1 - 31,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3,003 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13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55.09 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1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June 1 - 30, 2026</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46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2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69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103"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49" w:type="dxa"/>
            <w:gridSpan w:val="3"/>
            <w:tcBorders/>
            <w:vAlign w:val="center"/>
          </w:tcPr>
          <w:p>
            <w:pPr>
              <w:pStyle w:val="TableContents"/>
              <w:bidi w:val="0"/>
              <w:spacing w:before="0" w:after="283"/>
              <w:jc w:val="left"/>
              <w:rPr>
                <w:sz w:val="4"/>
                <w:szCs w:val="4"/>
              </w:rPr>
            </w:pPr>
            <w:r>
              <w:rPr>
                <w:sz w:val="4"/>
                <w:szCs w:val="4"/>
              </w:rPr>
            </w:r>
          </w:p>
        </w:tc>
      </w:tr>
      <w:tr>
        <w:trPr/>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49" w:type="dxa"/>
            <w:gridSpan w:val="3"/>
            <w:tcBorders/>
            <w:vAlign w:val="center"/>
          </w:tcPr>
          <w:p>
            <w:pPr>
              <w:pStyle w:val="TableContents"/>
              <w:bidi w:val="0"/>
              <w:spacing w:before="0" w:after="283"/>
              <w:jc w:val="left"/>
              <w:rPr>
                <w:sz w:val="4"/>
                <w:szCs w:val="4"/>
              </w:rPr>
            </w:pPr>
            <w:r>
              <w:rPr>
                <w:sz w:val="4"/>
                <w:szCs w:val="4"/>
              </w:rPr>
            </w:r>
          </w:p>
        </w:tc>
      </w:tr>
      <w:tr>
        <w:trPr/>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49" w:type="dxa"/>
            <w:gridSpan w:val="3"/>
            <w:tcBorders/>
            <w:vAlign w:val="center"/>
          </w:tcPr>
          <w:p>
            <w:pPr>
              <w:pStyle w:val="TableContents"/>
              <w:bidi w:val="0"/>
              <w:spacing w:before="0" w:after="283"/>
              <w:jc w:val="left"/>
              <w:rPr>
                <w:sz w:val="4"/>
                <w:szCs w:val="4"/>
              </w:rPr>
            </w:pPr>
            <w:r>
              <w:rPr>
                <w:sz w:val="4"/>
                <w:szCs w:val="4"/>
              </w:rPr>
            </w:r>
          </w:p>
        </w:tc>
      </w:tr>
      <w:tr>
        <w:trPr/>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49" w:type="dxa"/>
            <w:gridSpan w:val="3"/>
            <w:tcBorders/>
            <w:vAlign w:val="center"/>
          </w:tcPr>
          <w:p>
            <w:pPr>
              <w:pStyle w:val="TableContents"/>
              <w:bidi w:val="0"/>
              <w:spacing w:before="0" w:after="283"/>
              <w:jc w:val="left"/>
              <w:rPr>
                <w:sz w:val="4"/>
                <w:szCs w:val="4"/>
              </w:rPr>
            </w:pPr>
            <w:r>
              <w:rPr>
                <w:sz w:val="4"/>
                <w:szCs w:val="4"/>
              </w:rPr>
            </w:r>
          </w:p>
        </w:tc>
      </w:tr>
      <w:tr>
        <w:trPr/>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49" w:type="dxa"/>
            <w:gridSpan w:val="3"/>
            <w:tcBorders/>
            <w:vAlign w:val="center"/>
          </w:tcPr>
          <w:p>
            <w:pPr>
              <w:pStyle w:val="TableContents"/>
              <w:bidi w:val="0"/>
              <w:spacing w:before="0" w:after="283"/>
              <w:jc w:val="left"/>
              <w:rPr>
                <w:sz w:val="4"/>
                <w:szCs w:val="4"/>
              </w:rPr>
            </w:pPr>
            <w:r>
              <w:rPr>
                <w:sz w:val="4"/>
                <w:szCs w:val="4"/>
              </w:rPr>
            </w:r>
          </w:p>
        </w:tc>
      </w:tr>
      <w:tr>
        <w:trPr/>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4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_________________</w:t>
      </w:r>
    </w:p>
    <w:p>
      <w:pPr>
        <w:pStyle w:val="TextBody"/>
        <w:bidi w:val="0"/>
        <w:spacing w:lineRule="auto" w:line="288" w:before="0" w:after="180"/>
        <w:ind w:left="0" w:right="0" w:hanging="180"/>
        <w:jc w:val="both"/>
        <w:rPr/>
      </w:pPr>
      <w:r>
        <w:rPr>
          <w:rFonts w:ascii="Arial;sans-serif" w:hAnsi="Arial;sans-serif"/>
          <w:b w:val="false"/>
          <w:color w:val="000000"/>
          <w:sz w:val="10"/>
        </w:rPr>
        <w:t>1</w:t>
      </w:r>
      <w:r>
        <w:rPr>
          <w:color w:val="000000"/>
        </w:rPr>
        <w:t>    </w:t>
      </w:r>
      <w:r>
        <w:rPr>
          <w:rFonts w:ascii="Arial;sans-serif" w:hAnsi="Arial;sans-serif"/>
          <w:b w:val="false"/>
          <w:color w:val="000000"/>
          <w:sz w:val="16"/>
        </w:rPr>
        <w:t>In connection with the vesting of RSUs granted pursuant to the Dutch Bros Inc. 2021 Equity Incentive Plan, as amended, shares of Class A common stock are delivered to Dutch Bros by employees to satisfy tax withholding obligations.</w:t>
      </w: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Unregistered Sales of Equity Securities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On April 27, 2026, pursuant to Section 3(a)(9) of the Securities Act, we made an unregistered issuance of Dutch Bros Inc.’s Class A common stock via exchange of 9.9 million Dutch Bros OpCo Class A common units held by entities controlled by our Co-Founder for shares of our Class A common stock on a one-for-one basis. Such shares of Class A common stock were then reserved for sale directly by entities controlled by our Co-Founder pursuant to a Rule 10b5-1 trading arrangement, and we received no proceeds.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Pursuant to Section 3(a)(9) of the Securities Act, we made unregistered issuances of Dutch Bros Inc.’s Class A common stock via exchange of Dutch Bros OpCo Class A common units (and corresponding cancellation of the same number of shares of Class C common stock), held by our Sponsor for shares of our Class A common stock on a one-for-one basis, as follows:</w:t>
      </w:r>
    </w:p>
    <w:tbl>
      <w:tblPr>
        <w:tblW w:w="10205" w:type="dxa"/>
        <w:jc w:val="left"/>
        <w:tblInd w:w="0" w:type="dxa"/>
        <w:tblLayout w:type="fixed"/>
        <w:tblCellMar>
          <w:top w:w="28" w:type="dxa"/>
          <w:left w:w="28" w:type="dxa"/>
          <w:bottom w:w="28" w:type="dxa"/>
          <w:right w:w="28" w:type="dxa"/>
        </w:tblCellMar>
      </w:tblPr>
      <w:tblGrid>
        <w:gridCol w:w="394"/>
        <w:gridCol w:w="342"/>
        <w:gridCol w:w="347"/>
        <w:gridCol w:w="109"/>
        <w:gridCol w:w="109"/>
        <w:gridCol w:w="109"/>
        <w:gridCol w:w="1705"/>
        <w:gridCol w:w="1657"/>
        <w:gridCol w:w="1661"/>
        <w:gridCol w:w="109"/>
        <w:gridCol w:w="109"/>
        <w:gridCol w:w="109"/>
        <w:gridCol w:w="1068"/>
        <w:gridCol w:w="980"/>
        <w:gridCol w:w="1397"/>
      </w:tblGrid>
      <w:tr>
        <w:trPr/>
        <w:tc>
          <w:tcPr>
            <w:tcW w:w="394"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r>
      <w:tr>
        <w:trPr/>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6098"/>
                <w:sz w:val="18"/>
              </w:rPr>
            </w:pPr>
            <w:r>
              <w:rPr>
                <w:rFonts w:ascii="Arial;sans-serif" w:hAnsi="Arial;sans-serif"/>
                <w:b/>
                <w:color w:val="006098"/>
                <w:sz w:val="18"/>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6098"/>
                <w:sz w:val="18"/>
              </w:rPr>
            </w:pPr>
            <w:r>
              <w:rPr>
                <w:rFonts w:ascii="Arial;sans-serif" w:hAnsi="Arial;sans-serif"/>
                <w:b/>
                <w:color w:val="006098"/>
                <w:sz w:val="18"/>
              </w:rPr>
              <w:t>Total Number of Class A Common Units Exchanged for 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6098"/>
                <w:sz w:val="18"/>
              </w:rPr>
            </w:pPr>
            <w:r>
              <w:rPr>
                <w:rFonts w:ascii="Arial;sans-serif" w:hAnsi="Arial;sans-serif"/>
                <w:b/>
                <w:color w:val="006098"/>
                <w:sz w:val="18"/>
              </w:rPr>
              <w:t>Total Number of Class C Common Stock Cancelled</w:t>
            </w:r>
          </w:p>
        </w:tc>
      </w:tr>
      <w:tr>
        <w:trPr/>
        <w:tc>
          <w:tcPr>
            <w:tcW w:w="1083"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May 1, 2026</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2"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43,334 </w:t>
            </w:r>
          </w:p>
        </w:tc>
        <w:tc>
          <w:tcPr>
            <w:tcW w:w="1661"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(43,334)</w:t>
            </w:r>
          </w:p>
        </w:tc>
        <w:tc>
          <w:tcPr>
            <w:tcW w:w="1397"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May 6,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110,000 </w:t>
            </w:r>
          </w:p>
        </w:tc>
        <w:tc>
          <w:tcPr>
            <w:tcW w:w="16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(110,000)</w:t>
            </w:r>
          </w:p>
        </w:tc>
        <w:tc>
          <w:tcPr>
            <w:tcW w:w="1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3"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June 1, 2026</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188,281 </w:t>
            </w:r>
          </w:p>
        </w:tc>
        <w:tc>
          <w:tcPr>
            <w:tcW w:w="166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(188,281)</w:t>
            </w:r>
          </w:p>
        </w:tc>
        <w:tc>
          <w:tcPr>
            <w:tcW w:w="139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June 4,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36,697 </w:t>
            </w:r>
          </w:p>
        </w:tc>
        <w:tc>
          <w:tcPr>
            <w:tcW w:w="16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(36,697)</w:t>
            </w:r>
          </w:p>
        </w:tc>
        <w:tc>
          <w:tcPr>
            <w:tcW w:w="1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3"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June 10, 2026</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312,103 </w:t>
            </w:r>
          </w:p>
        </w:tc>
        <w:tc>
          <w:tcPr>
            <w:tcW w:w="166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(312,103)</w:t>
            </w:r>
          </w:p>
        </w:tc>
        <w:tc>
          <w:tcPr>
            <w:tcW w:w="139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Such shares of Class A common stock were then sold directly by our Sponsor pursuant to Rule 144 of the Securities Act, and we received no proceeds.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D7282F"/>
          <w:sz w:val="28"/>
        </w:rPr>
      </w:pPr>
      <w:r>
        <w:rPr>
          <w:rFonts w:ascii="Arial;sans-serif" w:hAnsi="Arial;sans-serif"/>
          <w:b/>
          <w:color w:val="D7282F"/>
          <w:sz w:val="28"/>
        </w:rPr>
        <w:t>ITEM 3. DEFAULTS UPON SENIOR SECURITIES</w:t>
      </w:r>
    </w:p>
    <w:p>
      <w:pPr>
        <w:pStyle w:val="TextBody"/>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D7282F"/>
          <w:sz w:val="28"/>
        </w:rPr>
      </w:pPr>
      <w:r>
        <w:rPr>
          <w:rFonts w:ascii="Arial;sans-serif" w:hAnsi="Arial;sans-serif"/>
          <w:b/>
          <w:color w:val="D7282F"/>
          <w:sz w:val="28"/>
        </w:rPr>
        <w:t>ITEM 4. MINE SAFETY DISCLOSURES</w:t>
      </w:r>
    </w:p>
    <w:p>
      <w:pPr>
        <w:pStyle w:val="TextBody"/>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63220"/>
                <wp:effectExtent l="0" t="0" r="0" b="0"/>
                <wp:wrapNone/>
                <wp:docPr id="154" name="Frame51"/>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55"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56" descr=""/>
                                          <pic:cNvPicPr>
                                            <a:picLocks noChangeAspect="1" noChangeArrowheads="1"/>
                                          </pic:cNvPicPr>
                                        </pic:nvPicPr>
                                        <pic:blipFill>
                                          <a:blip r:embed="rId105"/>
                                          <a:stretch>
                                            <a:fillRect/>
                                          </a:stretch>
                                        </pic:blipFill>
                                        <pic:spPr bwMode="auto">
                                          <a:xfrm>
                                            <a:off x="0" y="0"/>
                                            <a:ext cx="190500" cy="266700"/>
                                          </a:xfrm>
                                          <a:prstGeom prst="rect">
                                            <a:avLst/>
                                          </a:prstGeom>
                                        </pic:spPr>
                                      </pic:pic>
                                    </a:graphicData>
                                  </a:graphic>
                                </wp:inline>
                              </w:drawing>
                            </w:r>
                            <w:bookmarkStart w:id="103" w:name="i-56"/>
                            <w:bookmarkEnd w:id="103"/>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56" descr=""/>
                                    <pic:cNvPicPr>
                                      <a:picLocks noChangeAspect="1" noChangeArrowheads="1"/>
                                    </pic:cNvPicPr>
                                  </pic:nvPicPr>
                                  <pic:blipFill>
                                    <a:blip r:embed="rId106"/>
                                    <a:stretch>
                                      <a:fillRect/>
                                    </a:stretch>
                                  </pic:blipFill>
                                  <pic:spPr bwMode="auto">
                                    <a:xfrm>
                                      <a:off x="0" y="0"/>
                                      <a:ext cx="190500" cy="266700"/>
                                    </a:xfrm>
                                    <a:prstGeom prst="rect">
                                      <a:avLst/>
                                    </a:prstGeom>
                                  </pic:spPr>
                                </pic:pic>
                              </a:graphicData>
                            </a:graphic>
                          </wp:inline>
                        </w:drawing>
                      </w:r>
                      <w:bookmarkStart w:id="104" w:name="i-56"/>
                      <w:bookmarkEnd w:id="104"/>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49</w:t>
                      </w:r>
                    </w:p>
                  </w:txbxContent>
                </v:textbox>
                <w10:wrap type="none"/>
              </v:rect>
            </w:pict>
          </mc:Fallback>
        </mc:AlternateContent>
      </w:r>
    </w:p>
    <w:p>
      <w:pPr>
        <w:pStyle w:val="TextBody"/>
        <w:bidi w:val="0"/>
        <w:spacing w:lineRule="auto" w:line="288" w:before="0" w:after="180"/>
        <w:jc w:val="both"/>
        <w:rPr/>
      </w:pPr>
      <w:hyperlink w:anchor="i901a725797c944a19267b6f140f14c09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left"/>
        <w:rPr>
          <w:rFonts w:ascii="Arial;sans-serif" w:hAnsi="Arial;sans-serif"/>
          <w:b/>
          <w:color w:val="D7282F"/>
          <w:sz w:val="28"/>
        </w:rPr>
      </w:pPr>
      <w:r>
        <w:rPr>
          <w:rFonts w:ascii="Arial;sans-serif" w:hAnsi="Arial;sans-serif"/>
          <w:b/>
          <w:color w:val="D7282F"/>
          <w:sz w:val="28"/>
        </w:rPr>
        <w:t>ITEM 5. OTHER INFORMATION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There are no disclosures required by this Item 5, including those relating to “Rule 10b5-1 trading arrangements” and “non-Rule 10b5-1 trading arrangements,” as those terms are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D7282F"/>
          <w:sz w:val="28"/>
        </w:rPr>
      </w:pPr>
      <w:r>
        <w:rPr>
          <w:rFonts w:ascii="Arial;sans-serif" w:hAnsi="Arial;sans-serif"/>
          <w:b/>
          <w:color w:val="D7282F"/>
          <w:sz w:val="28"/>
        </w:rPr>
        <w:t>ITEM 6. EXHIBITS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 Exhibits.</w:t>
      </w:r>
    </w:p>
    <w:p>
      <w:pPr>
        <w:pStyle w:val="TextBody"/>
        <w:bidi w:val="0"/>
        <w:spacing w:lineRule="auto" w:line="288" w:before="0" w:after="60"/>
        <w:jc w:val="left"/>
        <w:rPr>
          <w:rFonts w:ascii="Arial;sans-serif" w:hAnsi="Arial;sans-serif"/>
          <w:b w:val="false"/>
          <w:color w:val="131E29"/>
          <w:sz w:val="20"/>
        </w:rPr>
      </w:pPr>
      <w:r>
        <w:rPr>
          <w:rFonts w:ascii="Arial;sans-serif" w:hAnsi="Arial;sans-serif"/>
          <w:b w:val="false"/>
          <w:color w:val="131E29"/>
          <w:sz w:val="20"/>
        </w:rPr>
        <w:t>The following exhibits are included herein or incorporated herein by reference:</w:t>
      </w:r>
    </w:p>
    <w:tbl>
      <w:tblPr>
        <w:tblW w:w="10205" w:type="dxa"/>
        <w:jc w:val="left"/>
        <w:tblInd w:w="0" w:type="dxa"/>
        <w:tblLayout w:type="fixed"/>
        <w:tblCellMar>
          <w:top w:w="28" w:type="dxa"/>
          <w:left w:w="28" w:type="dxa"/>
          <w:bottom w:w="28" w:type="dxa"/>
          <w:right w:w="28" w:type="dxa"/>
        </w:tblCellMar>
      </w:tblPr>
      <w:tblGrid>
        <w:gridCol w:w="310"/>
        <w:gridCol w:w="272"/>
        <w:gridCol w:w="273"/>
        <w:gridCol w:w="109"/>
        <w:gridCol w:w="109"/>
        <w:gridCol w:w="109"/>
        <w:gridCol w:w="1447"/>
        <w:gridCol w:w="1249"/>
        <w:gridCol w:w="1262"/>
        <w:gridCol w:w="111"/>
        <w:gridCol w:w="111"/>
        <w:gridCol w:w="111"/>
        <w:gridCol w:w="176"/>
        <w:gridCol w:w="176"/>
        <w:gridCol w:w="177"/>
        <w:gridCol w:w="340"/>
        <w:gridCol w:w="261"/>
        <w:gridCol w:w="199"/>
        <w:gridCol w:w="220"/>
        <w:gridCol w:w="220"/>
        <w:gridCol w:w="221"/>
        <w:gridCol w:w="111"/>
        <w:gridCol w:w="111"/>
        <w:gridCol w:w="111"/>
        <w:gridCol w:w="378"/>
        <w:gridCol w:w="378"/>
        <w:gridCol w:w="383"/>
        <w:gridCol w:w="109"/>
        <w:gridCol w:w="109"/>
        <w:gridCol w:w="109"/>
        <w:gridCol w:w="272"/>
        <w:gridCol w:w="272"/>
        <w:gridCol w:w="399"/>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18"/>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Description</w:t>
            </w:r>
          </w:p>
        </w:tc>
        <w:tc>
          <w:tcPr>
            <w:tcW w:w="333"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Form</w:t>
            </w:r>
          </w:p>
        </w:tc>
        <w:tc>
          <w:tcPr>
            <w:tcW w:w="80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File No.</w:t>
            </w:r>
          </w:p>
        </w:tc>
        <w:tc>
          <w:tcPr>
            <w:tcW w:w="66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Exhibit</w:t>
            </w:r>
          </w:p>
        </w:tc>
        <w:tc>
          <w:tcPr>
            <w:tcW w:w="333"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Filed Herewith</w:t>
            </w:r>
          </w:p>
        </w:tc>
      </w:tr>
      <w:tr>
        <w:trPr/>
        <w:tc>
          <w:tcPr>
            <w:tcW w:w="855"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8"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left"/>
              <w:rPr/>
            </w:pPr>
            <w:hyperlink r:id="rId107">
              <w:r>
                <w:rPr>
                  <w:rStyle w:val="InternetLink"/>
                  <w:rFonts w:ascii="Arial;sans-serif" w:hAnsi="Arial;sans-serif"/>
                  <w:b w:val="false"/>
                  <w:color w:val="000000"/>
                  <w:sz w:val="18"/>
                  <w:u w:val="single"/>
                </w:rPr>
                <w:t>Amended and Restated Certificate of Incorporation of Registrant</w:t>
              </w:r>
            </w:hyperlink>
          </w:p>
        </w:tc>
        <w:tc>
          <w:tcPr>
            <w:tcW w:w="33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8-K</w:t>
            </w:r>
          </w:p>
        </w:tc>
        <w:tc>
          <w:tcPr>
            <w:tcW w:w="800"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001-40798</w:t>
            </w:r>
          </w:p>
        </w:tc>
        <w:tc>
          <w:tcPr>
            <w:tcW w:w="66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3.1</w:t>
            </w:r>
          </w:p>
        </w:tc>
        <w:tc>
          <w:tcPr>
            <w:tcW w:w="33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September 17, 2021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108">
              <w:r>
                <w:rPr>
                  <w:rStyle w:val="InternetLink"/>
                  <w:rFonts w:ascii="Arial;sans-serif" w:hAnsi="Arial;sans-serif"/>
                  <w:b w:val="false"/>
                  <w:color w:val="000000"/>
                  <w:sz w:val="18"/>
                  <w:u w:val="single"/>
                </w:rPr>
                <w:t>Amended and Restated Bylaws of Registrant</w:t>
              </w:r>
            </w:hyperlink>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S-1</w:t>
            </w:r>
          </w:p>
        </w:tc>
        <w:tc>
          <w:tcPr>
            <w:tcW w:w="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333-258988</w:t>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3.4</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August 20,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4.1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8"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pPr>
            <w:hyperlink r:id="rId109">
              <w:r>
                <w:rPr>
                  <w:rStyle w:val="InternetLink"/>
                  <w:rFonts w:ascii="Arial;sans-serif" w:hAnsi="Arial;sans-serif"/>
                  <w:b w:val="false"/>
                  <w:color w:val="000000"/>
                  <w:sz w:val="18"/>
                  <w:u w:val="single"/>
                </w:rPr>
                <w:t>Form of Common Stock Certificate</w:t>
              </w:r>
            </w:hyperlink>
          </w:p>
        </w:tc>
        <w:tc>
          <w:tcPr>
            <w:tcW w:w="33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S-1/A</w:t>
            </w:r>
          </w:p>
        </w:tc>
        <w:tc>
          <w:tcPr>
            <w:tcW w:w="80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333-258988</w:t>
            </w:r>
          </w:p>
        </w:tc>
        <w:tc>
          <w:tcPr>
            <w:tcW w:w="66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4.1</w:t>
            </w:r>
          </w:p>
        </w:tc>
        <w:tc>
          <w:tcPr>
            <w:tcW w:w="33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September 13, 2021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5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529" w:type="dxa"/>
            <w:gridSpan w:val="3"/>
            <w:tcBorders/>
            <w:vAlign w:val="center"/>
          </w:tcPr>
          <w:p>
            <w:pPr>
              <w:pStyle w:val="TableContents"/>
              <w:bidi w:val="0"/>
              <w:spacing w:before="0" w:after="283"/>
              <w:jc w:val="left"/>
              <w:rPr>
                <w:sz w:val="4"/>
                <w:szCs w:val="4"/>
              </w:rPr>
            </w:pPr>
            <w:r>
              <w:rPr>
                <w:sz w:val="4"/>
                <w:szCs w:val="4"/>
              </w:rPr>
            </w:r>
          </w:p>
        </w:tc>
        <w:tc>
          <w:tcPr>
            <w:tcW w:w="800"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r>
      <w:tr>
        <w:trPr/>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5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529" w:type="dxa"/>
            <w:gridSpan w:val="3"/>
            <w:tcBorders/>
            <w:vAlign w:val="center"/>
          </w:tcPr>
          <w:p>
            <w:pPr>
              <w:pStyle w:val="TableContents"/>
              <w:bidi w:val="0"/>
              <w:spacing w:before="0" w:after="283"/>
              <w:jc w:val="left"/>
              <w:rPr>
                <w:sz w:val="4"/>
                <w:szCs w:val="4"/>
              </w:rPr>
            </w:pPr>
            <w:r>
              <w:rPr>
                <w:sz w:val="4"/>
                <w:szCs w:val="4"/>
              </w:rPr>
            </w:r>
          </w:p>
        </w:tc>
        <w:tc>
          <w:tcPr>
            <w:tcW w:w="800"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3" w:type="dxa"/>
            <w:gridSpan w:val="3"/>
            <w:tcBorders/>
            <w:vAlign w:val="center"/>
          </w:tcPr>
          <w:p>
            <w:pPr>
              <w:pStyle w:val="TableContents"/>
              <w:bidi w:val="0"/>
              <w:spacing w:before="0" w:after="283"/>
              <w:jc w:val="left"/>
              <w:rPr>
                <w:sz w:val="4"/>
                <w:szCs w:val="4"/>
              </w:rPr>
            </w:pPr>
            <w:r>
              <w:rPr>
                <w:sz w:val="4"/>
                <w:szCs w:val="4"/>
              </w:rPr>
            </w:r>
          </w:p>
        </w:tc>
      </w:tr>
      <w:tr>
        <w:trPr/>
        <w:tc>
          <w:tcPr>
            <w:tcW w:w="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exh311-2026q2.htm">
              <w:r>
                <w:rPr>
                  <w:rStyle w:val="InternetLink"/>
                  <w:rFonts w:ascii="Arial;sans-serif" w:hAnsi="Arial;sans-serif"/>
                  <w:b w:val="false"/>
                  <w:color w:val="000000"/>
                  <w:sz w:val="18"/>
                  <w:u w:val="single"/>
                </w:rPr>
                <w:t>Certification of Chief Executive Officer Pursuant to Rules 13a-14(a) and 15d-14(a) of the Securities Exchange Act of 1934, as Adopted Pursuant to Section 302 of the Sarbanes-Oxley Act of 2002</w:t>
              </w:r>
            </w:hyperlink>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X</w:t>
            </w:r>
          </w:p>
        </w:tc>
      </w:tr>
      <w:tr>
        <w:trPr/>
        <w:tc>
          <w:tcPr>
            <w:tcW w:w="85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31.2</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8"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pPr>
            <w:hyperlink w:anchor="exh312-2026q2.htm">
              <w:r>
                <w:rPr>
                  <w:rStyle w:val="InternetLink"/>
                  <w:rFonts w:ascii="Arial;sans-serif" w:hAnsi="Arial;sans-serif"/>
                  <w:b w:val="false"/>
                  <w:color w:val="000000"/>
                  <w:sz w:val="18"/>
                  <w:u w:val="single"/>
                </w:rPr>
                <w:t>Certification of Chief Financial Officer Pursuant to Rules 13a-14(a) and 15d-14(a) of the Securities Exchange Act of 1934, as Adopted Pursuant to Section 302 of the Sarbanes-Oxley Act of 2002</w:t>
              </w:r>
            </w:hyperlink>
          </w:p>
        </w:tc>
        <w:tc>
          <w:tcPr>
            <w:tcW w:w="33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X</w:t>
            </w:r>
          </w:p>
        </w:tc>
      </w:tr>
      <w:tr>
        <w:trPr/>
        <w:tc>
          <w:tcPr>
            <w:tcW w:w="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exh321-2026q2.htm">
              <w:r>
                <w:rPr>
                  <w:rStyle w:val="InternetLink"/>
                  <w:rFonts w:ascii="Arial;sans-serif" w:hAnsi="Arial;sans-serif"/>
                  <w:b w:val="false"/>
                  <w:color w:val="000000"/>
                  <w:sz w:val="18"/>
                  <w:u w:val="single"/>
                </w:rPr>
                <w:t>Certifications of Chief Executive Officer and Chief Financial Officer Pursuant to 18 U.S.C. Section 1350, as Adopted Pursuant to Section 906 of the Sarbanes-Oxley Act of 2002</w:t>
              </w:r>
            </w:hyperlink>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X</w:t>
            </w:r>
          </w:p>
        </w:tc>
      </w:tr>
      <w:tr>
        <w:trPr/>
        <w:tc>
          <w:tcPr>
            <w:tcW w:w="85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101.INS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8"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XBRL Instance Document</w:t>
            </w:r>
          </w:p>
        </w:tc>
        <w:tc>
          <w:tcPr>
            <w:tcW w:w="33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X</w:t>
            </w:r>
          </w:p>
        </w:tc>
      </w:tr>
      <w:tr>
        <w:trPr/>
        <w:tc>
          <w:tcPr>
            <w:tcW w:w="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XBRL Taxonomy Extension Schema Document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X</w:t>
            </w:r>
          </w:p>
        </w:tc>
      </w:tr>
      <w:tr>
        <w:trPr/>
        <w:tc>
          <w:tcPr>
            <w:tcW w:w="85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101.CAL</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8"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XBRL Taxonomy Extension Calculation Linkbase Document</w:t>
            </w:r>
          </w:p>
        </w:tc>
        <w:tc>
          <w:tcPr>
            <w:tcW w:w="33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X</w:t>
            </w:r>
          </w:p>
        </w:tc>
      </w:tr>
      <w:tr>
        <w:trPr/>
        <w:tc>
          <w:tcPr>
            <w:tcW w:w="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XBRL Taxonomy Extension Definition Linkbase Document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X</w:t>
            </w:r>
          </w:p>
        </w:tc>
      </w:tr>
      <w:tr>
        <w:trPr/>
        <w:tc>
          <w:tcPr>
            <w:tcW w:w="85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101.LAB</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8"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XBRL Taxonomy Extension Label Linkbase Document</w:t>
            </w:r>
          </w:p>
        </w:tc>
        <w:tc>
          <w:tcPr>
            <w:tcW w:w="33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X</w:t>
            </w:r>
          </w:p>
        </w:tc>
      </w:tr>
      <w:tr>
        <w:trPr/>
        <w:tc>
          <w:tcPr>
            <w:tcW w:w="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XBRL Taxonomy Extension Presentation Linkbase Document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X</w:t>
            </w:r>
          </w:p>
        </w:tc>
      </w:tr>
      <w:tr>
        <w:trPr/>
        <w:tc>
          <w:tcPr>
            <w:tcW w:w="85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104</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8"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Cover Page with Interactive Data File (formatted as Inline XBRL with applicable taxonomy extension information contained in Exhibits 101)</w:t>
            </w:r>
          </w:p>
        </w:tc>
        <w:tc>
          <w:tcPr>
            <w:tcW w:w="33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X</w:t>
            </w:r>
          </w:p>
        </w:tc>
      </w:tr>
    </w:tbl>
    <w:p>
      <w:pPr>
        <w:pStyle w:val="TextBody"/>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_______________________</w:t>
      </w:r>
    </w:p>
    <w:p>
      <w:pPr>
        <w:pStyle w:val="TextBody"/>
        <w:bidi w:val="0"/>
        <w:spacing w:lineRule="auto" w:line="288" w:before="0" w:after="60"/>
        <w:ind w:left="0" w:right="0" w:hanging="180"/>
        <w:jc w:val="both"/>
        <w:rPr>
          <w:rFonts w:ascii="Arial;sans-serif" w:hAnsi="Arial;sans-serif"/>
          <w:b w:val="false"/>
          <w:color w:val="000000"/>
          <w:sz w:val="16"/>
        </w:rPr>
      </w:pPr>
      <w:r>
        <w:rPr>
          <w:rFonts w:ascii="Arial;sans-serif" w:hAnsi="Arial;sans-serif"/>
          <w:b w:val="false"/>
          <w:color w:val="000000"/>
          <w:sz w:val="16"/>
        </w:rPr>
        <w:t>*    The certifications furnished in Exhibit 32.1 hereto are deemed to accompany this Quarterly Report on Form 10-Q and will not be deemed "filed" for purposes of Section 18 of the Securities Exchange Act of 1934, as amended, except to the extent that the registrant specifically incorporates it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63220"/>
                <wp:effectExtent l="0" t="0" r="0" b="0"/>
                <wp:wrapNone/>
                <wp:docPr id="157" name="Frame52"/>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left"/>
                              <w:rPr/>
                            </w:pPr>
                            <w:r>
                              <w:rPr/>
                              <w:drawing>
                                <wp:inline distT="0" distB="0" distL="0" distR="0">
                                  <wp:extent cx="190500" cy="266700"/>
                                  <wp:effectExtent l="0" t="0" r="0" b="0"/>
                                  <wp:docPr id="158"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57" descr=""/>
                                          <pic:cNvPicPr>
                                            <a:picLocks noChangeAspect="1" noChangeArrowheads="1"/>
                                          </pic:cNvPicPr>
                                        </pic:nvPicPr>
                                        <pic:blipFill>
                                          <a:blip r:embed="rId110"/>
                                          <a:stretch>
                                            <a:fillRect/>
                                          </a:stretch>
                                        </pic:blipFill>
                                        <pic:spPr bwMode="auto">
                                          <a:xfrm>
                                            <a:off x="0" y="0"/>
                                            <a:ext cx="190500" cy="266700"/>
                                          </a:xfrm>
                                          <a:prstGeom prst="rect">
                                            <a:avLst/>
                                          </a:prstGeom>
                                        </pic:spPr>
                                      </pic:pic>
                                    </a:graphicData>
                                  </a:graphic>
                                </wp:inline>
                              </w:drawing>
                            </w:r>
                            <w:bookmarkStart w:id="105" w:name="i-57"/>
                            <w:bookmarkEnd w:id="105"/>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drawing>
                          <wp:inline distT="0" distB="0" distL="0" distR="0">
                            <wp:extent cx="190500" cy="266700"/>
                            <wp:effectExtent l="0" t="0" r="0" b="0"/>
                            <wp:docPr id="159"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57" descr=""/>
                                    <pic:cNvPicPr>
                                      <a:picLocks noChangeAspect="1" noChangeArrowheads="1"/>
                                    </pic:cNvPicPr>
                                  </pic:nvPicPr>
                                  <pic:blipFill>
                                    <a:blip r:embed="rId111"/>
                                    <a:stretch>
                                      <a:fillRect/>
                                    </a:stretch>
                                  </pic:blipFill>
                                  <pic:spPr bwMode="auto">
                                    <a:xfrm>
                                      <a:off x="0" y="0"/>
                                      <a:ext cx="190500" cy="266700"/>
                                    </a:xfrm>
                                    <a:prstGeom prst="rect">
                                      <a:avLst/>
                                    </a:prstGeom>
                                  </pic:spPr>
                                </pic:pic>
                              </a:graphicData>
                            </a:graphic>
                          </wp:inline>
                        </w:drawing>
                      </w:r>
                      <w:bookmarkStart w:id="106" w:name="i-57"/>
                      <w:bookmarkEnd w:id="106"/>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50</w:t>
                      </w:r>
                    </w:p>
                  </w:txbxContent>
                </v:textbox>
                <w10:wrap type="none"/>
              </v:rect>
            </w:pict>
          </mc:Fallback>
        </mc:AlternateContent>
      </w:r>
    </w:p>
    <w:p>
      <w:pPr>
        <w:pStyle w:val="TextBody"/>
        <w:bidi w:val="0"/>
        <w:spacing w:lineRule="auto" w:line="288" w:before="0" w:after="180"/>
        <w:jc w:val="both"/>
        <w:rPr/>
      </w:pPr>
      <w:hyperlink w:anchor="i901a725797c944a19267b6f140f14c09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60"/>
        <w:jc w:val="center"/>
        <w:rPr>
          <w:rFonts w:ascii="Arial;sans-serif" w:hAnsi="Arial;sans-serif"/>
          <w:b/>
          <w:color w:val="006098"/>
          <w:sz w:val="32"/>
        </w:rPr>
      </w:pPr>
      <w:r>
        <w:rPr>
          <w:rFonts w:ascii="Arial;sans-serif" w:hAnsi="Arial;sans-serif"/>
          <w:b/>
          <w:color w:val="006098"/>
          <w:sz w:val="32"/>
        </w:rPr>
        <w:t>SIGNATURES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DE02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shd w:fill="D7282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shd w:fill="00416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Pursuant to the requirements of the Securities Exchange Act of 1934, the Registrant has duly caused this report to be signed on its behalf by the undersigned thereunto duly authorized. </w:t>
      </w:r>
    </w:p>
    <w:tbl>
      <w:tblPr>
        <w:tblW w:w="6075" w:type="dxa"/>
        <w:jc w:val="left"/>
        <w:tblInd w:w="0" w:type="dxa"/>
        <w:tblLayout w:type="fixed"/>
        <w:tblCellMar>
          <w:top w:w="28" w:type="dxa"/>
          <w:left w:w="28" w:type="dxa"/>
          <w:bottom w:w="28" w:type="dxa"/>
          <w:right w:w="28" w:type="dxa"/>
        </w:tblCellMar>
      </w:tblPr>
      <w:tblGrid>
        <w:gridCol w:w="520"/>
        <w:gridCol w:w="458"/>
        <w:gridCol w:w="462"/>
        <w:gridCol w:w="109"/>
        <w:gridCol w:w="109"/>
        <w:gridCol w:w="109"/>
        <w:gridCol w:w="291"/>
        <w:gridCol w:w="291"/>
        <w:gridCol w:w="291"/>
        <w:gridCol w:w="999"/>
        <w:gridCol w:w="999"/>
        <w:gridCol w:w="1437"/>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8" w:type="dxa"/>
            <w:gridSpan w:val="6"/>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color w:val="131E29"/>
                <w:sz w:val="20"/>
              </w:rPr>
            </w:pPr>
            <w:r>
              <w:rPr>
                <w:rFonts w:ascii="Arial;sans-serif" w:hAnsi="Arial;sans-serif"/>
                <w:b/>
                <w:color w:val="131E29"/>
                <w:sz w:val="20"/>
              </w:rPr>
              <w:t>DUTCH BROS INC.</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8" w:type="dxa"/>
            <w:gridSpan w:val="6"/>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(Registrant)</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By:</w:t>
            </w:r>
          </w:p>
        </w:tc>
        <w:tc>
          <w:tcPr>
            <w:tcW w:w="34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20"/>
              </w:rPr>
            </w:pPr>
            <w:r>
              <w:rPr>
                <w:rFonts w:ascii="Arial;sans-serif" w:hAnsi="Arial;sans-serif"/>
                <w:b/>
                <w:color w:val="131E29"/>
                <w:sz w:val="20"/>
              </w:rPr>
              <w:t>/s/ Christine Barone</w:t>
            </w:r>
          </w:p>
        </w:tc>
      </w:tr>
      <w:tr>
        <w:trPr/>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Christine Barone</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Chief Executive Officer and President</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i/>
                <w:color w:val="131E29"/>
                <w:sz w:val="20"/>
              </w:rPr>
            </w:pPr>
            <w:r>
              <w:rPr>
                <w:rFonts w:ascii="Arial;sans-serif" w:hAnsi="Arial;sans-serif"/>
                <w:b w:val="false"/>
                <w:i/>
                <w:color w:val="131E29"/>
                <w:sz w:val="20"/>
              </w:rPr>
              <w:t>(Principal Executive Officer)</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By:</w:t>
            </w:r>
          </w:p>
        </w:tc>
        <w:tc>
          <w:tcPr>
            <w:tcW w:w="34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20"/>
              </w:rPr>
            </w:pPr>
            <w:r>
              <w:rPr>
                <w:rFonts w:ascii="Arial;sans-serif" w:hAnsi="Arial;sans-serif"/>
                <w:b/>
                <w:color w:val="131E29"/>
                <w:sz w:val="20"/>
              </w:rPr>
              <w:t>/s/ Joshua Guenser</w:t>
            </w:r>
          </w:p>
        </w:tc>
      </w:tr>
      <w:tr>
        <w:trPr/>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Joshua Guenser</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Chief Financial Officer</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i/>
                <w:color w:val="131E29"/>
                <w:sz w:val="20"/>
              </w:rPr>
            </w:pPr>
            <w:r>
              <w:rPr>
                <w:rFonts w:ascii="Arial;sans-serif" w:hAnsi="Arial;sans-serif"/>
                <w:b w:val="false"/>
                <w:i/>
                <w:color w:val="131E29"/>
                <w:sz w:val="20"/>
              </w:rPr>
              <w:t>(Principal Financial Officer)</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By:</w:t>
            </w:r>
          </w:p>
        </w:tc>
        <w:tc>
          <w:tcPr>
            <w:tcW w:w="34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20"/>
              </w:rPr>
            </w:pPr>
            <w:r>
              <w:rPr>
                <w:rFonts w:ascii="Arial;sans-serif" w:hAnsi="Arial;sans-serif"/>
                <w:b/>
                <w:color w:val="131E29"/>
                <w:sz w:val="20"/>
              </w:rPr>
              <w:t>/s/ Nicholas Daddario</w:t>
            </w:r>
          </w:p>
        </w:tc>
      </w:tr>
      <w:tr>
        <w:trPr/>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Nicholas Daddario</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Chief Accounting Officer</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i/>
                <w:color w:val="131E29"/>
                <w:sz w:val="20"/>
              </w:rPr>
            </w:pPr>
            <w:r>
              <w:rPr>
                <w:rFonts w:ascii="Arial;sans-serif" w:hAnsi="Arial;sans-serif"/>
                <w:b w:val="false"/>
                <w:i/>
                <w:color w:val="131E29"/>
                <w:sz w:val="20"/>
              </w:rPr>
              <w:t>(Principal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131E29"/>
          <w:sz w:val="18"/>
        </w:rPr>
      </w:pPr>
      <w:r>
        <w:rPr>
          <w:rFonts w:ascii="Arial;sans-serif" w:hAnsi="Arial;sans-serif"/>
          <w:b/>
          <w:color w:val="131E29"/>
          <w:sz w:val="18"/>
        </w:rPr>
        <w:t>Exhibit 31.1</w:t>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63220"/>
                <wp:effectExtent l="0" t="0" r="0" b="0"/>
                <wp:wrapNone/>
                <wp:docPr id="160" name="Frame53"/>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61"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58" descr=""/>
                                          <pic:cNvPicPr>
                                            <a:picLocks noChangeAspect="1" noChangeArrowheads="1"/>
                                          </pic:cNvPicPr>
                                        </pic:nvPicPr>
                                        <pic:blipFill>
                                          <a:blip r:embed="rId112"/>
                                          <a:stretch>
                                            <a:fillRect/>
                                          </a:stretch>
                                        </pic:blipFill>
                                        <pic:spPr bwMode="auto">
                                          <a:xfrm>
                                            <a:off x="0" y="0"/>
                                            <a:ext cx="190500" cy="266700"/>
                                          </a:xfrm>
                                          <a:prstGeom prst="rect">
                                            <a:avLst/>
                                          </a:prstGeom>
                                        </pic:spPr>
                                      </pic:pic>
                                    </a:graphicData>
                                  </a:graphic>
                                </wp:inline>
                              </w:drawing>
                            </w:r>
                            <w:bookmarkStart w:id="107" w:name="i-58"/>
                            <w:bookmarkEnd w:id="107"/>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431.95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62"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58" descr=""/>
                                    <pic:cNvPicPr>
                                      <a:picLocks noChangeAspect="1" noChangeArrowheads="1"/>
                                    </pic:cNvPicPr>
                                  </pic:nvPicPr>
                                  <pic:blipFill>
                                    <a:blip r:embed="rId113"/>
                                    <a:stretch>
                                      <a:fillRect/>
                                    </a:stretch>
                                  </pic:blipFill>
                                  <pic:spPr bwMode="auto">
                                    <a:xfrm>
                                      <a:off x="0" y="0"/>
                                      <a:ext cx="190500" cy="266700"/>
                                    </a:xfrm>
                                    <a:prstGeom prst="rect">
                                      <a:avLst/>
                                    </a:prstGeom>
                                  </pic:spPr>
                                </pic:pic>
                              </a:graphicData>
                            </a:graphic>
                          </wp:inline>
                        </w:drawing>
                      </w:r>
                      <w:bookmarkStart w:id="108" w:name="i-58"/>
                      <w:bookmarkEnd w:id="108"/>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51</w:t>
                      </w:r>
                    </w:p>
                  </w:txbxContent>
                </v:textbox>
                <w10:wrap type="none"/>
              </v:rect>
            </w:pict>
          </mc:Fallback>
        </mc:AlternateContent>
      </w:r>
    </w:p>
    <w:p>
      <w:pPr>
        <w:pStyle w:val="TextBody"/>
        <w:bidi w:val="0"/>
        <w:spacing w:lineRule="auto" w:line="288" w:before="0" w:after="180"/>
        <w:jc w:val="center"/>
        <w:rPr>
          <w:rFonts w:ascii="Arial;sans-serif" w:hAnsi="Arial;sans-serif"/>
          <w:b/>
          <w:color w:val="00416B"/>
          <w:sz w:val="28"/>
        </w:rPr>
      </w:pPr>
      <w:r>
        <w:rPr>
          <w:rFonts w:ascii="Arial;sans-serif" w:hAnsi="Arial;sans-serif"/>
          <w:b/>
          <w:color w:val="00416B"/>
          <w:sz w:val="28"/>
        </w:rPr>
        <w:t>DUTCH BROS INC.</w:t>
      </w:r>
    </w:p>
    <w:p>
      <w:pPr>
        <w:pStyle w:val="TextBody"/>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CERTIFICATION OF CHIEF EXECUTIVE OFFICER</w:t>
      </w:r>
    </w:p>
    <w:p>
      <w:pPr>
        <w:pStyle w:val="TextBody"/>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 xml:space="preserve">PURSUANT TO RULE 13a-14(a) AND RULE 15d-14(a) OF </w:t>
      </w:r>
    </w:p>
    <w:p>
      <w:pPr>
        <w:pStyle w:val="TextBody"/>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THE SECURITIES EXCHANGE ACT OF 1934</w:t>
      </w:r>
    </w:p>
    <w:p>
      <w:pPr>
        <w:pStyle w:val="TextBody"/>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 xml:space="preserve">AS ADOPTED PURSUANT TO SECTION 302 OF </w:t>
      </w:r>
    </w:p>
    <w:p>
      <w:pPr>
        <w:pStyle w:val="TextBody"/>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THE SARBANES-OXLEY ACT OF 2002</w:t>
      </w:r>
    </w:p>
    <w:p>
      <w:pPr>
        <w:pStyle w:val="TextBody"/>
        <w:bidi w:val="0"/>
        <w:spacing w:before="0" w:after="0"/>
        <w:jc w:val="left"/>
        <w:rPr/>
      </w:pPr>
      <w:r>
        <w:rPr/>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I, Christine Barone, certify that:</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1.I have reviewed this Quarterly Report on Form 10-Q for the period ended June 30, 2026 of Dutch Bros Inc.;</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0" w:after="180"/>
        <w:ind w:left="0" w:right="0" w:hanging="360"/>
        <w:jc w:val="both"/>
        <w:rPr>
          <w:rFonts w:ascii="Arial;sans-serif" w:hAnsi="Arial;sans-serif"/>
          <w:b w:val="false"/>
          <w:color w:val="131E29"/>
          <w:sz w:val="20"/>
        </w:rPr>
      </w:pPr>
      <w:r>
        <w:rPr>
          <w:rFonts w:ascii="Arial;sans-serif" w:hAnsi="Arial;sans-serif"/>
          <w:b w:val="false"/>
          <w:color w:val="131E29"/>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360"/>
        <w:jc w:val="both"/>
        <w:rPr>
          <w:rFonts w:ascii="Arial;sans-serif" w:hAnsi="Arial;sans-serif"/>
          <w:b w:val="false"/>
          <w:color w:val="131E29"/>
          <w:sz w:val="20"/>
        </w:rPr>
      </w:pPr>
      <w:r>
        <w:rPr>
          <w:rFonts w:ascii="Arial;sans-serif" w:hAnsi="Arial;sans-serif"/>
          <w:b w:val="false"/>
          <w:color w:val="131E29"/>
          <w:sz w:val="20"/>
        </w:rPr>
        <w:t>(b)Any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tbl>
      <w:tblPr>
        <w:tblW w:w="5529" w:type="dxa"/>
        <w:jc w:val="left"/>
        <w:tblInd w:w="0" w:type="dxa"/>
        <w:tblLayout w:type="fixed"/>
        <w:tblCellMar>
          <w:top w:w="28" w:type="dxa"/>
          <w:left w:w="28" w:type="dxa"/>
          <w:bottom w:w="28" w:type="dxa"/>
          <w:right w:w="28" w:type="dxa"/>
        </w:tblCellMar>
      </w:tblPr>
      <w:tblGrid>
        <w:gridCol w:w="520"/>
        <w:gridCol w:w="458"/>
        <w:gridCol w:w="462"/>
        <w:gridCol w:w="109"/>
        <w:gridCol w:w="109"/>
        <w:gridCol w:w="109"/>
        <w:gridCol w:w="109"/>
        <w:gridCol w:w="109"/>
        <w:gridCol w:w="109"/>
        <w:gridCol w:w="1004"/>
        <w:gridCol w:w="1004"/>
        <w:gridCol w:w="1427"/>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/s/ Christine Barone</w:t>
            </w:r>
          </w:p>
        </w:tc>
      </w:tr>
      <w:tr>
        <w:trPr/>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Christine Barone</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Chief Executive Officer and President</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131E29"/>
          <w:sz w:val="18"/>
        </w:rPr>
      </w:pPr>
      <w:r>
        <w:rPr>
          <w:rFonts w:ascii="Arial;sans-serif" w:hAnsi="Arial;sans-serif"/>
          <w:b/>
          <w:color w:val="131E29"/>
          <w:sz w:val="18"/>
        </w:rPr>
        <w:t>Exhibit 31.2</w:t>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63220"/>
                <wp:effectExtent l="0" t="0" r="0" b="0"/>
                <wp:wrapNone/>
                <wp:docPr id="163" name="Frame54"/>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64"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59" descr=""/>
                                          <pic:cNvPicPr>
                                            <a:picLocks noChangeAspect="1" noChangeArrowheads="1"/>
                                          </pic:cNvPicPr>
                                        </pic:nvPicPr>
                                        <pic:blipFill>
                                          <a:blip r:embed="rId11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Exhibit 31.1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431.95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65"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59" descr=""/>
                                    <pic:cNvPicPr>
                                      <a:picLocks noChangeAspect="1" noChangeArrowheads="1"/>
                                    </pic:cNvPicPr>
                                  </pic:nvPicPr>
                                  <pic:blipFill>
                                    <a:blip r:embed="rId115"/>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Exhibit 31.1</w:t>
                      </w:r>
                    </w:p>
                  </w:txbxContent>
                </v:textbox>
                <w10:wrap type="none"/>
              </v:rect>
            </w:pict>
          </mc:Fallback>
        </mc:AlternateContent>
      </w:r>
    </w:p>
    <w:p>
      <w:pPr>
        <w:pStyle w:val="TextBody"/>
        <w:bidi w:val="0"/>
        <w:spacing w:lineRule="auto" w:line="288" w:before="0" w:after="180"/>
        <w:jc w:val="center"/>
        <w:rPr>
          <w:rFonts w:ascii="Arial;sans-serif" w:hAnsi="Arial;sans-serif"/>
          <w:b/>
          <w:color w:val="00416B"/>
          <w:sz w:val="28"/>
        </w:rPr>
      </w:pPr>
      <w:r>
        <w:rPr>
          <w:rFonts w:ascii="Arial;sans-serif" w:hAnsi="Arial;sans-serif"/>
          <w:b/>
          <w:color w:val="00416B"/>
          <w:sz w:val="28"/>
        </w:rPr>
        <w:t>DUTCH BROS INC.</w:t>
      </w:r>
    </w:p>
    <w:p>
      <w:pPr>
        <w:pStyle w:val="TextBody"/>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CERTIFICATION OF CHIEF FINANCIAL OFFICER</w:t>
      </w:r>
    </w:p>
    <w:p>
      <w:pPr>
        <w:pStyle w:val="TextBody"/>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 xml:space="preserve">PURSUANT TO RULE 13a-14(a) AND RULE 15d-14(a) OF </w:t>
      </w:r>
    </w:p>
    <w:p>
      <w:pPr>
        <w:pStyle w:val="TextBody"/>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THE SECURITIES EXCHANGE ACT OF 1934</w:t>
      </w:r>
    </w:p>
    <w:p>
      <w:pPr>
        <w:pStyle w:val="TextBody"/>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 xml:space="preserve">AS ADOPTED PURSUANT TO SECTION 302 OF </w:t>
      </w:r>
    </w:p>
    <w:p>
      <w:pPr>
        <w:pStyle w:val="TextBody"/>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THE SARBANES-OXLEY ACT OF 2002</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131E29"/>
          <w:sz w:val="20"/>
        </w:rPr>
      </w:pPr>
      <w:r>
        <w:rPr>
          <w:rFonts w:ascii="Arial;sans-serif" w:hAnsi="Arial;sans-serif"/>
          <w:b w:val="false"/>
          <w:color w:val="131E29"/>
          <w:sz w:val="20"/>
        </w:rPr>
        <w:t>I, Joshua Guenser, certify that:</w:t>
      </w:r>
    </w:p>
    <w:p>
      <w:pPr>
        <w:pStyle w:val="TextBody"/>
        <w:bidi w:val="0"/>
        <w:spacing w:before="0" w:after="0"/>
        <w:jc w:val="both"/>
        <w:rPr/>
      </w:pPr>
      <w:r>
        <w:rPr/>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1.I have reviewed this Quarterly Report on Form 10-Q for the period ended June 30, 2026 of Dutch Bros Inc.;</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both"/>
        <w:rPr/>
      </w:pPr>
      <w:r>
        <w:rPr>
          <w:rFonts w:ascii="Arial;sans-serif" w:hAnsi="Arial;sans-serif"/>
          <w:b w:val="false"/>
          <w:color w:val="131E29"/>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w:t>
      </w:r>
      <w:r>
        <w:rPr>
          <w:color w:val="131E29"/>
        </w:rPr>
        <w:t xml:space="preserve"> </w:t>
      </w:r>
      <w:r>
        <w:rPr>
          <w:rFonts w:ascii="Arial;sans-serif" w:hAnsi="Arial;sans-serif"/>
          <w:b w:val="false"/>
          <w:color w:val="131E29"/>
          <w:sz w:val="20"/>
        </w:rPr>
        <w:t>for the registrant and have:</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(b)Any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tbl>
      <w:tblPr>
        <w:tblW w:w="4599" w:type="dxa"/>
        <w:jc w:val="left"/>
        <w:tblInd w:w="0" w:type="dxa"/>
        <w:tblLayout w:type="fixed"/>
        <w:tblCellMar>
          <w:top w:w="28" w:type="dxa"/>
          <w:left w:w="28" w:type="dxa"/>
          <w:bottom w:w="28" w:type="dxa"/>
          <w:right w:w="28" w:type="dxa"/>
        </w:tblCellMar>
      </w:tblPr>
      <w:tblGrid>
        <w:gridCol w:w="520"/>
        <w:gridCol w:w="458"/>
        <w:gridCol w:w="462"/>
        <w:gridCol w:w="109"/>
        <w:gridCol w:w="109"/>
        <w:gridCol w:w="109"/>
        <w:gridCol w:w="109"/>
        <w:gridCol w:w="109"/>
        <w:gridCol w:w="109"/>
        <w:gridCol w:w="732"/>
        <w:gridCol w:w="732"/>
        <w:gridCol w:w="1041"/>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/s/ Joshua Guenser</w:t>
            </w:r>
          </w:p>
        </w:tc>
      </w:tr>
      <w:tr>
        <w:trPr/>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Joshua Guenser</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131E29"/>
          <w:sz w:val="18"/>
        </w:rPr>
      </w:pPr>
      <w:r>
        <w:rPr>
          <w:rFonts w:ascii="Arial;sans-serif" w:hAnsi="Arial;sans-serif"/>
          <w:b/>
          <w:color w:val="131E29"/>
          <w:sz w:val="18"/>
        </w:rPr>
        <w:t>Exhibit 32.1</w:t>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63220"/>
                <wp:effectExtent l="0" t="0" r="0" b="0"/>
                <wp:wrapNone/>
                <wp:docPr id="166" name="Frame55"/>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67"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60" descr=""/>
                                          <pic:cNvPicPr>
                                            <a:picLocks noChangeAspect="1" noChangeArrowheads="1"/>
                                          </pic:cNvPicPr>
                                        </pic:nvPicPr>
                                        <pic:blipFill>
                                          <a:blip r:embed="rId116"/>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Exhibit 31.2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431.95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68"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60" descr=""/>
                                    <pic:cNvPicPr>
                                      <a:picLocks noChangeAspect="1" noChangeArrowheads="1"/>
                                    </pic:cNvPicPr>
                                  </pic:nvPicPr>
                                  <pic:blipFill>
                                    <a:blip r:embed="rId117"/>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Exhibit 31.2</w:t>
                      </w:r>
                    </w:p>
                  </w:txbxContent>
                </v:textbox>
                <w10:wrap type="none"/>
              </v:rect>
            </w:pict>
          </mc:Fallback>
        </mc:AlternateContent>
      </w:r>
    </w:p>
    <w:p>
      <w:pPr>
        <w:pStyle w:val="TextBody"/>
        <w:bidi w:val="0"/>
        <w:spacing w:lineRule="auto" w:line="288" w:before="0" w:after="180"/>
        <w:jc w:val="center"/>
        <w:rPr>
          <w:rFonts w:ascii="Arial;sans-serif" w:hAnsi="Arial;sans-serif"/>
          <w:b/>
          <w:color w:val="00416B"/>
          <w:sz w:val="28"/>
        </w:rPr>
      </w:pPr>
      <w:r>
        <w:rPr>
          <w:rFonts w:ascii="Arial;sans-serif" w:hAnsi="Arial;sans-serif"/>
          <w:b/>
          <w:color w:val="00416B"/>
          <w:sz w:val="28"/>
        </w:rPr>
        <w:t>DUTCH BROS INC.</w:t>
      </w:r>
    </w:p>
    <w:p>
      <w:pPr>
        <w:pStyle w:val="TextBody"/>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 xml:space="preserve">CERTIFICATIONS OF </w:t>
      </w:r>
    </w:p>
    <w:p>
      <w:pPr>
        <w:pStyle w:val="TextBody"/>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 xml:space="preserve">CHIEF EXECUTIVE OFFICER AND CHIEF FINANCIAL OFFICER </w:t>
      </w:r>
    </w:p>
    <w:p>
      <w:pPr>
        <w:pStyle w:val="TextBody"/>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PURSUANT TO 18 U.S.C. SECTION 1350</w:t>
      </w:r>
    </w:p>
    <w:p>
      <w:pPr>
        <w:pStyle w:val="TextBody"/>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 xml:space="preserve">AS ADOPTED PURSUANT TO SECTION 906 OF </w:t>
      </w:r>
    </w:p>
    <w:p>
      <w:pPr>
        <w:pStyle w:val="TextBody"/>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THE SARBANES-OXLEY ACT OF 2002</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131E29"/>
          <w:sz w:val="20"/>
        </w:rPr>
      </w:pPr>
      <w:r>
        <w:rPr>
          <w:rFonts w:ascii="Arial;sans-serif" w:hAnsi="Arial;sans-serif"/>
          <w:b w:val="false"/>
          <w:color w:val="131E29"/>
          <w:sz w:val="20"/>
        </w:rPr>
        <w:t>In connection with the Quarterly Report of Dutch Bros Inc. (the Company) on Form 10-Q for the period ended June 30, 2026, as filed with the Securities and Exchange Commission on the date of the signatures below (the Report), Christine Barone, Chief Executive Officer and President of the Company, and Joshua Guenser, Chief Financial Officer of the Company, each hereby certifies, pursuant to 18 U.S.C. Section 1350, as adopted pursuant to Section 906 of the Sarbanes-Oxley Act of 2002, that, to the best of their respective knowledge:</w:t>
      </w:r>
    </w:p>
    <w:p>
      <w:pPr>
        <w:pStyle w:val="TextBody"/>
        <w:bidi w:val="0"/>
        <w:spacing w:before="0" w:after="0"/>
        <w:jc w:val="left"/>
        <w:rPr/>
      </w:pPr>
      <w:r>
        <w:rPr/>
      </w:r>
    </w:p>
    <w:p>
      <w:pPr>
        <w:pStyle w:val="TextBody"/>
        <w:bidi w:val="0"/>
        <w:spacing w:lineRule="auto" w:line="288" w:before="0" w:after="0"/>
        <w:ind w:left="0" w:right="0" w:hanging="360"/>
        <w:jc w:val="both"/>
        <w:rPr>
          <w:rFonts w:ascii="Arial;sans-serif" w:hAnsi="Arial;sans-serif"/>
          <w:b w:val="false"/>
          <w:color w:val="131E29"/>
          <w:sz w:val="20"/>
        </w:rPr>
      </w:pPr>
      <w:r>
        <w:rPr>
          <w:rFonts w:ascii="Arial;sans-serif" w:hAnsi="Arial;sans-serif"/>
          <w:b w:val="false"/>
          <w:color w:val="131E29"/>
          <w:sz w:val="20"/>
        </w:rPr>
        <w:t>1.the Report fully complies with the requirements of Section 13(a) or Section 15(d) of the Securities Exchange Act of 1934; and</w:t>
      </w:r>
    </w:p>
    <w:p>
      <w:pPr>
        <w:pStyle w:val="TextBody"/>
        <w:bidi w:val="0"/>
        <w:spacing w:lineRule="auto" w:line="288" w:before="0" w:after="0"/>
        <w:ind w:left="0" w:right="0" w:hanging="360"/>
        <w:jc w:val="both"/>
        <w:rPr>
          <w:rFonts w:ascii="Arial;sans-serif" w:hAnsi="Arial;sans-serif"/>
          <w:b w:val="false"/>
          <w:color w:val="131E29"/>
          <w:sz w:val="20"/>
        </w:rPr>
      </w:pPr>
      <w:r>
        <w:rPr>
          <w:rFonts w:ascii="Arial;sans-serif" w:hAnsi="Arial;sans-serif"/>
          <w:b w:val="false"/>
          <w:color w:val="131E29"/>
          <w:sz w:val="20"/>
        </w:rPr>
        <w:t>2.the information contained in the Report fairly presents, in all material respects, the financial condition and results of operations of the Company.</w:t>
      </w:r>
    </w:p>
    <w:p>
      <w:pPr>
        <w:pStyle w:val="TextBody"/>
        <w:bidi w:val="0"/>
        <w:spacing w:before="0" w:after="0"/>
        <w:jc w:val="both"/>
        <w:rPr/>
      </w:pPr>
      <w:r>
        <w:rPr/>
      </w:r>
    </w:p>
    <w:p>
      <w:pPr>
        <w:pStyle w:val="TextBody"/>
        <w:bidi w:val="0"/>
        <w:spacing w:before="0" w:after="0"/>
        <w:jc w:val="left"/>
        <w:rPr/>
      </w:pPr>
      <w:r>
        <w:rPr/>
      </w:r>
    </w:p>
    <w:tbl>
      <w:tblPr>
        <w:tblW w:w="5529" w:type="dxa"/>
        <w:jc w:val="left"/>
        <w:tblInd w:w="0" w:type="dxa"/>
        <w:tblLayout w:type="fixed"/>
        <w:tblCellMar>
          <w:top w:w="28" w:type="dxa"/>
          <w:left w:w="28" w:type="dxa"/>
          <w:bottom w:w="28" w:type="dxa"/>
          <w:right w:w="28" w:type="dxa"/>
        </w:tblCellMar>
      </w:tblPr>
      <w:tblGrid>
        <w:gridCol w:w="520"/>
        <w:gridCol w:w="458"/>
        <w:gridCol w:w="462"/>
        <w:gridCol w:w="109"/>
        <w:gridCol w:w="109"/>
        <w:gridCol w:w="109"/>
        <w:gridCol w:w="109"/>
        <w:gridCol w:w="109"/>
        <w:gridCol w:w="109"/>
        <w:gridCol w:w="1004"/>
        <w:gridCol w:w="1004"/>
        <w:gridCol w:w="1427"/>
      </w:tblGrid>
      <w:tr>
        <w:trPr/>
        <w:tc>
          <w:tcPr>
            <w:tcW w:w="52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/s/ Christine Barone</w:t>
            </w:r>
          </w:p>
        </w:tc>
      </w:tr>
      <w:tr>
        <w:trPr/>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Christine Barone</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Chief Executive Officer and President</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(Principal Executive Officer)</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/s/ Joshua Guenser</w:t>
            </w:r>
          </w:p>
        </w:tc>
      </w:tr>
      <w:tr>
        <w:trPr/>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Joshua Guenser</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(Principal Financial Officer)</w:t>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131E29"/>
          <w:sz w:val="20"/>
        </w:rPr>
      </w:pPr>
      <w:r>
        <w:rPr>
          <w:rFonts w:ascii="Arial;sans-serif" w:hAnsi="Arial;sans-serif"/>
          <w:b w:val="false"/>
          <w:color w:val="131E29"/>
          <w:sz w:val="20"/>
        </w:rPr>
        <w:t>This certification accompanies the Report to which it relates, is not deemed filed with the Securities and Exchange Commission and is not to be incorporated by reference into any filing of Dutch Bros Inc. under the Securities Act of 1933, as amended, or the Securities Exchange Act of 1934, as amended (whether made before or after the date of the Report), irrespective of any general incorporation language contained in such filing.</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63220"/>
                <wp:effectExtent l="0" t="0" r="0" b="0"/>
                <wp:wrapNone/>
                <wp:docPr id="169" name="Frame56"/>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70"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61" descr=""/>
                                          <pic:cNvPicPr>
                                            <a:picLocks noChangeAspect="1" noChangeArrowheads="1"/>
                                          </pic:cNvPicPr>
                                        </pic:nvPicPr>
                                        <pic:blipFill>
                                          <a:blip r:embed="rId118"/>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Exhibit 32.1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7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61" descr=""/>
                                    <pic:cNvPicPr>
                                      <a:picLocks noChangeAspect="1" noChangeArrowheads="1"/>
                                    </pic:cNvPicPr>
                                  </pic:nvPicPr>
                                  <pic:blipFill>
                                    <a:blip r:embed="rId119"/>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Exhibit 32.1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image" Target="media/image2.jpeg"/><Relationship Id="rId8" Type="http://schemas.openxmlformats.org/officeDocument/2006/relationships/image" Target="media/image2.jpeg"/><Relationship Id="rId9" Type="http://schemas.openxmlformats.org/officeDocument/2006/relationships/image" Target="media/image2.jpeg"/><Relationship Id="rId10" Type="http://schemas.openxmlformats.org/officeDocument/2006/relationships/image" Target="media/image2.jpeg"/><Relationship Id="rId11" Type="http://schemas.openxmlformats.org/officeDocument/2006/relationships/image" Target="media/image2.jpeg"/><Relationship Id="rId12" Type="http://schemas.openxmlformats.org/officeDocument/2006/relationships/image" Target="media/image2.jpeg"/><Relationship Id="rId13" Type="http://schemas.openxmlformats.org/officeDocument/2006/relationships/image" Target="media/image2.jpeg"/><Relationship Id="rId14" Type="http://schemas.openxmlformats.org/officeDocument/2006/relationships/image" Target="media/image2.jpeg"/><Relationship Id="rId15" Type="http://schemas.openxmlformats.org/officeDocument/2006/relationships/image" Target="media/image2.jpeg"/><Relationship Id="rId16" Type="http://schemas.openxmlformats.org/officeDocument/2006/relationships/image" Target="media/image2.jpeg"/><Relationship Id="rId17" Type="http://schemas.openxmlformats.org/officeDocument/2006/relationships/image" Target="media/image2.jpeg"/><Relationship Id="rId18" Type="http://schemas.openxmlformats.org/officeDocument/2006/relationships/image" Target="media/image2.jpeg"/><Relationship Id="rId19" Type="http://schemas.openxmlformats.org/officeDocument/2006/relationships/image" Target="media/image2.jpeg"/><Relationship Id="rId20" Type="http://schemas.openxmlformats.org/officeDocument/2006/relationships/image" Target="media/image2.jpeg"/><Relationship Id="rId21" Type="http://schemas.openxmlformats.org/officeDocument/2006/relationships/image" Target="media/image2.jpeg"/><Relationship Id="rId22" Type="http://schemas.openxmlformats.org/officeDocument/2006/relationships/image" Target="media/image2.jpeg"/><Relationship Id="rId23" Type="http://schemas.openxmlformats.org/officeDocument/2006/relationships/image" Target="media/image2.jpeg"/><Relationship Id="rId24" Type="http://schemas.openxmlformats.org/officeDocument/2006/relationships/image" Target="media/image2.jpeg"/><Relationship Id="rId25" Type="http://schemas.openxmlformats.org/officeDocument/2006/relationships/image" Target="media/image2.jpeg"/><Relationship Id="rId26" Type="http://schemas.openxmlformats.org/officeDocument/2006/relationships/image" Target="media/image2.jpeg"/><Relationship Id="rId27" Type="http://schemas.openxmlformats.org/officeDocument/2006/relationships/image" Target="media/image2.jpeg"/><Relationship Id="rId28" Type="http://schemas.openxmlformats.org/officeDocument/2006/relationships/image" Target="media/image2.jpeg"/><Relationship Id="rId29" Type="http://schemas.openxmlformats.org/officeDocument/2006/relationships/image" Target="media/image2.jpeg"/><Relationship Id="rId30" Type="http://schemas.openxmlformats.org/officeDocument/2006/relationships/image" Target="media/image2.jpeg"/><Relationship Id="rId31" Type="http://schemas.openxmlformats.org/officeDocument/2006/relationships/image" Target="media/image2.jpeg"/><Relationship Id="rId32" Type="http://schemas.openxmlformats.org/officeDocument/2006/relationships/image" Target="media/image2.jpeg"/><Relationship Id="rId33" Type="http://schemas.openxmlformats.org/officeDocument/2006/relationships/image" Target="media/image2.jpeg"/><Relationship Id="rId34" Type="http://schemas.openxmlformats.org/officeDocument/2006/relationships/image" Target="media/image2.jpeg"/><Relationship Id="rId35" Type="http://schemas.openxmlformats.org/officeDocument/2006/relationships/image" Target="media/image2.jpeg"/><Relationship Id="rId36" Type="http://schemas.openxmlformats.org/officeDocument/2006/relationships/image" Target="media/image2.jpeg"/><Relationship Id="rId37" Type="http://schemas.openxmlformats.org/officeDocument/2006/relationships/image" Target="media/image2.jpeg"/><Relationship Id="rId38" Type="http://schemas.openxmlformats.org/officeDocument/2006/relationships/image" Target="media/image2.jpeg"/><Relationship Id="rId39" Type="http://schemas.openxmlformats.org/officeDocument/2006/relationships/image" Target="media/image2.jpeg"/><Relationship Id="rId40" Type="http://schemas.openxmlformats.org/officeDocument/2006/relationships/image" Target="media/image2.jpeg"/><Relationship Id="rId41" Type="http://schemas.openxmlformats.org/officeDocument/2006/relationships/image" Target="media/image2.jpeg"/><Relationship Id="rId42" Type="http://schemas.openxmlformats.org/officeDocument/2006/relationships/image" Target="media/image2.jpeg"/><Relationship Id="rId43" Type="http://schemas.openxmlformats.org/officeDocument/2006/relationships/image" Target="media/image2.jpeg"/><Relationship Id="rId44" Type="http://schemas.openxmlformats.org/officeDocument/2006/relationships/image" Target="media/image2.jpeg"/><Relationship Id="rId45" Type="http://schemas.openxmlformats.org/officeDocument/2006/relationships/image" Target="media/image2.jpeg"/><Relationship Id="rId46" Type="http://schemas.openxmlformats.org/officeDocument/2006/relationships/image" Target="media/image2.jpeg"/><Relationship Id="rId47" Type="http://schemas.openxmlformats.org/officeDocument/2006/relationships/image" Target="media/image2.jpeg"/><Relationship Id="rId48" Type="http://schemas.openxmlformats.org/officeDocument/2006/relationships/image" Target="media/image2.jpeg"/><Relationship Id="rId49" Type="http://schemas.openxmlformats.org/officeDocument/2006/relationships/image" Target="media/image2.jpeg"/><Relationship Id="rId50" Type="http://schemas.openxmlformats.org/officeDocument/2006/relationships/image" Target="media/image2.jpeg"/><Relationship Id="rId51" Type="http://schemas.openxmlformats.org/officeDocument/2006/relationships/image" Target="media/image2.jpeg"/><Relationship Id="rId52" Type="http://schemas.openxmlformats.org/officeDocument/2006/relationships/image" Target="media/image2.jpeg"/><Relationship Id="rId53" Type="http://schemas.openxmlformats.org/officeDocument/2006/relationships/image" Target="media/image2.jpeg"/><Relationship Id="rId54" Type="http://schemas.openxmlformats.org/officeDocument/2006/relationships/image" Target="media/image2.jpeg"/><Relationship Id="rId55" Type="http://schemas.openxmlformats.org/officeDocument/2006/relationships/image" Target="media/image2.jpeg"/><Relationship Id="rId56" Type="http://schemas.openxmlformats.org/officeDocument/2006/relationships/image" Target="media/image2.jpeg"/><Relationship Id="rId57" Type="http://schemas.openxmlformats.org/officeDocument/2006/relationships/image" Target="media/image2.jpeg"/><Relationship Id="rId58" Type="http://schemas.openxmlformats.org/officeDocument/2006/relationships/image" Target="media/image2.jpeg"/><Relationship Id="rId59" Type="http://schemas.openxmlformats.org/officeDocument/2006/relationships/image" Target="media/image2.jpeg"/><Relationship Id="rId60" Type="http://schemas.openxmlformats.org/officeDocument/2006/relationships/image" Target="media/image2.jpeg"/><Relationship Id="rId61" Type="http://schemas.openxmlformats.org/officeDocument/2006/relationships/image" Target="media/image2.jpeg"/><Relationship Id="rId62" Type="http://schemas.openxmlformats.org/officeDocument/2006/relationships/image" Target="media/image2.jpeg"/><Relationship Id="rId63" Type="http://schemas.openxmlformats.org/officeDocument/2006/relationships/image" Target="media/image2.jpeg"/><Relationship Id="rId64" Type="http://schemas.openxmlformats.org/officeDocument/2006/relationships/image" Target="media/image2.jpeg"/><Relationship Id="rId65" Type="http://schemas.openxmlformats.org/officeDocument/2006/relationships/image" Target="media/image2.jpeg"/><Relationship Id="rId66" Type="http://schemas.openxmlformats.org/officeDocument/2006/relationships/image" Target="media/image3.jpeg"/><Relationship Id="rId67" Type="http://schemas.openxmlformats.org/officeDocument/2006/relationships/image" Target="media/image4.jpeg"/><Relationship Id="rId68" Type="http://schemas.openxmlformats.org/officeDocument/2006/relationships/image" Target="media/image5.jpeg"/><Relationship Id="rId69" Type="http://schemas.openxmlformats.org/officeDocument/2006/relationships/image" Target="media/image6.jpeg"/><Relationship Id="rId70" Type="http://schemas.openxmlformats.org/officeDocument/2006/relationships/image" Target="media/image7.jpeg"/><Relationship Id="rId71" Type="http://schemas.openxmlformats.org/officeDocument/2006/relationships/image" Target="media/image2.jpeg"/><Relationship Id="rId72" Type="http://schemas.openxmlformats.org/officeDocument/2006/relationships/image" Target="media/image2.jpeg"/><Relationship Id="rId73" Type="http://schemas.openxmlformats.org/officeDocument/2006/relationships/image" Target="media/image2.jpeg"/><Relationship Id="rId74" Type="http://schemas.openxmlformats.org/officeDocument/2006/relationships/image" Target="media/image2.jpeg"/><Relationship Id="rId75" Type="http://schemas.openxmlformats.org/officeDocument/2006/relationships/image" Target="media/image2.jpeg"/><Relationship Id="rId76" Type="http://schemas.openxmlformats.org/officeDocument/2006/relationships/image" Target="media/image2.jpeg"/><Relationship Id="rId77" Type="http://schemas.openxmlformats.org/officeDocument/2006/relationships/image" Target="media/image2.jpeg"/><Relationship Id="rId78" Type="http://schemas.openxmlformats.org/officeDocument/2006/relationships/image" Target="media/image2.jpeg"/><Relationship Id="rId79" Type="http://schemas.openxmlformats.org/officeDocument/2006/relationships/image" Target="media/image2.jpeg"/><Relationship Id="rId80" Type="http://schemas.openxmlformats.org/officeDocument/2006/relationships/image" Target="media/image2.jpeg"/><Relationship Id="rId81" Type="http://schemas.openxmlformats.org/officeDocument/2006/relationships/image" Target="media/image2.jpeg"/><Relationship Id="rId82" Type="http://schemas.openxmlformats.org/officeDocument/2006/relationships/image" Target="media/image2.jpeg"/><Relationship Id="rId83" Type="http://schemas.openxmlformats.org/officeDocument/2006/relationships/image" Target="media/image2.jpeg"/><Relationship Id="rId84" Type="http://schemas.openxmlformats.org/officeDocument/2006/relationships/image" Target="media/image2.jpeg"/><Relationship Id="rId85" Type="http://schemas.openxmlformats.org/officeDocument/2006/relationships/image" Target="media/image2.jpeg"/><Relationship Id="rId86" Type="http://schemas.openxmlformats.org/officeDocument/2006/relationships/image" Target="media/image2.jpeg"/><Relationship Id="rId87" Type="http://schemas.openxmlformats.org/officeDocument/2006/relationships/image" Target="media/image2.jpeg"/><Relationship Id="rId88" Type="http://schemas.openxmlformats.org/officeDocument/2006/relationships/image" Target="media/image2.jpeg"/><Relationship Id="rId89" Type="http://schemas.openxmlformats.org/officeDocument/2006/relationships/image" Target="media/image2.jpeg"/><Relationship Id="rId90" Type="http://schemas.openxmlformats.org/officeDocument/2006/relationships/image" Target="media/image2.jpeg"/><Relationship Id="rId91" Type="http://schemas.openxmlformats.org/officeDocument/2006/relationships/image" Target="media/image2.jpeg"/><Relationship Id="rId92" Type="http://schemas.openxmlformats.org/officeDocument/2006/relationships/image" Target="media/image2.jpeg"/><Relationship Id="rId93" Type="http://schemas.openxmlformats.org/officeDocument/2006/relationships/image" Target="media/image2.jpeg"/><Relationship Id="rId94" Type="http://schemas.openxmlformats.org/officeDocument/2006/relationships/image" Target="media/image2.jpeg"/><Relationship Id="rId95" Type="http://schemas.openxmlformats.org/officeDocument/2006/relationships/image" Target="media/image2.jpeg"/><Relationship Id="rId96" Type="http://schemas.openxmlformats.org/officeDocument/2006/relationships/image" Target="media/image2.jpeg"/><Relationship Id="rId97" Type="http://schemas.openxmlformats.org/officeDocument/2006/relationships/image" Target="media/image2.jpeg"/><Relationship Id="rId98" Type="http://schemas.openxmlformats.org/officeDocument/2006/relationships/image" Target="media/image2.jpeg"/><Relationship Id="rId99" Type="http://schemas.openxmlformats.org/officeDocument/2006/relationships/image" Target="media/image2.jpeg"/><Relationship Id="rId100" Type="http://schemas.openxmlformats.org/officeDocument/2006/relationships/image" Target="media/image2.jpeg"/><Relationship Id="rId101" Type="http://schemas.openxmlformats.org/officeDocument/2006/relationships/image" Target="media/image2.jpeg"/><Relationship Id="rId102" Type="http://schemas.openxmlformats.org/officeDocument/2006/relationships/image" Target="media/image2.jpeg"/><Relationship Id="rId103" Type="http://schemas.openxmlformats.org/officeDocument/2006/relationships/image" Target="media/image2.jpeg"/><Relationship Id="rId104" Type="http://schemas.openxmlformats.org/officeDocument/2006/relationships/image" Target="media/image2.jpeg"/><Relationship Id="rId105" Type="http://schemas.openxmlformats.org/officeDocument/2006/relationships/image" Target="media/image2.jpeg"/><Relationship Id="rId106" Type="http://schemas.openxmlformats.org/officeDocument/2006/relationships/image" Target="media/image2.jpeg"/><Relationship Id="rId107" Type="http://schemas.openxmlformats.org/officeDocument/2006/relationships/hyperlink" Target="https://www.sec.gov/Archives/edgar/data/0001866581/000162828021018861/exhibit31-8xk.htm" TargetMode="External"/><Relationship Id="rId108" Type="http://schemas.openxmlformats.org/officeDocument/2006/relationships/hyperlink" Target="https://www.sec.gov/Archives/edgar/data/1866581/000162828021017441/exhibit34-sx1.htm" TargetMode="External"/><Relationship Id="rId109" Type="http://schemas.openxmlformats.org/officeDocument/2006/relationships/hyperlink" Target="https://www.sec.gov/Archives/edgar/data/0001866581/000162828021018116/exhibit41.htm" TargetMode="External"/><Relationship Id="rId110" Type="http://schemas.openxmlformats.org/officeDocument/2006/relationships/image" Target="media/image2.jpeg"/><Relationship Id="rId111" Type="http://schemas.openxmlformats.org/officeDocument/2006/relationships/image" Target="media/image2.jpeg"/><Relationship Id="rId112" Type="http://schemas.openxmlformats.org/officeDocument/2006/relationships/image" Target="media/image2.jpeg"/><Relationship Id="rId113" Type="http://schemas.openxmlformats.org/officeDocument/2006/relationships/image" Target="media/image2.jpeg"/><Relationship Id="rId114" Type="http://schemas.openxmlformats.org/officeDocument/2006/relationships/image" Target="media/image2.jpeg"/><Relationship Id="rId115" Type="http://schemas.openxmlformats.org/officeDocument/2006/relationships/image" Target="media/image2.jpeg"/><Relationship Id="rId116" Type="http://schemas.openxmlformats.org/officeDocument/2006/relationships/image" Target="media/image2.jpeg"/><Relationship Id="rId117" Type="http://schemas.openxmlformats.org/officeDocument/2006/relationships/image" Target="media/image2.jpeg"/><Relationship Id="rId118" Type="http://schemas.openxmlformats.org/officeDocument/2006/relationships/image" Target="media/image2.jpeg"/><Relationship Id="rId119" Type="http://schemas.openxmlformats.org/officeDocument/2006/relationships/image" Target="media/image2.jpeg"/><Relationship Id="rId120" Type="http://schemas.openxmlformats.org/officeDocument/2006/relationships/fontTable" Target="fontTable.xml"/><Relationship Id="rId1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18741</Words>
  <Characters>103204</Characters>
  <CharactersWithSpaces>120016</CharactersWithSpaces>
  <Paragraphs>3952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